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94B9B"/>
          <w:sz w:val="68"/>
        </w:rPr>
        <w:t>TOOL DOCTOR</w:t>
      </w:r>
    </w:p>
    <w:p>
      <w:pPr>
        <w:jc w:val="center"/>
      </w:pPr>
      <w:r>
        <w:rPr>
          <w:b/>
          <w:color w:val="192841"/>
          <w:sz w:val="32"/>
        </w:rPr>
        <w:t>Multi-Platform Open-Source Health &amp; Maintenance Platform</w:t>
      </w:r>
    </w:p>
    <w:p>
      <w:pPr>
        <w:jc w:val="center"/>
      </w:pPr>
      <w:r>
        <w:rPr>
          <w:sz w:val="20"/>
        </w:rPr>
        <w:t>Product concept • architecture • repository integrations • data model • implementation roadmap</w:t>
      </w:r>
    </w:p>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244A80"/>
          </w:tcPr>
          <w:p>
            <w:pPr>
              <w:spacing w:after="20"/>
            </w:pPr>
            <w:r/>
            <w:r>
              <w:rPr>
                <w:b/>
                <w:color w:val="FFFFFF"/>
                <w:sz w:val="17"/>
              </w:rPr>
              <w:t>Document purpose</w:t>
            </w:r>
          </w:p>
        </w:tc>
        <w:tc>
          <w:tcPr>
            <w:tcW w:type="dxa" w:w="7056"/>
            <w:vAlign w:val="center"/>
            <w:shd w:fill="244A80"/>
          </w:tcPr>
          <w:p>
            <w:pPr>
              <w:spacing w:after="20"/>
            </w:pPr>
            <w:r/>
            <w:r>
              <w:rPr>
                <w:b/>
                <w:color w:val="FFFFFF"/>
                <w:sz w:val="17"/>
              </w:rPr>
              <w:t>Product direction</w:t>
            </w:r>
          </w:p>
        </w:tc>
      </w:tr>
      <w:tr>
        <w:tc>
          <w:tcPr>
            <w:tcW w:type="dxa" w:w="2880"/>
            <w:vAlign w:val="center"/>
          </w:tcPr>
          <w:p>
            <w:pPr>
              <w:spacing w:after="20"/>
            </w:pPr>
            <w:r/>
            <w:r>
              <w:rPr>
                <w:b w:val="0"/>
                <w:sz w:val="16"/>
              </w:rPr>
              <w:t>Define a practical implementation blueprint for Tool Doctor.</w:t>
            </w:r>
          </w:p>
        </w:tc>
        <w:tc>
          <w:tcPr>
            <w:tcW w:type="dxa" w:w="7056"/>
            <w:vAlign w:val="center"/>
          </w:tcPr>
          <w:p>
            <w:pPr>
              <w:spacing w:after="20"/>
            </w:pPr>
            <w:r/>
            <w:r>
              <w:rPr>
                <w:b w:val="0"/>
                <w:sz w:val="16"/>
              </w:rPr>
              <w:t>A platform-neutral service that helps maintainers assess software repositories across multiple hosting providers.</w:t>
            </w:r>
          </w:p>
        </w:tc>
      </w:tr>
      <w:tr>
        <w:tc>
          <w:tcPr>
            <w:tcW w:type="dxa" w:w="2880"/>
            <w:vAlign w:val="center"/>
            <w:shd w:fill="F1F5FA"/>
          </w:tcPr>
          <w:p>
            <w:pPr>
              <w:spacing w:after="20"/>
            </w:pPr>
            <w:r/>
            <w:r>
              <w:rPr>
                <w:b w:val="0"/>
                <w:sz w:val="16"/>
              </w:rPr>
              <w:t>Platforms in scope</w:t>
            </w:r>
          </w:p>
        </w:tc>
        <w:tc>
          <w:tcPr>
            <w:tcW w:type="dxa" w:w="7056"/>
            <w:vAlign w:val="center"/>
            <w:shd w:fill="F1F5FA"/>
          </w:tcPr>
          <w:p>
            <w:pPr>
              <w:spacing w:after="20"/>
            </w:pPr>
            <w:r/>
            <w:r>
              <w:rPr>
                <w:b w:val="0"/>
                <w:sz w:val="16"/>
              </w:rPr>
              <w:t>GitHub, GitLab, Wikimedia-related repositories/services, Codeberg, Bitbucket, Gitea, Forgejo, and other providers through adapters where supported.</w:t>
            </w:r>
          </w:p>
        </w:tc>
      </w:tr>
      <w:tr>
        <w:tc>
          <w:tcPr>
            <w:tcW w:type="dxa" w:w="2880"/>
            <w:vAlign w:val="center"/>
          </w:tcPr>
          <w:p>
            <w:pPr>
              <w:spacing w:after="20"/>
            </w:pPr>
            <w:r/>
            <w:r>
              <w:rPr>
                <w:b w:val="0"/>
                <w:sz w:val="16"/>
              </w:rPr>
              <w:t>Implementation status</w:t>
            </w:r>
          </w:p>
        </w:tc>
        <w:tc>
          <w:tcPr>
            <w:tcW w:type="dxa" w:w="7056"/>
            <w:vAlign w:val="center"/>
          </w:tcPr>
          <w:p>
            <w:pPr>
              <w:spacing w:after="20"/>
            </w:pPr>
            <w:r/>
            <w:r>
              <w:rPr>
                <w:b w:val="0"/>
                <w:sz w:val="16"/>
              </w:rPr>
              <w:t>Proposal, not a claim that integrations or checks have already been built.</w:t>
            </w:r>
          </w:p>
        </w:tc>
      </w:tr>
    </w:tbl>
    <w:p/>
    <w:p>
      <w:pPr>
        <w:jc w:val="center"/>
      </w:pPr>
      <w:r>
        <w:rPr>
          <w:b/>
          <w:color w:val="1E559B"/>
          <w:sz w:val="24"/>
        </w:rPr>
        <w:t>Core promise: Find the problem. Understand the evidence. Help maintainers fix it.</w:t>
      </w:r>
    </w:p>
    <w:p>
      <w:r>
        <w:br w:type="page"/>
      </w:r>
    </w:p>
    <w:p>
      <w:pPr>
        <w:pStyle w:val="Heading1"/>
      </w:pPr>
      <w:r>
        <w:t>1. Product concept</w:t>
      </w:r>
    </w:p>
    <w:p>
      <w:r>
        <w:t>Tool Doctor is a multi-platform open-source project health and maintenance platform. It helps developers, maintainers, organizations, and open-source communities monitor repositories, identify reliability and maintenance risks, understand findings, and organize follow-up work. It is not limited to one hosting provider or one community.</w:t>
      </w:r>
    </w:p>
    <w:p>
      <w:r>
        <w:t>A workspace can connect repositories from supported providers. Tool Doctor normalizes the available repository data, runs configurable checks, and presents a consistent view of health, evidence, ownership, history, and recommended next steps. Provider-specific capabilities remain visible so the platform does not imply that every host supports the same APIs or actions.</w:t>
      </w:r>
    </w:p>
    <w:p>
      <w:pPr>
        <w:pStyle w:val="Heading2"/>
      </w:pPr>
      <w:r>
        <w:t>Goals</w:t>
      </w:r>
    </w:p>
    <w:p>
      <w:pPr>
        <w:pStyle w:val="ListBullet"/>
        <w:spacing w:after="40"/>
      </w:pPr>
      <w:r>
        <w:t>Monitor repository availability, CI status, release activity, dependency signals, documentation signals, and other supported health indicators.</w:t>
      </w:r>
    </w:p>
    <w:p>
      <w:pPr>
        <w:pStyle w:val="ListBullet"/>
        <w:spacing w:after="40"/>
      </w:pPr>
      <w:r>
        <w:t>Explain findings with severity, evidence, observation time, confidence/uncertainty, and practical next steps.</w:t>
      </w:r>
    </w:p>
    <w:p>
      <w:pPr>
        <w:pStyle w:val="ListBullet"/>
        <w:spacing w:after="40"/>
      </w:pPr>
      <w:r>
        <w:t>Help teams prioritize maintenance across many repositories and hosting providers.</w:t>
      </w:r>
    </w:p>
    <w:p>
      <w:pPr>
        <w:pStyle w:val="ListBullet"/>
        <w:spacing w:after="40"/>
      </w:pPr>
      <w:r>
        <w:t>Track whether findings are resolved after a change, release, or manual verification.</w:t>
      </w:r>
    </w:p>
    <w:p>
      <w:pPr>
        <w:pStyle w:val="ListBullet"/>
        <w:spacing w:after="40"/>
      </w:pPr>
      <w:r>
        <w:t>Support open-source sustainability by helping contributors discover maintenance opportunities.</w:t>
      </w:r>
    </w:p>
    <w:p>
      <w:pPr>
        <w:pStyle w:val="Heading2"/>
      </w:pPr>
      <w:r>
        <w:t>Operating principles</w:t>
      </w:r>
    </w:p>
    <w:p>
      <w:pPr>
        <w:pStyle w:val="ListBullet"/>
        <w:spacing w:after="40"/>
      </w:pPr>
      <w:r>
        <w:t>Users choose which repositories, organizations, projects, and checks are in scope.</w:t>
      </w:r>
    </w:p>
    <w:p>
      <w:pPr>
        <w:pStyle w:val="ListBullet"/>
        <w:spacing w:after="40"/>
      </w:pPr>
      <w:r>
        <w:t>Use least-privilege permissions and read-only access by default.</w:t>
      </w:r>
    </w:p>
    <w:p>
      <w:pPr>
        <w:pStyle w:val="ListBullet"/>
        <w:spacing w:after="40"/>
      </w:pPr>
      <w:r>
        <w:t>Do not label a project abandoned based only on low commit activity; show signals and require context.</w:t>
      </w:r>
    </w:p>
    <w:p>
      <w:pPr>
        <w:pStyle w:val="ListBullet"/>
        <w:spacing w:after="40"/>
      </w:pPr>
      <w:r>
        <w:t>Separate verified facts from estimates, heuristics, and AI-generated suggestions.</w:t>
      </w:r>
    </w:p>
    <w:p>
      <w:pPr>
        <w:pStyle w:val="ListBullet"/>
        <w:spacing w:after="40"/>
      </w:pPr>
      <w:r>
        <w:t>Any action that writes to an external service—such as opening an issue or creating a merge/pull request—requires explicit user approval.</w:t>
      </w:r>
    </w:p>
    <w:p>
      <w:pPr>
        <w:pStyle w:val="ListBullet"/>
        <w:spacing w:after="40"/>
      </w:pPr>
      <w:r>
        <w:t>Store evidence and audit consequential actions; allow users to dismiss or dispute findings.</w:t>
      </w:r>
    </w:p>
    <w:p>
      <w:pPr>
        <w:pStyle w:val="Heading1"/>
      </w:pPr>
      <w:r>
        <w:t>2. Supported platforms and integration strategy</w:t>
      </w:r>
    </w:p>
    <w:p>
      <w:r>
        <w:t>Use a provider-adapter architecture. The core health engine should not contain provider-specific assumptions. Each adapter translates a provider's API/events into Tool Doctor's common internal model and advertises the capabilities actually supported.</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244A80"/>
          </w:tcPr>
          <w:p>
            <w:pPr>
              <w:spacing w:after="20"/>
            </w:pPr>
            <w:r/>
            <w:r>
              <w:rPr>
                <w:b/>
                <w:color w:val="FFFFFF"/>
                <w:sz w:val="17"/>
              </w:rPr>
              <w:t>Provider / source</w:t>
            </w:r>
          </w:p>
        </w:tc>
        <w:tc>
          <w:tcPr>
            <w:tcW w:type="dxa" w:w="3240"/>
            <w:vAlign w:val="center"/>
            <w:shd w:fill="244A80"/>
          </w:tcPr>
          <w:p>
            <w:pPr>
              <w:spacing w:after="20"/>
            </w:pPr>
            <w:r/>
            <w:r>
              <w:rPr>
                <w:b/>
                <w:color w:val="FFFFFF"/>
                <w:sz w:val="17"/>
              </w:rPr>
              <w:t>Potential integration route</w:t>
            </w:r>
          </w:p>
        </w:tc>
        <w:tc>
          <w:tcPr>
            <w:tcW w:type="dxa" w:w="4896"/>
            <w:vAlign w:val="center"/>
            <w:shd w:fill="244A80"/>
          </w:tcPr>
          <w:p>
            <w:pPr>
              <w:spacing w:after="20"/>
            </w:pPr>
            <w:r/>
            <w:r>
              <w:rPr>
                <w:b/>
                <w:color w:val="FFFFFF"/>
                <w:sz w:val="17"/>
              </w:rPr>
              <w:t>Important considerations</w:t>
            </w:r>
          </w:p>
        </w:tc>
      </w:tr>
      <w:tr>
        <w:tc>
          <w:tcPr>
            <w:tcW w:type="dxa" w:w="1800"/>
            <w:vAlign w:val="center"/>
          </w:tcPr>
          <w:p>
            <w:pPr>
              <w:spacing w:after="20"/>
            </w:pPr>
            <w:r/>
            <w:r>
              <w:rPr>
                <w:b w:val="0"/>
                <w:sz w:val="16"/>
              </w:rPr>
              <w:t>GitHub</w:t>
            </w:r>
          </w:p>
        </w:tc>
        <w:tc>
          <w:tcPr>
            <w:tcW w:type="dxa" w:w="3240"/>
            <w:vAlign w:val="center"/>
          </w:tcPr>
          <w:p>
            <w:pPr>
              <w:spacing w:after="20"/>
            </w:pPr>
            <w:r/>
            <w:r>
              <w:rPr>
                <w:b w:val="0"/>
                <w:sz w:val="16"/>
              </w:rPr>
              <w:t>GitHub App, REST/GraphQL APIs, webhooks</w:t>
            </w:r>
          </w:p>
        </w:tc>
        <w:tc>
          <w:tcPr>
            <w:tcW w:type="dxa" w:w="4896"/>
            <w:vAlign w:val="center"/>
          </w:tcPr>
          <w:p>
            <w:pPr>
              <w:spacing w:after="20"/>
            </w:pPr>
            <w:r/>
            <w:r>
              <w:rPr>
                <w:b w:val="0"/>
                <w:sz w:val="16"/>
              </w:rPr>
              <w:t>Selected repositories, installation permissions, webhook signature verification, API rate limits.</w:t>
            </w:r>
          </w:p>
        </w:tc>
      </w:tr>
      <w:tr>
        <w:tc>
          <w:tcPr>
            <w:tcW w:type="dxa" w:w="1800"/>
            <w:vAlign w:val="center"/>
            <w:shd w:fill="F1F5FA"/>
          </w:tcPr>
          <w:p>
            <w:pPr>
              <w:spacing w:after="20"/>
            </w:pPr>
            <w:r/>
            <w:r>
              <w:rPr>
                <w:b w:val="0"/>
                <w:sz w:val="16"/>
              </w:rPr>
              <w:t>GitLab</w:t>
            </w:r>
          </w:p>
        </w:tc>
        <w:tc>
          <w:tcPr>
            <w:tcW w:type="dxa" w:w="3240"/>
            <w:vAlign w:val="center"/>
            <w:shd w:fill="F1F5FA"/>
          </w:tcPr>
          <w:p>
            <w:pPr>
              <w:spacing w:after="20"/>
            </w:pPr>
            <w:r/>
            <w:r>
              <w:rPr>
                <w:b w:val="0"/>
                <w:sz w:val="16"/>
              </w:rPr>
              <w:t>OAuth or project/group access token; REST/GraphQL APIs and webhooks where available</w:t>
            </w:r>
          </w:p>
        </w:tc>
        <w:tc>
          <w:tcPr>
            <w:tcW w:type="dxa" w:w="4896"/>
            <w:vAlign w:val="center"/>
            <w:shd w:fill="F1F5FA"/>
          </w:tcPr>
          <w:p>
            <w:pPr>
              <w:spacing w:after="20"/>
            </w:pPr>
            <w:r/>
            <w:r>
              <w:rPr>
                <w:b w:val="0"/>
                <w:sz w:val="16"/>
              </w:rPr>
              <w:t>Self-managed and SaaS instances may differ; scopes and features vary by instance/version.</w:t>
            </w:r>
          </w:p>
        </w:tc>
      </w:tr>
      <w:tr>
        <w:tc>
          <w:tcPr>
            <w:tcW w:type="dxa" w:w="1800"/>
            <w:vAlign w:val="center"/>
          </w:tcPr>
          <w:p>
            <w:pPr>
              <w:spacing w:after="20"/>
            </w:pPr>
            <w:r/>
            <w:r>
              <w:rPr>
                <w:b w:val="0"/>
                <w:sz w:val="16"/>
              </w:rPr>
              <w:t>Wikimedia ecosystem</w:t>
            </w:r>
          </w:p>
        </w:tc>
        <w:tc>
          <w:tcPr>
            <w:tcW w:type="dxa" w:w="3240"/>
            <w:vAlign w:val="center"/>
          </w:tcPr>
          <w:p>
            <w:pPr>
              <w:spacing w:after="20"/>
            </w:pPr>
            <w:r/>
            <w:r>
              <w:rPr>
                <w:b w:val="0"/>
                <w:sz w:val="16"/>
              </w:rPr>
              <w:t>Wikimedia APIs and service-specific APIs; GitLab/Gerrit or other repository integrations where applicable</w:t>
            </w:r>
          </w:p>
        </w:tc>
        <w:tc>
          <w:tcPr>
            <w:tcW w:type="dxa" w:w="4896"/>
            <w:vAlign w:val="center"/>
          </w:tcPr>
          <w:p>
            <w:pPr>
              <w:spacing w:after="20"/>
            </w:pPr>
            <w:r/>
            <w:r>
              <w:rPr>
                <w:b w:val="0"/>
                <w:sz w:val="16"/>
              </w:rPr>
              <w:t>Wikimedia tools are hosted in different places. Do not assume every tool has a GitHub repository or a single universal API.</w:t>
            </w:r>
          </w:p>
        </w:tc>
      </w:tr>
      <w:tr>
        <w:tc>
          <w:tcPr>
            <w:tcW w:type="dxa" w:w="1800"/>
            <w:vAlign w:val="center"/>
            <w:shd w:fill="F1F5FA"/>
          </w:tcPr>
          <w:p>
            <w:pPr>
              <w:spacing w:after="20"/>
            </w:pPr>
            <w:r/>
            <w:r>
              <w:rPr>
                <w:b w:val="0"/>
                <w:sz w:val="16"/>
              </w:rPr>
              <w:t>Codeberg</w:t>
            </w:r>
          </w:p>
        </w:tc>
        <w:tc>
          <w:tcPr>
            <w:tcW w:type="dxa" w:w="3240"/>
            <w:vAlign w:val="center"/>
            <w:shd w:fill="F1F5FA"/>
          </w:tcPr>
          <w:p>
            <w:pPr>
              <w:spacing w:after="20"/>
            </w:pPr>
            <w:r/>
            <w:r>
              <w:rPr>
                <w:b w:val="0"/>
                <w:sz w:val="16"/>
              </w:rPr>
              <w:t>Forgejo-compatible API and supported events</w:t>
            </w:r>
          </w:p>
        </w:tc>
        <w:tc>
          <w:tcPr>
            <w:tcW w:type="dxa" w:w="4896"/>
            <w:vAlign w:val="center"/>
            <w:shd w:fill="F1F5FA"/>
          </w:tcPr>
          <w:p>
            <w:pPr>
              <w:spacing w:after="20"/>
            </w:pPr>
            <w:r/>
            <w:r>
              <w:rPr>
                <w:b w:val="0"/>
                <w:sz w:val="16"/>
              </w:rPr>
              <w:t>Confirm endpoint and capabilities for the specific instance.</w:t>
            </w:r>
          </w:p>
        </w:tc>
      </w:tr>
      <w:tr>
        <w:tc>
          <w:tcPr>
            <w:tcW w:type="dxa" w:w="1800"/>
            <w:vAlign w:val="center"/>
          </w:tcPr>
          <w:p>
            <w:pPr>
              <w:spacing w:after="20"/>
            </w:pPr>
            <w:r/>
            <w:r>
              <w:rPr>
                <w:b w:val="0"/>
                <w:sz w:val="16"/>
              </w:rPr>
              <w:t>Gitea / Forgejo</w:t>
            </w:r>
          </w:p>
        </w:tc>
        <w:tc>
          <w:tcPr>
            <w:tcW w:type="dxa" w:w="3240"/>
            <w:vAlign w:val="center"/>
          </w:tcPr>
          <w:p>
            <w:pPr>
              <w:spacing w:after="20"/>
            </w:pPr>
            <w:r/>
            <w:r>
              <w:rPr>
                <w:b w:val="0"/>
                <w:sz w:val="16"/>
              </w:rPr>
              <w:t>Instance API, webhooks, app/token authentication</w:t>
            </w:r>
          </w:p>
        </w:tc>
        <w:tc>
          <w:tcPr>
            <w:tcW w:type="dxa" w:w="4896"/>
            <w:vAlign w:val="center"/>
          </w:tcPr>
          <w:p>
            <w:pPr>
              <w:spacing w:after="20"/>
            </w:pPr>
            <w:r/>
            <w:r>
              <w:rPr>
                <w:b w:val="0"/>
                <w:sz w:val="16"/>
              </w:rPr>
              <w:t>Self-hosted instances can differ in version, configuration, and available features.</w:t>
            </w:r>
          </w:p>
        </w:tc>
      </w:tr>
      <w:tr>
        <w:tc>
          <w:tcPr>
            <w:tcW w:type="dxa" w:w="1800"/>
            <w:vAlign w:val="center"/>
            <w:shd w:fill="F1F5FA"/>
          </w:tcPr>
          <w:p>
            <w:pPr>
              <w:spacing w:after="20"/>
            </w:pPr>
            <w:r/>
            <w:r>
              <w:rPr>
                <w:b w:val="0"/>
                <w:sz w:val="16"/>
              </w:rPr>
              <w:t>Bitbucket</w:t>
            </w:r>
          </w:p>
        </w:tc>
        <w:tc>
          <w:tcPr>
            <w:tcW w:type="dxa" w:w="3240"/>
            <w:vAlign w:val="center"/>
            <w:shd w:fill="F1F5FA"/>
          </w:tcPr>
          <w:p>
            <w:pPr>
              <w:spacing w:after="20"/>
            </w:pPr>
            <w:r/>
            <w:r>
              <w:rPr>
                <w:b w:val="0"/>
                <w:sz w:val="16"/>
              </w:rPr>
              <w:t>Bitbucket Cloud or Data Center APIs and webhooks</w:t>
            </w:r>
          </w:p>
        </w:tc>
        <w:tc>
          <w:tcPr>
            <w:tcW w:type="dxa" w:w="4896"/>
            <w:vAlign w:val="center"/>
            <w:shd w:fill="F1F5FA"/>
          </w:tcPr>
          <w:p>
            <w:pPr>
              <w:spacing w:after="20"/>
            </w:pPr>
            <w:r/>
            <w:r>
              <w:rPr>
                <w:b w:val="0"/>
                <w:sz w:val="16"/>
              </w:rPr>
              <w:t>Cloud and Data Center are distinct integration targets; implement and test separately.</w:t>
            </w:r>
          </w:p>
        </w:tc>
      </w:tr>
      <w:tr>
        <w:tc>
          <w:tcPr>
            <w:tcW w:type="dxa" w:w="1800"/>
            <w:vAlign w:val="center"/>
          </w:tcPr>
          <w:p>
            <w:pPr>
              <w:spacing w:after="20"/>
            </w:pPr>
            <w:r/>
            <w:r>
              <w:rPr>
                <w:b w:val="0"/>
                <w:sz w:val="16"/>
              </w:rPr>
              <w:t>Other providers</w:t>
            </w:r>
          </w:p>
        </w:tc>
        <w:tc>
          <w:tcPr>
            <w:tcW w:type="dxa" w:w="3240"/>
            <w:vAlign w:val="center"/>
          </w:tcPr>
          <w:p>
            <w:pPr>
              <w:spacing w:after="20"/>
            </w:pPr>
            <w:r/>
            <w:r>
              <w:rPr>
                <w:b w:val="0"/>
                <w:sz w:val="16"/>
              </w:rPr>
              <w:t>Adapter plugin / generic repository URL import</w:t>
            </w:r>
          </w:p>
        </w:tc>
        <w:tc>
          <w:tcPr>
            <w:tcW w:type="dxa" w:w="4896"/>
            <w:vAlign w:val="center"/>
          </w:tcPr>
          <w:p>
            <w:pPr>
              <w:spacing w:after="20"/>
            </w:pPr>
            <w:r/>
            <w:r>
              <w:rPr>
                <w:b w:val="0"/>
                <w:sz w:val="16"/>
              </w:rPr>
              <w:t>Generic import may offer limited checks only; provider-specific features require an adapter.</w:t>
            </w:r>
          </w:p>
        </w:tc>
      </w:tr>
    </w:tbl>
    <w:p/>
    <w:p>
      <w:r>
        <w:t>Version-one recommendation: build a provider-neutral data model and adapter interface from the beginning, then implement one provider end-to-end first (for example GitHub), followed by GitLab. Add Wikimedia-specific and other adapters based on real user demand and API feasibility. This keeps the first release achievable without locking the product to GitHub.</w:t>
      </w:r>
    </w:p>
    <w:p>
      <w:pPr>
        <w:pStyle w:val="Heading1"/>
      </w:pPr>
      <w:r>
        <w:t>3. Users and workflow</w:t>
      </w:r>
    </w:p>
    <w:p>
      <w:pPr>
        <w:pStyle w:val="ListNumber"/>
        <w:spacing w:after="40"/>
      </w:pPr>
      <w:r>
        <w:t>Create a workspace: a maintainer or team creates a workspace and configures membership and permissions.</w:t>
      </w:r>
    </w:p>
    <w:p>
      <w:pPr>
        <w:pStyle w:val="ListNumber"/>
        <w:spacing w:after="40"/>
      </w:pPr>
      <w:r>
        <w:t>Connect a provider: authorize a supported integration and select repositories/projects. Where OAuth or an app installation is unavailable, allow a limited public-repository URL import if feasible.</w:t>
      </w:r>
    </w:p>
    <w:p>
      <w:pPr>
        <w:pStyle w:val="ListNumber"/>
        <w:spacing w:after="40"/>
      </w:pPr>
      <w:r>
        <w:t>Choose checks: select health checks and their schedule; clearly show which checks need extra permissions.</w:t>
      </w:r>
    </w:p>
    <w:p>
      <w:pPr>
        <w:pStyle w:val="ListNumber"/>
        <w:spacing w:after="40"/>
      </w:pPr>
      <w:r>
        <w:t>Collect data: provider webhooks and scheduled jobs trigger checks. Polling is a fallback where webhooks are unavailable.</w:t>
      </w:r>
    </w:p>
    <w:p>
      <w:pPr>
        <w:pStyle w:val="ListNumber"/>
        <w:spacing w:after="40"/>
      </w:pPr>
      <w:r>
        <w:t>Explain findings: each finding displays what was observed, when it was observed, evidence/source, why it matters, and limitations.</w:t>
      </w:r>
    </w:p>
    <w:p>
      <w:pPr>
        <w:pStyle w:val="ListNumber"/>
        <w:spacing w:after="40"/>
      </w:pPr>
      <w:r>
        <w:t>Manage work: assign an owner, set a status, add notes, and optionally approve an external issue or draft merge/pull request when supported.</w:t>
      </w:r>
    </w:p>
    <w:p>
      <w:pPr>
        <w:pStyle w:val="ListNumber"/>
        <w:spacing w:after="40"/>
      </w:pPr>
      <w:r>
        <w:t>Verify resolution: rerun relevant checks and retain the finding history, including whether it was fixed, reappeared, or was dismissed.</w:t>
      </w:r>
    </w:p>
    <w:p>
      <w:pPr>
        <w:pStyle w:val="Heading2"/>
      </w:pPr>
      <w:r>
        <w:t>Main dashboard</w:t>
      </w:r>
    </w:p>
    <w:p>
      <w:r>
        <w:t>The dashboard should summarize monitored repositories, healthy/at-risk/critical counts, open findings by severity, recent check activity, provider coverage, and the next recommended actions. Filters should include workspace, provider, organization/group, repository, owner, status, severity, check type, and date range. Every count must be computed from real stored results; demo data must be labelled as sample data.</w:t>
      </w:r>
    </w:p>
    <w:p>
      <w:pPr>
        <w:pStyle w:val="Heading1"/>
      </w:pPr>
      <w:r>
        <w:t>4. Health model and diagnostic checks</w:t>
      </w:r>
    </w:p>
    <w:p>
      <w:r>
        <w:t>A health score is a summary, not a universal truth. Show the underlying checks and evidence alongside any score. Missing data should be shown as 'Unknown' or 'Not checked', not automatically treated as a failure.</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244A80"/>
          </w:tcPr>
          <w:p>
            <w:pPr>
              <w:spacing w:after="20"/>
            </w:pPr>
            <w:r/>
            <w:r>
              <w:rPr>
                <w:b/>
                <w:color w:val="FFFFFF"/>
                <w:sz w:val="17"/>
              </w:rPr>
              <w:t>Check family</w:t>
            </w:r>
          </w:p>
        </w:tc>
        <w:tc>
          <w:tcPr>
            <w:tcW w:type="dxa" w:w="3888"/>
            <w:vAlign w:val="center"/>
            <w:shd w:fill="244A80"/>
          </w:tcPr>
          <w:p>
            <w:pPr>
              <w:spacing w:after="20"/>
            </w:pPr>
            <w:r/>
            <w:r>
              <w:rPr>
                <w:b/>
                <w:color w:val="FFFFFF"/>
                <w:sz w:val="17"/>
              </w:rPr>
              <w:t>Example signals</w:t>
            </w:r>
          </w:p>
        </w:tc>
        <w:tc>
          <w:tcPr>
            <w:tcW w:type="dxa" w:w="4248"/>
            <w:vAlign w:val="center"/>
            <w:shd w:fill="244A80"/>
          </w:tcPr>
          <w:p>
            <w:pPr>
              <w:spacing w:after="20"/>
            </w:pPr>
            <w:r/>
            <w:r>
              <w:rPr>
                <w:b/>
                <w:color w:val="FFFFFF"/>
                <w:sz w:val="17"/>
              </w:rPr>
              <w:t>Notes</w:t>
            </w:r>
          </w:p>
        </w:tc>
      </w:tr>
      <w:tr>
        <w:tc>
          <w:tcPr>
            <w:tcW w:type="dxa" w:w="1800"/>
            <w:vAlign w:val="center"/>
          </w:tcPr>
          <w:p>
            <w:pPr>
              <w:spacing w:after="20"/>
            </w:pPr>
            <w:r/>
            <w:r>
              <w:rPr>
                <w:b w:val="0"/>
                <w:sz w:val="16"/>
              </w:rPr>
              <w:t>Availability</w:t>
            </w:r>
          </w:p>
        </w:tc>
        <w:tc>
          <w:tcPr>
            <w:tcW w:type="dxa" w:w="3888"/>
            <w:vAlign w:val="center"/>
          </w:tcPr>
          <w:p>
            <w:pPr>
              <w:spacing w:after="20"/>
            </w:pPr>
            <w:r/>
            <w:r>
              <w:rPr>
                <w:b w:val="0"/>
                <w:sz w:val="16"/>
              </w:rPr>
              <w:t>Repository URL reachable; configured public endpoint responds</w:t>
            </w:r>
          </w:p>
        </w:tc>
        <w:tc>
          <w:tcPr>
            <w:tcW w:type="dxa" w:w="4248"/>
            <w:vAlign w:val="center"/>
          </w:tcPr>
          <w:p>
            <w:pPr>
              <w:spacing w:after="20"/>
            </w:pPr>
            <w:r/>
            <w:r>
              <w:rPr>
                <w:b w:val="0"/>
                <w:sz w:val="16"/>
              </w:rPr>
              <w:t>A repository being reachable does not prove the software itself works.</w:t>
            </w:r>
          </w:p>
        </w:tc>
      </w:tr>
      <w:tr>
        <w:tc>
          <w:tcPr>
            <w:tcW w:type="dxa" w:w="1800"/>
            <w:vAlign w:val="center"/>
            <w:shd w:fill="F1F5FA"/>
          </w:tcPr>
          <w:p>
            <w:pPr>
              <w:spacing w:after="20"/>
            </w:pPr>
            <w:r/>
            <w:r>
              <w:rPr>
                <w:b w:val="0"/>
                <w:sz w:val="16"/>
              </w:rPr>
              <w:t>CI / build</w:t>
            </w:r>
          </w:p>
        </w:tc>
        <w:tc>
          <w:tcPr>
            <w:tcW w:type="dxa" w:w="3888"/>
            <w:vAlign w:val="center"/>
            <w:shd w:fill="F1F5FA"/>
          </w:tcPr>
          <w:p>
            <w:pPr>
              <w:spacing w:after="20"/>
            </w:pPr>
            <w:r/>
            <w:r>
              <w:rPr>
                <w:b w:val="0"/>
                <w:sz w:val="16"/>
              </w:rPr>
              <w:t>Latest pipeline status, repeated failures, test workflow presence</w:t>
            </w:r>
          </w:p>
        </w:tc>
        <w:tc>
          <w:tcPr>
            <w:tcW w:type="dxa" w:w="4248"/>
            <w:vAlign w:val="center"/>
            <w:shd w:fill="F1F5FA"/>
          </w:tcPr>
          <w:p>
            <w:pPr>
              <w:spacing w:after="20"/>
            </w:pPr>
            <w:r/>
            <w:r>
              <w:rPr>
                <w:b w:val="0"/>
                <w:sz w:val="16"/>
              </w:rPr>
              <w:t>Only available when provider exposes CI data or the repository contains detectable configuration.</w:t>
            </w:r>
          </w:p>
        </w:tc>
      </w:tr>
      <w:tr>
        <w:tc>
          <w:tcPr>
            <w:tcW w:type="dxa" w:w="1800"/>
            <w:vAlign w:val="center"/>
          </w:tcPr>
          <w:p>
            <w:pPr>
              <w:spacing w:after="20"/>
            </w:pPr>
            <w:r/>
            <w:r>
              <w:rPr>
                <w:b w:val="0"/>
                <w:sz w:val="16"/>
              </w:rPr>
              <w:t>Dependencies</w:t>
            </w:r>
          </w:p>
        </w:tc>
        <w:tc>
          <w:tcPr>
            <w:tcW w:type="dxa" w:w="3888"/>
            <w:vAlign w:val="center"/>
          </w:tcPr>
          <w:p>
            <w:pPr>
              <w:spacing w:after="20"/>
            </w:pPr>
            <w:r/>
            <w:r>
              <w:rPr>
                <w:b w:val="0"/>
                <w:sz w:val="16"/>
              </w:rPr>
              <w:t>Known deprecated packages, vulnerable/outdated dependency alerts, lockfile age</w:t>
            </w:r>
          </w:p>
        </w:tc>
        <w:tc>
          <w:tcPr>
            <w:tcW w:type="dxa" w:w="4248"/>
            <w:vAlign w:val="center"/>
          </w:tcPr>
          <w:p>
            <w:pPr>
              <w:spacing w:after="20"/>
            </w:pPr>
            <w:r/>
            <w:r>
              <w:rPr>
                <w:b w:val="0"/>
                <w:sz w:val="16"/>
              </w:rPr>
              <w:t>Severity depends on verified advisories, package ecosystem, and supported versions.</w:t>
            </w:r>
          </w:p>
        </w:tc>
      </w:tr>
      <w:tr>
        <w:tc>
          <w:tcPr>
            <w:tcW w:type="dxa" w:w="1800"/>
            <w:vAlign w:val="center"/>
            <w:shd w:fill="F1F5FA"/>
          </w:tcPr>
          <w:p>
            <w:pPr>
              <w:spacing w:after="20"/>
            </w:pPr>
            <w:r/>
            <w:r>
              <w:rPr>
                <w:b w:val="0"/>
                <w:sz w:val="16"/>
              </w:rPr>
              <w:t>Maintenance activity</w:t>
            </w:r>
          </w:p>
        </w:tc>
        <w:tc>
          <w:tcPr>
            <w:tcW w:type="dxa" w:w="3888"/>
            <w:vAlign w:val="center"/>
            <w:shd w:fill="F1F5FA"/>
          </w:tcPr>
          <w:p>
            <w:pPr>
              <w:spacing w:after="20"/>
            </w:pPr>
            <w:r/>
            <w:r>
              <w:rPr>
                <w:b w:val="0"/>
                <w:sz w:val="16"/>
              </w:rPr>
              <w:t>Release age, commit activity, unresolved issues/merge requests</w:t>
            </w:r>
          </w:p>
        </w:tc>
        <w:tc>
          <w:tcPr>
            <w:tcW w:type="dxa" w:w="4248"/>
            <w:vAlign w:val="center"/>
            <w:shd w:fill="F1F5FA"/>
          </w:tcPr>
          <w:p>
            <w:pPr>
              <w:spacing w:after="20"/>
            </w:pPr>
            <w:r/>
            <w:r>
              <w:rPr>
                <w:b w:val="0"/>
                <w:sz w:val="16"/>
              </w:rPr>
              <w:t>Activity is a signal, not proof of abandonment; some projects are stable or seasonal.</w:t>
            </w:r>
          </w:p>
        </w:tc>
      </w:tr>
      <w:tr>
        <w:tc>
          <w:tcPr>
            <w:tcW w:type="dxa" w:w="1800"/>
            <w:vAlign w:val="center"/>
          </w:tcPr>
          <w:p>
            <w:pPr>
              <w:spacing w:after="20"/>
            </w:pPr>
            <w:r/>
            <w:r>
              <w:rPr>
                <w:b w:val="0"/>
                <w:sz w:val="16"/>
              </w:rPr>
              <w:t>Security signals</w:t>
            </w:r>
          </w:p>
        </w:tc>
        <w:tc>
          <w:tcPr>
            <w:tcW w:type="dxa" w:w="3888"/>
            <w:vAlign w:val="center"/>
          </w:tcPr>
          <w:p>
            <w:pPr>
              <w:spacing w:after="20"/>
            </w:pPr>
            <w:r/>
            <w:r>
              <w:rPr>
                <w:b w:val="0"/>
                <w:sz w:val="16"/>
              </w:rPr>
              <w:t>Provider alerts, exposed-secret alerts, dependency advisories where permitted</w:t>
            </w:r>
          </w:p>
        </w:tc>
        <w:tc>
          <w:tcPr>
            <w:tcW w:type="dxa" w:w="4248"/>
            <w:vAlign w:val="center"/>
          </w:tcPr>
          <w:p>
            <w:pPr>
              <w:spacing w:after="20"/>
            </w:pPr>
            <w:r/>
            <w:r>
              <w:rPr>
                <w:b w:val="0"/>
                <w:sz w:val="16"/>
              </w:rPr>
              <w:t>Do not claim a security audit unless the corresponding scan actually ran.</w:t>
            </w:r>
          </w:p>
        </w:tc>
      </w:tr>
      <w:tr>
        <w:tc>
          <w:tcPr>
            <w:tcW w:type="dxa" w:w="1800"/>
            <w:vAlign w:val="center"/>
            <w:shd w:fill="F1F5FA"/>
          </w:tcPr>
          <w:p>
            <w:pPr>
              <w:spacing w:after="20"/>
            </w:pPr>
            <w:r/>
            <w:r>
              <w:rPr>
                <w:b w:val="0"/>
                <w:sz w:val="16"/>
              </w:rPr>
              <w:t>Documentation</w:t>
            </w:r>
          </w:p>
        </w:tc>
        <w:tc>
          <w:tcPr>
            <w:tcW w:type="dxa" w:w="3888"/>
            <w:vAlign w:val="center"/>
            <w:shd w:fill="F1F5FA"/>
          </w:tcPr>
          <w:p>
            <w:pPr>
              <w:spacing w:after="20"/>
            </w:pPr>
            <w:r/>
            <w:r>
              <w:rPr>
                <w:b w:val="0"/>
                <w:sz w:val="16"/>
              </w:rPr>
              <w:t>README presence, installation docs, broken documentation links</w:t>
            </w:r>
          </w:p>
        </w:tc>
        <w:tc>
          <w:tcPr>
            <w:tcW w:type="dxa" w:w="4248"/>
            <w:vAlign w:val="center"/>
            <w:shd w:fill="F1F5FA"/>
          </w:tcPr>
          <w:p>
            <w:pPr>
              <w:spacing w:after="20"/>
            </w:pPr>
            <w:r/>
            <w:r>
              <w:rPr>
                <w:b w:val="0"/>
                <w:sz w:val="16"/>
              </w:rPr>
              <w:t>Automated checks are heuristic and need transparent evidence.</w:t>
            </w:r>
          </w:p>
        </w:tc>
      </w:tr>
      <w:tr>
        <w:tc>
          <w:tcPr>
            <w:tcW w:type="dxa" w:w="1800"/>
            <w:vAlign w:val="center"/>
          </w:tcPr>
          <w:p>
            <w:pPr>
              <w:spacing w:after="20"/>
            </w:pPr>
            <w:r/>
            <w:r>
              <w:rPr>
                <w:b w:val="0"/>
                <w:sz w:val="16"/>
              </w:rPr>
              <w:t>Compatibility</w:t>
            </w:r>
          </w:p>
        </w:tc>
        <w:tc>
          <w:tcPr>
            <w:tcW w:type="dxa" w:w="3888"/>
            <w:vAlign w:val="center"/>
          </w:tcPr>
          <w:p>
            <w:pPr>
              <w:spacing w:after="20"/>
            </w:pPr>
            <w:r/>
            <w:r>
              <w:rPr>
                <w:b w:val="0"/>
                <w:sz w:val="16"/>
              </w:rPr>
              <w:t>Runtime/version support, configuration drift, deprecated API usage</w:t>
            </w:r>
          </w:p>
        </w:tc>
        <w:tc>
          <w:tcPr>
            <w:tcW w:type="dxa" w:w="4248"/>
            <w:vAlign w:val="center"/>
          </w:tcPr>
          <w:p>
            <w:pPr>
              <w:spacing w:after="20"/>
            </w:pPr>
            <w:r/>
            <w:r>
              <w:rPr>
                <w:b w:val="0"/>
                <w:sz w:val="16"/>
              </w:rPr>
              <w:t>Only report when the tool has enough repository or environment evidence.</w:t>
            </w:r>
          </w:p>
        </w:tc>
      </w:tr>
      <w:tr>
        <w:tc>
          <w:tcPr>
            <w:tcW w:type="dxa" w:w="1800"/>
            <w:vAlign w:val="center"/>
            <w:shd w:fill="F1F5FA"/>
          </w:tcPr>
          <w:p>
            <w:pPr>
              <w:spacing w:after="20"/>
            </w:pPr>
            <w:r/>
            <w:r>
              <w:rPr>
                <w:b w:val="0"/>
                <w:sz w:val="16"/>
              </w:rPr>
              <w:t>Community / ownership</w:t>
            </w:r>
          </w:p>
        </w:tc>
        <w:tc>
          <w:tcPr>
            <w:tcW w:type="dxa" w:w="3888"/>
            <w:vAlign w:val="center"/>
            <w:shd w:fill="F1F5FA"/>
          </w:tcPr>
          <w:p>
            <w:pPr>
              <w:spacing w:after="20"/>
            </w:pPr>
            <w:r/>
            <w:r>
              <w:rPr>
                <w:b w:val="0"/>
                <w:sz w:val="16"/>
              </w:rPr>
              <w:t>Maintainer metadata, contribution guide, response patterns where measurable</w:t>
            </w:r>
          </w:p>
        </w:tc>
        <w:tc>
          <w:tcPr>
            <w:tcW w:type="dxa" w:w="4248"/>
            <w:vAlign w:val="center"/>
            <w:shd w:fill="F1F5FA"/>
          </w:tcPr>
          <w:p>
            <w:pPr>
              <w:spacing w:after="20"/>
            </w:pPr>
            <w:r/>
            <w:r>
              <w:rPr>
                <w:b w:val="0"/>
                <w:sz w:val="16"/>
              </w:rPr>
              <w:t>Avoid inferring personal availability or intent from public activity alone.</w:t>
            </w:r>
          </w:p>
        </w:tc>
      </w:tr>
    </w:tbl>
    <w:p/>
    <w:p>
      <w:pPr>
        <w:pStyle w:val="Heading2"/>
      </w:pPr>
      <w:r>
        <w:t>Finding format</w:t>
      </w:r>
    </w:p>
    <w:p>
      <w:pPr>
        <w:pStyle w:val="ListBullet"/>
        <w:spacing w:after="40"/>
      </w:pPr>
      <w:r>
        <w:t>Title and plain-language explanation</w:t>
      </w:r>
    </w:p>
    <w:p>
      <w:pPr>
        <w:pStyle w:val="ListBullet"/>
        <w:spacing w:after="40"/>
      </w:pPr>
      <w:r>
        <w:t>Severity: Informational, Low, Medium, High, or Critical, with documented rules</w:t>
      </w:r>
    </w:p>
    <w:p>
      <w:pPr>
        <w:pStyle w:val="ListBullet"/>
        <w:spacing w:after="40"/>
      </w:pPr>
      <w:r>
        <w:t>Status: Open, In progress, Resolved, Dismissed, or Needs verification</w:t>
      </w:r>
    </w:p>
    <w:p>
      <w:pPr>
        <w:pStyle w:val="ListBullet"/>
        <w:spacing w:after="40"/>
      </w:pPr>
      <w:r>
        <w:t>Evidence: URL, API record, log excerpt, timestamp, and check version where appropriate</w:t>
      </w:r>
    </w:p>
    <w:p>
      <w:pPr>
        <w:pStyle w:val="ListBullet"/>
        <w:spacing w:after="40"/>
      </w:pPr>
      <w:r>
        <w:t>Confidence and limitations, particularly for heuristic findings</w:t>
      </w:r>
    </w:p>
    <w:p>
      <w:pPr>
        <w:pStyle w:val="ListBullet"/>
        <w:spacing w:after="40"/>
      </w:pPr>
      <w:r>
        <w:t>Recommended next step and links to relevant documentation/issues</w:t>
      </w:r>
    </w:p>
    <w:p>
      <w:pPr>
        <w:pStyle w:val="ListBullet"/>
        <w:spacing w:after="40"/>
      </w:pPr>
      <w:r>
        <w:t>First seen, last seen, recurrence history, and deduplication fingerprint</w:t>
      </w:r>
    </w:p>
    <w:p>
      <w:pPr>
        <w:pStyle w:val="Heading1"/>
      </w:pPr>
      <w:r>
        <w:t>5. Technology architecture</w:t>
      </w:r>
    </w:p>
    <w:p>
      <w:r>
        <w:t>Recommended baseline: Next.js with React for the web interface; Django for the application API, authorization, provider integrations, and domain logic; PostgreSQL as the durable source of truth; Redis and Celery for background work. Choose one API style for the initial implementation. If GraphQL is retained, use it consistently through Django (for example, with a suitable Django GraphQL library); do not describe the same service as FastAPI in one section and Django in another.</w:t>
      </w:r>
    </w:p>
    <w:tbl>
      <w:tblPr>
        <w:tblStyle w:val="TableGrid"/>
        <w:tblW w:type="auto" w:w="0"/>
        <w:tblLook w:firstColumn="1" w:firstRow="1" w:lastColumn="0" w:lastRow="0" w:noHBand="0" w:noVBand="1" w:val="04A0"/>
      </w:tblPr>
      <w:tblGrid>
        <w:gridCol w:w="9994"/>
      </w:tblGrid>
      <w:tr>
        <w:tc>
          <w:tcPr>
            <w:tcW w:type="dxa" w:w="9994"/>
            <w:shd w:fill="F3F6FA"/>
          </w:tcPr>
          <w:p>
            <w:pPr>
              <w:spacing w:after="0"/>
            </w:pPr>
            <w:r/>
            <w:r>
              <w:rPr>
                <w:rFonts w:ascii="Consolas" w:hAnsi="Consolas"/>
                <w:color w:val="233750"/>
                <w:sz w:val="16"/>
              </w:rPr>
              <w:t>User / Maintainer</w:t>
            </w:r>
          </w:p>
          <w:p>
            <w:pPr>
              <w:spacing w:after="0"/>
            </w:pPr>
            <w:r>
              <w:rPr>
                <w:rFonts w:ascii="Consolas" w:hAnsi="Consolas"/>
                <w:color w:val="233750"/>
                <w:sz w:val="16"/>
              </w:rPr>
              <w:t xml:space="preserve">       |</w:t>
            </w:r>
          </w:p>
          <w:p>
            <w:pPr>
              <w:spacing w:after="0"/>
            </w:pPr>
            <w:r>
              <w:rPr>
                <w:rFonts w:ascii="Consolas" w:hAnsi="Consolas"/>
                <w:color w:val="233750"/>
                <w:sz w:val="16"/>
              </w:rPr>
              <w:t xml:space="preserve">       v</w:t>
            </w:r>
          </w:p>
          <w:p>
            <w:pPr>
              <w:spacing w:after="0"/>
            </w:pPr>
            <w:r>
              <w:rPr>
                <w:rFonts w:ascii="Consolas" w:hAnsi="Consolas"/>
                <w:color w:val="233750"/>
                <w:sz w:val="16"/>
              </w:rPr>
              <w:t>Next.js + React web app</w:t>
            </w:r>
          </w:p>
          <w:p>
            <w:pPr>
              <w:spacing w:after="0"/>
            </w:pPr>
            <w:r>
              <w:rPr>
                <w:rFonts w:ascii="Consolas" w:hAnsi="Consolas"/>
                <w:color w:val="233750"/>
                <w:sz w:val="16"/>
              </w:rPr>
              <w:t xml:space="preserve">       | HTTPS API (GraphQL or REST; choose one for v1)</w:t>
            </w:r>
          </w:p>
          <w:p>
            <w:pPr>
              <w:spacing w:after="0"/>
            </w:pPr>
            <w:r>
              <w:rPr>
                <w:rFonts w:ascii="Consolas" w:hAnsi="Consolas"/>
                <w:color w:val="233750"/>
                <w:sz w:val="16"/>
              </w:rPr>
              <w:t xml:space="preserve">       v</w:t>
            </w:r>
          </w:p>
          <w:p>
            <w:pPr>
              <w:spacing w:after="0"/>
            </w:pPr>
            <w:r>
              <w:rPr>
                <w:rFonts w:ascii="Consolas" w:hAnsi="Consolas"/>
                <w:color w:val="233750"/>
                <w:sz w:val="16"/>
              </w:rPr>
              <w:t>Django application API -------- PostgreSQL</w:t>
            </w:r>
          </w:p>
          <w:p>
            <w:pPr>
              <w:spacing w:after="0"/>
            </w:pPr>
            <w:r>
              <w:rPr>
                <w:rFonts w:ascii="Consolas" w:hAnsi="Consolas"/>
                <w:color w:val="233750"/>
                <w:sz w:val="16"/>
              </w:rPr>
              <w:t xml:space="preserve">       |                              ^</w:t>
            </w:r>
          </w:p>
          <w:p>
            <w:pPr>
              <w:spacing w:after="0"/>
            </w:pPr>
            <w:r>
              <w:rPr>
                <w:rFonts w:ascii="Consolas" w:hAnsi="Consolas"/>
                <w:color w:val="233750"/>
                <w:sz w:val="16"/>
              </w:rPr>
              <w:t xml:space="preserve">       | enqueue jobs                 | findings, checks, users,</w:t>
            </w:r>
          </w:p>
          <w:p>
            <w:pPr>
              <w:spacing w:after="0"/>
            </w:pPr>
            <w:r>
              <w:rPr>
                <w:rFonts w:ascii="Consolas" w:hAnsi="Consolas"/>
                <w:color w:val="233750"/>
                <w:sz w:val="16"/>
              </w:rPr>
              <w:t xml:space="preserve">       v                              | provider links, audit history</w:t>
            </w:r>
          </w:p>
          <w:p>
            <w:pPr>
              <w:spacing w:after="0"/>
            </w:pPr>
            <w:r>
              <w:rPr>
                <w:rFonts w:ascii="Consolas" w:hAnsi="Consolas"/>
                <w:color w:val="233750"/>
                <w:sz w:val="16"/>
              </w:rPr>
              <w:t>Redis task broker/cache</w:t>
            </w:r>
          </w:p>
          <w:p>
            <w:pPr>
              <w:spacing w:after="0"/>
            </w:pPr>
            <w:r>
              <w:rPr>
                <w:rFonts w:ascii="Consolas" w:hAnsi="Consolas"/>
                <w:color w:val="233750"/>
                <w:sz w:val="16"/>
              </w:rPr>
              <w:t xml:space="preserve">       |</w:t>
            </w:r>
          </w:p>
          <w:p>
            <w:pPr>
              <w:spacing w:after="0"/>
            </w:pPr>
            <w:r>
              <w:rPr>
                <w:rFonts w:ascii="Consolas" w:hAnsi="Consolas"/>
                <w:color w:val="233750"/>
                <w:sz w:val="16"/>
              </w:rPr>
              <w:t>Celery workers + scheduler</w:t>
            </w:r>
          </w:p>
          <w:p>
            <w:pPr>
              <w:spacing w:after="0"/>
            </w:pPr>
            <w:r>
              <w:rPr>
                <w:rFonts w:ascii="Consolas" w:hAnsi="Consolas"/>
                <w:color w:val="233750"/>
                <w:sz w:val="16"/>
              </w:rPr>
              <w:t xml:space="preserve">       |</w:t>
            </w:r>
          </w:p>
          <w:p>
            <w:pPr>
              <w:spacing w:after="0"/>
            </w:pPr>
            <w:r>
              <w:rPr>
                <w:rFonts w:ascii="Consolas" w:hAnsi="Consolas"/>
                <w:color w:val="233750"/>
                <w:sz w:val="16"/>
              </w:rPr>
              <w:t xml:space="preserve">       +--&gt; Provider adapters</w:t>
            </w:r>
          </w:p>
          <w:p>
            <w:pPr>
              <w:spacing w:after="0"/>
            </w:pPr>
            <w:r>
              <w:rPr>
                <w:rFonts w:ascii="Consolas" w:hAnsi="Consolas"/>
                <w:color w:val="233750"/>
                <w:sz w:val="16"/>
              </w:rPr>
              <w:t xml:space="preserve">       |      +--&gt; GitHub</w:t>
            </w:r>
          </w:p>
          <w:p>
            <w:pPr>
              <w:spacing w:after="0"/>
            </w:pPr>
            <w:r>
              <w:rPr>
                <w:rFonts w:ascii="Consolas" w:hAnsi="Consolas"/>
                <w:color w:val="233750"/>
                <w:sz w:val="16"/>
              </w:rPr>
              <w:t xml:space="preserve">       |      +--&gt; GitLab</w:t>
            </w:r>
          </w:p>
          <w:p>
            <w:pPr>
              <w:spacing w:after="0"/>
            </w:pPr>
            <w:r>
              <w:rPr>
                <w:rFonts w:ascii="Consolas" w:hAnsi="Consolas"/>
                <w:color w:val="233750"/>
                <w:sz w:val="16"/>
              </w:rPr>
              <w:t xml:space="preserve">       |      +--&gt; Wikimedia-related APIs / repository hosts</w:t>
            </w:r>
          </w:p>
          <w:p>
            <w:pPr>
              <w:spacing w:after="0"/>
            </w:pPr>
            <w:r>
              <w:rPr>
                <w:rFonts w:ascii="Consolas" w:hAnsi="Consolas"/>
                <w:color w:val="233750"/>
                <w:sz w:val="16"/>
              </w:rPr>
              <w:t xml:space="preserve">       |      +--&gt; Codeberg / Gitea / Forgejo / Bitbucket / others</w:t>
            </w:r>
          </w:p>
          <w:p>
            <w:pPr>
              <w:spacing w:after="0"/>
            </w:pPr>
            <w:r>
              <w:rPr>
                <w:rFonts w:ascii="Consolas" w:hAnsi="Consolas"/>
                <w:color w:val="233750"/>
                <w:sz w:val="16"/>
              </w:rPr>
              <w:t xml:space="preserve">       |</w:t>
            </w:r>
          </w:p>
          <w:p>
            <w:pPr>
              <w:spacing w:after="0"/>
            </w:pPr>
            <w:r>
              <w:rPr>
                <w:rFonts w:ascii="Consolas" w:hAnsi="Consolas"/>
                <w:color w:val="233750"/>
                <w:sz w:val="16"/>
              </w:rPr>
              <w:t xml:space="preserve">       +--&gt; checks --&gt; findings --&gt; recommendations / notifications</w:t>
            </w:r>
          </w:p>
          <w:p>
            <w:pPr>
              <w:spacing w:after="0"/>
            </w:pPr>
            <w:r>
              <w:rPr>
                <w:rFonts w:ascii="Consolas" w:hAnsi="Consolas"/>
                <w:color w:val="233750"/>
                <w:sz w:val="16"/>
              </w:rPr>
            </w:r>
          </w:p>
          <w:p>
            <w:pPr>
              <w:spacing w:after="0"/>
            </w:pPr>
            <w:r>
              <w:rPr>
                <w:rFonts w:ascii="Consolas" w:hAnsi="Consolas"/>
                <w:color w:val="233750"/>
                <w:sz w:val="16"/>
              </w:rPr>
              <w:t>Provider webhooks --&gt; verified webhook receiver --&gt; queued jobs</w:t>
            </w:r>
          </w:p>
        </w:tc>
      </w:tr>
    </w:tbl>
    <w:p/>
    <w:p>
      <w:pPr>
        <w:pStyle w:val="Heading2"/>
      </w:pPr>
      <w:r>
        <w:t>Component responsibilities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244A80"/>
          </w:tcPr>
          <w:p>
            <w:pPr>
              <w:spacing w:after="20"/>
            </w:pPr>
            <w:r/>
            <w:r>
              <w:rPr>
                <w:b/>
                <w:color w:val="FFFFFF"/>
                <w:sz w:val="17"/>
              </w:rPr>
              <w:t>Component</w:t>
            </w:r>
          </w:p>
        </w:tc>
        <w:tc>
          <w:tcPr>
            <w:tcW w:type="dxa" w:w="7488"/>
            <w:vAlign w:val="center"/>
            <w:shd w:fill="244A80"/>
          </w:tcPr>
          <w:p>
            <w:pPr>
              <w:spacing w:after="20"/>
            </w:pPr>
            <w:r/>
            <w:r>
              <w:rPr>
                <w:b/>
                <w:color w:val="FFFFFF"/>
                <w:sz w:val="17"/>
              </w:rPr>
              <w:t>Responsibility</w:t>
            </w:r>
          </w:p>
        </w:tc>
      </w:tr>
      <w:tr>
        <w:tc>
          <w:tcPr>
            <w:tcW w:type="dxa" w:w="2448"/>
            <w:vAlign w:val="center"/>
          </w:tcPr>
          <w:p>
            <w:pPr>
              <w:spacing w:after="20"/>
            </w:pPr>
            <w:r/>
            <w:r>
              <w:rPr>
                <w:b w:val="0"/>
                <w:sz w:val="16"/>
              </w:rPr>
              <w:t>Next.js + React</w:t>
            </w:r>
          </w:p>
        </w:tc>
        <w:tc>
          <w:tcPr>
            <w:tcW w:type="dxa" w:w="7488"/>
            <w:vAlign w:val="center"/>
          </w:tcPr>
          <w:p>
            <w:pPr>
              <w:spacing w:after="20"/>
            </w:pPr>
            <w:r/>
            <w:r>
              <w:rPr>
                <w:b w:val="0"/>
                <w:sz w:val="16"/>
              </w:rPr>
              <w:t>Public landing page, sign-in, workspace dashboard, repository explorer, health reports, findings, settings, and approval screens.</w:t>
            </w:r>
          </w:p>
        </w:tc>
      </w:tr>
      <w:tr>
        <w:tc>
          <w:tcPr>
            <w:tcW w:type="dxa" w:w="2448"/>
            <w:vAlign w:val="center"/>
            <w:shd w:fill="F1F5FA"/>
          </w:tcPr>
          <w:p>
            <w:pPr>
              <w:spacing w:after="20"/>
            </w:pPr>
            <w:r/>
            <w:r>
              <w:rPr>
                <w:b w:val="0"/>
                <w:sz w:val="16"/>
              </w:rPr>
              <w:t>Django API</w:t>
            </w:r>
          </w:p>
        </w:tc>
        <w:tc>
          <w:tcPr>
            <w:tcW w:type="dxa" w:w="7488"/>
            <w:vAlign w:val="center"/>
            <w:shd w:fill="F1F5FA"/>
          </w:tcPr>
          <w:p>
            <w:pPr>
              <w:spacing w:after="20"/>
            </w:pPr>
            <w:r/>
            <w:r>
              <w:rPr>
                <w:b w:val="0"/>
                <w:sz w:val="16"/>
              </w:rPr>
              <w:t>Authentication, workspace authorization, domain rules, provider connection lifecycle, normalized data, API endpoints, and audit recording.</w:t>
            </w:r>
          </w:p>
        </w:tc>
      </w:tr>
      <w:tr>
        <w:tc>
          <w:tcPr>
            <w:tcW w:type="dxa" w:w="2448"/>
            <w:vAlign w:val="center"/>
          </w:tcPr>
          <w:p>
            <w:pPr>
              <w:spacing w:after="20"/>
            </w:pPr>
            <w:r/>
            <w:r>
              <w:rPr>
                <w:b w:val="0"/>
                <w:sz w:val="16"/>
              </w:rPr>
              <w:t>Provider adapters</w:t>
            </w:r>
          </w:p>
        </w:tc>
        <w:tc>
          <w:tcPr>
            <w:tcW w:type="dxa" w:w="7488"/>
            <w:vAlign w:val="center"/>
          </w:tcPr>
          <w:p>
            <w:pPr>
              <w:spacing w:after="20"/>
            </w:pPr>
            <w:r/>
            <w:r>
              <w:rPr>
                <w:b w:val="0"/>
                <w:sz w:val="16"/>
              </w:rPr>
              <w:t>Translate provider-specific repositories, events, CI, releases, issues, permissions, pagination, and rate limits into a common interface.</w:t>
            </w:r>
          </w:p>
        </w:tc>
      </w:tr>
      <w:tr>
        <w:tc>
          <w:tcPr>
            <w:tcW w:type="dxa" w:w="2448"/>
            <w:vAlign w:val="center"/>
            <w:shd w:fill="F1F5FA"/>
          </w:tcPr>
          <w:p>
            <w:pPr>
              <w:spacing w:after="20"/>
            </w:pPr>
            <w:r/>
            <w:r>
              <w:rPr>
                <w:b w:val="0"/>
                <w:sz w:val="16"/>
              </w:rPr>
              <w:t>PostgreSQL</w:t>
            </w:r>
          </w:p>
        </w:tc>
        <w:tc>
          <w:tcPr>
            <w:tcW w:type="dxa" w:w="7488"/>
            <w:vAlign w:val="center"/>
            <w:shd w:fill="F1F5FA"/>
          </w:tcPr>
          <w:p>
            <w:pPr>
              <w:spacing w:after="20"/>
            </w:pPr>
            <w:r/>
            <w:r>
              <w:rPr>
                <w:b w:val="0"/>
                <w:sz w:val="16"/>
              </w:rPr>
              <w:t>Users/workspaces, provider connections metadata, repositories, check definitions/runs, findings, recommendations, approvals, and audit events.</w:t>
            </w:r>
          </w:p>
        </w:tc>
      </w:tr>
      <w:tr>
        <w:tc>
          <w:tcPr>
            <w:tcW w:type="dxa" w:w="2448"/>
            <w:vAlign w:val="center"/>
          </w:tcPr>
          <w:p>
            <w:pPr>
              <w:spacing w:after="20"/>
            </w:pPr>
            <w:r/>
            <w:r>
              <w:rPr>
                <w:b w:val="0"/>
                <w:sz w:val="16"/>
              </w:rPr>
              <w:t>Redis + Celery</w:t>
            </w:r>
          </w:p>
        </w:tc>
        <w:tc>
          <w:tcPr>
            <w:tcW w:type="dxa" w:w="7488"/>
            <w:vAlign w:val="center"/>
          </w:tcPr>
          <w:p>
            <w:pPr>
              <w:spacing w:after="20"/>
            </w:pPr>
            <w:r/>
            <w:r>
              <w:rPr>
                <w:b w:val="0"/>
                <w:sz w:val="16"/>
              </w:rPr>
              <w:t>Queue and execute scheduled/event-triggered checks, retries, notifications, and long-running scans; Redis is not the durable record store.</w:t>
            </w:r>
          </w:p>
        </w:tc>
      </w:tr>
      <w:tr>
        <w:tc>
          <w:tcPr>
            <w:tcW w:type="dxa" w:w="2448"/>
            <w:vAlign w:val="center"/>
            <w:shd w:fill="F1F5FA"/>
          </w:tcPr>
          <w:p>
            <w:pPr>
              <w:spacing w:after="20"/>
            </w:pPr>
            <w:r/>
            <w:r>
              <w:rPr>
                <w:b w:val="0"/>
                <w:sz w:val="16"/>
              </w:rPr>
              <w:t>Scheduler</w:t>
            </w:r>
          </w:p>
        </w:tc>
        <w:tc>
          <w:tcPr>
            <w:tcW w:type="dxa" w:w="7488"/>
            <w:vAlign w:val="center"/>
            <w:shd w:fill="F1F5FA"/>
          </w:tcPr>
          <w:p>
            <w:pPr>
              <w:spacing w:after="20"/>
            </w:pPr>
            <w:r/>
            <w:r>
              <w:rPr>
                <w:b w:val="0"/>
                <w:sz w:val="16"/>
              </w:rPr>
              <w:t>Enqueue recurring checks at configured intervals with concurrency limits and per-provider rate-limit awareness.</w:t>
            </w:r>
          </w:p>
        </w:tc>
      </w:tr>
      <w:tr>
        <w:tc>
          <w:tcPr>
            <w:tcW w:type="dxa" w:w="2448"/>
            <w:vAlign w:val="center"/>
          </w:tcPr>
          <w:p>
            <w:pPr>
              <w:spacing w:after="20"/>
            </w:pPr>
            <w:r/>
            <w:r>
              <w:rPr>
                <w:b w:val="0"/>
                <w:sz w:val="16"/>
              </w:rPr>
              <w:t>Secrets manager / encrypted store</w:t>
            </w:r>
          </w:p>
        </w:tc>
        <w:tc>
          <w:tcPr>
            <w:tcW w:type="dxa" w:w="7488"/>
            <w:vAlign w:val="center"/>
          </w:tcPr>
          <w:p>
            <w:pPr>
              <w:spacing w:after="20"/>
            </w:pPr>
            <w:r/>
            <w:r>
              <w:rPr>
                <w:b w:val="0"/>
                <w:sz w:val="16"/>
              </w:rPr>
              <w:t>Safely store refresh tokens and credentials; never place plaintext tokens in normal repository or log records.</w:t>
            </w:r>
          </w:p>
        </w:tc>
      </w:tr>
    </w:tbl>
    <w:p/>
    <w:p>
      <w:pPr>
        <w:pStyle w:val="Heading1"/>
      </w:pPr>
      <w:r>
        <w:t>6. Suggested repository structure</w:t>
      </w:r>
    </w:p>
    <w:tbl>
      <w:tblPr>
        <w:tblStyle w:val="TableGrid"/>
        <w:tblW w:type="auto" w:w="0"/>
        <w:tblLook w:firstColumn="1" w:firstRow="1" w:lastColumn="0" w:lastRow="0" w:noHBand="0" w:noVBand="1" w:val="04A0"/>
      </w:tblPr>
      <w:tblGrid>
        <w:gridCol w:w="9994"/>
      </w:tblGrid>
      <w:tr>
        <w:tc>
          <w:tcPr>
            <w:tcW w:type="dxa" w:w="9994"/>
            <w:shd w:fill="F3F6FA"/>
          </w:tcPr>
          <w:p>
            <w:pPr>
              <w:spacing w:after="0"/>
            </w:pPr>
            <w:r/>
            <w:r>
              <w:rPr>
                <w:rFonts w:ascii="Consolas" w:hAnsi="Consolas"/>
                <w:color w:val="233750"/>
                <w:sz w:val="16"/>
              </w:rPr>
              <w:t>tool-doctor/</w:t>
            </w:r>
          </w:p>
          <w:p>
            <w:pPr>
              <w:spacing w:after="0"/>
            </w:pPr>
            <w:r>
              <w:rPr>
                <w:rFonts w:ascii="Consolas" w:hAnsi="Consolas"/>
                <w:color w:val="233750"/>
                <w:sz w:val="16"/>
              </w:rPr>
              <w:t>|-- apps/</w:t>
            </w:r>
          </w:p>
          <w:p>
            <w:pPr>
              <w:spacing w:after="0"/>
            </w:pPr>
            <w:r>
              <w:rPr>
                <w:rFonts w:ascii="Consolas" w:hAnsi="Consolas"/>
                <w:color w:val="233750"/>
                <w:sz w:val="16"/>
              </w:rPr>
              <w:t>|   |-- web/                         # Next.js + React</w:t>
            </w:r>
          </w:p>
          <w:p>
            <w:pPr>
              <w:spacing w:after="0"/>
            </w:pPr>
            <w:r>
              <w:rPr>
                <w:rFonts w:ascii="Consolas" w:hAnsi="Consolas"/>
                <w:color w:val="233750"/>
                <w:sz w:val="16"/>
              </w:rPr>
              <w:t>|   |   |-- app/                     # landing page and application routes</w:t>
            </w:r>
          </w:p>
          <w:p>
            <w:pPr>
              <w:spacing w:after="0"/>
            </w:pPr>
            <w:r>
              <w:rPr>
                <w:rFonts w:ascii="Consolas" w:hAnsi="Consolas"/>
                <w:color w:val="233750"/>
                <w:sz w:val="16"/>
              </w:rPr>
              <w:t>|   |   |-- components/              # shared UI components</w:t>
            </w:r>
          </w:p>
          <w:p>
            <w:pPr>
              <w:spacing w:after="0"/>
            </w:pPr>
            <w:r>
              <w:rPr>
                <w:rFonts w:ascii="Consolas" w:hAnsi="Consolas"/>
                <w:color w:val="233750"/>
                <w:sz w:val="16"/>
              </w:rPr>
              <w:t>|   |   |-- features/                # workspaces, providers, repositories, findings</w:t>
            </w:r>
          </w:p>
          <w:p>
            <w:pPr>
              <w:spacing w:after="0"/>
            </w:pPr>
            <w:r>
              <w:rPr>
                <w:rFonts w:ascii="Consolas" w:hAnsi="Consolas"/>
                <w:color w:val="233750"/>
                <w:sz w:val="16"/>
              </w:rPr>
              <w:t>|   |   |-- lib/api/                 # API client and generated types</w:t>
            </w:r>
          </w:p>
          <w:p>
            <w:pPr>
              <w:spacing w:after="0"/>
            </w:pPr>
            <w:r>
              <w:rPr>
                <w:rFonts w:ascii="Consolas" w:hAnsi="Consolas"/>
                <w:color w:val="233750"/>
                <w:sz w:val="16"/>
              </w:rPr>
              <w:t>|   |   `-- tests/</w:t>
            </w:r>
          </w:p>
          <w:p>
            <w:pPr>
              <w:spacing w:after="0"/>
            </w:pPr>
            <w:r>
              <w:rPr>
                <w:rFonts w:ascii="Consolas" w:hAnsi="Consolas"/>
                <w:color w:val="233750"/>
                <w:sz w:val="16"/>
              </w:rPr>
              <w:t>|   `-- api/                         # Django project</w:t>
            </w:r>
          </w:p>
          <w:p>
            <w:pPr>
              <w:spacing w:after="0"/>
            </w:pPr>
            <w:r>
              <w:rPr>
                <w:rFonts w:ascii="Consolas" w:hAnsi="Consolas"/>
                <w:color w:val="233750"/>
                <w:sz w:val="16"/>
              </w:rPr>
              <w:t>|       |-- config/                  # settings, URLs, ASGI/WSGI</w:t>
            </w:r>
          </w:p>
          <w:p>
            <w:pPr>
              <w:spacing w:after="0"/>
            </w:pPr>
            <w:r>
              <w:rPr>
                <w:rFonts w:ascii="Consolas" w:hAnsi="Consolas"/>
                <w:color w:val="233750"/>
                <w:sz w:val="16"/>
              </w:rPr>
              <w:t>|       |-- apps/</w:t>
            </w:r>
          </w:p>
          <w:p>
            <w:pPr>
              <w:spacing w:after="0"/>
            </w:pPr>
            <w:r>
              <w:rPr>
                <w:rFonts w:ascii="Consolas" w:hAnsi="Consolas"/>
                <w:color w:val="233750"/>
                <w:sz w:val="16"/>
              </w:rPr>
              <w:t>|       |   |-- accounts/            # users and workspace membership</w:t>
            </w:r>
          </w:p>
          <w:p>
            <w:pPr>
              <w:spacing w:after="0"/>
            </w:pPr>
            <w:r>
              <w:rPr>
                <w:rFonts w:ascii="Consolas" w:hAnsi="Consolas"/>
                <w:color w:val="233750"/>
                <w:sz w:val="16"/>
              </w:rPr>
              <w:t>|       |   |-- workspaces/          # workspace and access rules</w:t>
            </w:r>
          </w:p>
          <w:p>
            <w:pPr>
              <w:spacing w:after="0"/>
            </w:pPr>
            <w:r>
              <w:rPr>
                <w:rFonts w:ascii="Consolas" w:hAnsi="Consolas"/>
                <w:color w:val="233750"/>
                <w:sz w:val="16"/>
              </w:rPr>
              <w:t>|       |   |-- repositories/        # tools and normalized repository records</w:t>
            </w:r>
          </w:p>
          <w:p>
            <w:pPr>
              <w:spacing w:after="0"/>
            </w:pPr>
            <w:r>
              <w:rPr>
                <w:rFonts w:ascii="Consolas" w:hAnsi="Consolas"/>
                <w:color w:val="233750"/>
                <w:sz w:val="16"/>
              </w:rPr>
              <w:t>|       |   |-- integrations/        # provider connections and webhooks</w:t>
            </w:r>
          </w:p>
          <w:p>
            <w:pPr>
              <w:spacing w:after="0"/>
            </w:pPr>
            <w:r>
              <w:rPr>
                <w:rFonts w:ascii="Consolas" w:hAnsi="Consolas"/>
                <w:color w:val="233750"/>
                <w:sz w:val="16"/>
              </w:rPr>
              <w:t>|       |   |-- checks/              # definitions, schedules, check runs</w:t>
            </w:r>
          </w:p>
          <w:p>
            <w:pPr>
              <w:spacing w:after="0"/>
            </w:pPr>
            <w:r>
              <w:rPr>
                <w:rFonts w:ascii="Consolas" w:hAnsi="Consolas"/>
                <w:color w:val="233750"/>
                <w:sz w:val="16"/>
              </w:rPr>
              <w:t>|       |   |-- findings/             # findings and recommendations</w:t>
            </w:r>
          </w:p>
          <w:p>
            <w:pPr>
              <w:spacing w:after="0"/>
            </w:pPr>
            <w:r>
              <w:rPr>
                <w:rFonts w:ascii="Consolas" w:hAnsi="Consolas"/>
                <w:color w:val="233750"/>
                <w:sz w:val="16"/>
              </w:rPr>
              <w:t>|       |   |-- actions/              # approval-gated external actions</w:t>
            </w:r>
          </w:p>
          <w:p>
            <w:pPr>
              <w:spacing w:after="0"/>
            </w:pPr>
            <w:r>
              <w:rPr>
                <w:rFonts w:ascii="Consolas" w:hAnsi="Consolas"/>
                <w:color w:val="233750"/>
                <w:sz w:val="16"/>
              </w:rPr>
              <w:t>|       |   `-- audit/                # append-only audit events</w:t>
            </w:r>
          </w:p>
          <w:p>
            <w:pPr>
              <w:spacing w:after="0"/>
            </w:pPr>
            <w:r>
              <w:rPr>
                <w:rFonts w:ascii="Consolas" w:hAnsi="Consolas"/>
                <w:color w:val="233750"/>
                <w:sz w:val="16"/>
              </w:rPr>
              <w:t>|       |-- api/                     # REST or GraphQL schema</w:t>
            </w:r>
          </w:p>
          <w:p>
            <w:pPr>
              <w:spacing w:after="0"/>
            </w:pPr>
            <w:r>
              <w:rPr>
                <w:rFonts w:ascii="Consolas" w:hAnsi="Consolas"/>
                <w:color w:val="233750"/>
                <w:sz w:val="16"/>
              </w:rPr>
              <w:t>|       `-- manage.py</w:t>
            </w:r>
          </w:p>
          <w:p>
            <w:pPr>
              <w:spacing w:after="0"/>
            </w:pPr>
            <w:r>
              <w:rPr>
                <w:rFonts w:ascii="Consolas" w:hAnsi="Consolas"/>
                <w:color w:val="233750"/>
                <w:sz w:val="16"/>
              </w:rPr>
              <w:t>|-- providers/</w:t>
            </w:r>
          </w:p>
          <w:p>
            <w:pPr>
              <w:spacing w:after="0"/>
            </w:pPr>
            <w:r>
              <w:rPr>
                <w:rFonts w:ascii="Consolas" w:hAnsi="Consolas"/>
                <w:color w:val="233750"/>
                <w:sz w:val="16"/>
              </w:rPr>
              <w:t>|   |-- base/                        # adapter interface and shared types</w:t>
            </w:r>
          </w:p>
          <w:p>
            <w:pPr>
              <w:spacing w:after="0"/>
            </w:pPr>
            <w:r>
              <w:rPr>
                <w:rFonts w:ascii="Consolas" w:hAnsi="Consolas"/>
                <w:color w:val="233750"/>
                <w:sz w:val="16"/>
              </w:rPr>
              <w:t>|   |-- github/</w:t>
            </w:r>
          </w:p>
          <w:p>
            <w:pPr>
              <w:spacing w:after="0"/>
            </w:pPr>
            <w:r>
              <w:rPr>
                <w:rFonts w:ascii="Consolas" w:hAnsi="Consolas"/>
                <w:color w:val="233750"/>
                <w:sz w:val="16"/>
              </w:rPr>
              <w:t>|   |-- gitlab/</w:t>
            </w:r>
          </w:p>
          <w:p>
            <w:pPr>
              <w:spacing w:after="0"/>
            </w:pPr>
            <w:r>
              <w:rPr>
                <w:rFonts w:ascii="Consolas" w:hAnsi="Consolas"/>
                <w:color w:val="233750"/>
                <w:sz w:val="16"/>
              </w:rPr>
              <w:t>|   |-- wikimedia/</w:t>
            </w:r>
          </w:p>
          <w:p>
            <w:pPr>
              <w:spacing w:after="0"/>
            </w:pPr>
            <w:r>
              <w:rPr>
                <w:rFonts w:ascii="Consolas" w:hAnsi="Consolas"/>
                <w:color w:val="233750"/>
                <w:sz w:val="16"/>
              </w:rPr>
              <w:t>|   |-- forgejo/                     # potentially reusable for Gitea/Codeberg</w:t>
            </w:r>
          </w:p>
          <w:p>
            <w:pPr>
              <w:spacing w:after="0"/>
            </w:pPr>
            <w:r>
              <w:rPr>
                <w:rFonts w:ascii="Consolas" w:hAnsi="Consolas"/>
                <w:color w:val="233750"/>
                <w:sz w:val="16"/>
              </w:rPr>
              <w:t>|   `-- bitbucket/</w:t>
            </w:r>
          </w:p>
          <w:p>
            <w:pPr>
              <w:spacing w:after="0"/>
            </w:pPr>
            <w:r>
              <w:rPr>
                <w:rFonts w:ascii="Consolas" w:hAnsi="Consolas"/>
                <w:color w:val="233750"/>
                <w:sz w:val="16"/>
              </w:rPr>
              <w:t>|-- workers/                         # Celery app and tasks</w:t>
            </w:r>
          </w:p>
          <w:p>
            <w:pPr>
              <w:spacing w:after="0"/>
            </w:pPr>
            <w:r>
              <w:rPr>
                <w:rFonts w:ascii="Consolas" w:hAnsi="Consolas"/>
                <w:color w:val="233750"/>
                <w:sz w:val="16"/>
              </w:rPr>
              <w:t>|-- infrastructure/                  # local development and deployment</w:t>
            </w:r>
          </w:p>
          <w:p>
            <w:pPr>
              <w:spacing w:after="0"/>
            </w:pPr>
            <w:r>
              <w:rPr>
                <w:rFonts w:ascii="Consolas" w:hAnsi="Consolas"/>
                <w:color w:val="233750"/>
                <w:sz w:val="16"/>
              </w:rPr>
              <w:t>|-- docs/</w:t>
            </w:r>
          </w:p>
          <w:p>
            <w:pPr>
              <w:spacing w:after="0"/>
            </w:pPr>
            <w:r>
              <w:rPr>
                <w:rFonts w:ascii="Consolas" w:hAnsi="Consolas"/>
                <w:color w:val="233750"/>
                <w:sz w:val="16"/>
              </w:rPr>
              <w:t>|-- .env.example</w:t>
            </w:r>
          </w:p>
          <w:p>
            <w:pPr>
              <w:spacing w:after="0"/>
            </w:pPr>
            <w:r>
              <w:rPr>
                <w:rFonts w:ascii="Consolas" w:hAnsi="Consolas"/>
                <w:color w:val="233750"/>
                <w:sz w:val="16"/>
              </w:rPr>
              <w:t>|-- docker-compose.yml               # optional local convenience</w:t>
            </w:r>
          </w:p>
          <w:p>
            <w:pPr>
              <w:spacing w:after="0"/>
            </w:pPr>
            <w:r>
              <w:rPr>
                <w:rFonts w:ascii="Consolas" w:hAnsi="Consolas"/>
                <w:color w:val="233750"/>
                <w:sz w:val="16"/>
              </w:rPr>
              <w:t>`-- README.md</w:t>
            </w:r>
          </w:p>
        </w:tc>
      </w:tr>
    </w:tbl>
    <w:p/>
    <w:p>
      <w:r>
        <w:t>Keep domain rules with the Django app that owns the data. Provider adapters should implement a documented interface and expose capabilities rather than scattering provider-specific conditional logic throughout the health engine.</w:t>
      </w:r>
    </w:p>
    <w:p>
      <w:pPr>
        <w:pStyle w:val="Heading1"/>
      </w:pPr>
      <w:r>
        <w:t>7. Data model</w:t>
      </w:r>
    </w:p>
    <w:tbl>
      <w:tblPr>
        <w:tblStyle w:val="TableGrid"/>
        <w:tblW w:type="auto" w:w="0"/>
        <w:jc w:val="center"/>
        <w:tblLook w:firstColumn="1" w:firstRow="1" w:lastColumn="0" w:lastRow="0" w:noHBand="0" w:noVBand="1" w:val="04A0"/>
      </w:tblPr>
      <w:tblGrid>
        <w:gridCol w:w="4997"/>
        <w:gridCol w:w="4997"/>
      </w:tblGrid>
      <w:tr>
        <w:tc>
          <w:tcPr>
            <w:tcW w:type="dxa" w:w="2304"/>
            <w:vAlign w:val="center"/>
            <w:shd w:fill="244A80"/>
          </w:tcPr>
          <w:p>
            <w:pPr>
              <w:spacing w:after="20"/>
            </w:pPr>
            <w:r/>
            <w:r>
              <w:rPr>
                <w:b/>
                <w:color w:val="FFFFFF"/>
                <w:sz w:val="17"/>
              </w:rPr>
              <w:t>Model / entity</w:t>
            </w:r>
          </w:p>
        </w:tc>
        <w:tc>
          <w:tcPr>
            <w:tcW w:type="dxa" w:w="7632"/>
            <w:vAlign w:val="center"/>
            <w:shd w:fill="244A80"/>
          </w:tcPr>
          <w:p>
            <w:pPr>
              <w:spacing w:after="20"/>
            </w:pPr>
            <w:r/>
            <w:r>
              <w:rPr>
                <w:b/>
                <w:color w:val="FFFFFF"/>
                <w:sz w:val="17"/>
              </w:rPr>
              <w:t>Purpose and key fields</w:t>
            </w:r>
          </w:p>
        </w:tc>
      </w:tr>
      <w:tr>
        <w:tc>
          <w:tcPr>
            <w:tcW w:type="dxa" w:w="2304"/>
            <w:vAlign w:val="center"/>
          </w:tcPr>
          <w:p>
            <w:pPr>
              <w:spacing w:after="20"/>
            </w:pPr>
            <w:r/>
            <w:r>
              <w:rPr>
                <w:b w:val="0"/>
                <w:sz w:val="16"/>
              </w:rPr>
              <w:t>User</w:t>
            </w:r>
          </w:p>
        </w:tc>
        <w:tc>
          <w:tcPr>
            <w:tcW w:type="dxa" w:w="7632"/>
            <w:vAlign w:val="center"/>
          </w:tcPr>
          <w:p>
            <w:pPr>
              <w:spacing w:after="20"/>
            </w:pPr>
            <w:r/>
            <w:r>
              <w:rPr>
                <w:b w:val="0"/>
                <w:sz w:val="16"/>
              </w:rPr>
              <w:t>Identity, authentication provider reference, profile, and account status.</w:t>
            </w:r>
          </w:p>
        </w:tc>
      </w:tr>
      <w:tr>
        <w:tc>
          <w:tcPr>
            <w:tcW w:type="dxa" w:w="2304"/>
            <w:vAlign w:val="center"/>
            <w:shd w:fill="F1F5FA"/>
          </w:tcPr>
          <w:p>
            <w:pPr>
              <w:spacing w:after="20"/>
            </w:pPr>
            <w:r/>
            <w:r>
              <w:rPr>
                <w:b w:val="0"/>
                <w:sz w:val="16"/>
              </w:rPr>
              <w:t>Workspace</w:t>
            </w:r>
          </w:p>
        </w:tc>
        <w:tc>
          <w:tcPr>
            <w:tcW w:type="dxa" w:w="7632"/>
            <w:vAlign w:val="center"/>
            <w:shd w:fill="F1F5FA"/>
          </w:tcPr>
          <w:p>
            <w:pPr>
              <w:spacing w:after="20"/>
            </w:pPr>
            <w:r/>
            <w:r>
              <w:rPr>
                <w:b w:val="0"/>
                <w:sz w:val="16"/>
              </w:rPr>
              <w:t>Tenant boundary, owner, members, settings, and retention policy.</w:t>
            </w:r>
          </w:p>
        </w:tc>
      </w:tr>
      <w:tr>
        <w:tc>
          <w:tcPr>
            <w:tcW w:type="dxa" w:w="2304"/>
            <w:vAlign w:val="center"/>
          </w:tcPr>
          <w:p>
            <w:pPr>
              <w:spacing w:after="20"/>
            </w:pPr>
            <w:r/>
            <w:r>
              <w:rPr>
                <w:b w:val="0"/>
                <w:sz w:val="16"/>
              </w:rPr>
              <w:t>ProviderConnection</w:t>
            </w:r>
          </w:p>
        </w:tc>
        <w:tc>
          <w:tcPr>
            <w:tcW w:type="dxa" w:w="7632"/>
            <w:vAlign w:val="center"/>
          </w:tcPr>
          <w:p>
            <w:pPr>
              <w:spacing w:after="20"/>
            </w:pPr>
            <w:r/>
            <w:r>
              <w:rPr>
                <w:b w:val="0"/>
                <w:sz w:val="16"/>
              </w:rPr>
              <w:t>Provider type, instance/base URL, external account/group ID, granted scopes, connection state, and encrypted credential reference. Never store raw tokens in ordinary fields.</w:t>
            </w:r>
          </w:p>
        </w:tc>
      </w:tr>
      <w:tr>
        <w:tc>
          <w:tcPr>
            <w:tcW w:type="dxa" w:w="2304"/>
            <w:vAlign w:val="center"/>
            <w:shd w:fill="F1F5FA"/>
          </w:tcPr>
          <w:p>
            <w:pPr>
              <w:spacing w:after="20"/>
            </w:pPr>
            <w:r/>
            <w:r>
              <w:rPr>
                <w:b w:val="0"/>
                <w:sz w:val="16"/>
              </w:rPr>
              <w:t>Repository</w:t>
            </w:r>
          </w:p>
        </w:tc>
        <w:tc>
          <w:tcPr>
            <w:tcW w:type="dxa" w:w="7632"/>
            <w:vAlign w:val="center"/>
            <w:shd w:fill="F1F5FA"/>
          </w:tcPr>
          <w:p>
            <w:pPr>
              <w:spacing w:after="20"/>
            </w:pPr>
            <w:r/>
            <w:r>
              <w:rPr>
                <w:b w:val="0"/>
                <w:sz w:val="16"/>
              </w:rPr>
              <w:t>Normalized project record: provider, external immutable ID, namespace/path, URL, default branch, visibility, archived state, and workspace.</w:t>
            </w:r>
          </w:p>
        </w:tc>
      </w:tr>
      <w:tr>
        <w:tc>
          <w:tcPr>
            <w:tcW w:type="dxa" w:w="2304"/>
            <w:vAlign w:val="center"/>
          </w:tcPr>
          <w:p>
            <w:pPr>
              <w:spacing w:after="20"/>
            </w:pPr>
            <w:r/>
            <w:r>
              <w:rPr>
                <w:b w:val="0"/>
                <w:sz w:val="16"/>
              </w:rPr>
              <w:t>ProviderCapability</w:t>
            </w:r>
          </w:p>
        </w:tc>
        <w:tc>
          <w:tcPr>
            <w:tcW w:type="dxa" w:w="7632"/>
            <w:vAlign w:val="center"/>
          </w:tcPr>
          <w:p>
            <w:pPr>
              <w:spacing w:after="20"/>
            </w:pPr>
            <w:r/>
            <w:r>
              <w:rPr>
                <w:b w:val="0"/>
                <w:sz w:val="16"/>
              </w:rPr>
              <w:t>Features supported for a connection/repository, such as webhooks, CI status, issues, merge requests, or security alerts.</w:t>
            </w:r>
          </w:p>
        </w:tc>
      </w:tr>
      <w:tr>
        <w:tc>
          <w:tcPr>
            <w:tcW w:type="dxa" w:w="2304"/>
            <w:vAlign w:val="center"/>
            <w:shd w:fill="F1F5FA"/>
          </w:tcPr>
          <w:p>
            <w:pPr>
              <w:spacing w:after="20"/>
            </w:pPr>
            <w:r/>
            <w:r>
              <w:rPr>
                <w:b w:val="0"/>
                <w:sz w:val="16"/>
              </w:rPr>
              <w:t>CheckDefinition</w:t>
            </w:r>
          </w:p>
        </w:tc>
        <w:tc>
          <w:tcPr>
            <w:tcW w:type="dxa" w:w="7632"/>
            <w:vAlign w:val="center"/>
            <w:shd w:fill="F1F5FA"/>
          </w:tcPr>
          <w:p>
            <w:pPr>
              <w:spacing w:after="20"/>
            </w:pPr>
            <w:r/>
            <w:r>
              <w:rPr>
                <w:b w:val="0"/>
                <w:sz w:val="16"/>
              </w:rPr>
              <w:t>Check type, version, configuration schema, default severity rules, and required capabilities.</w:t>
            </w:r>
          </w:p>
        </w:tc>
      </w:tr>
      <w:tr>
        <w:tc>
          <w:tcPr>
            <w:tcW w:type="dxa" w:w="2304"/>
            <w:vAlign w:val="center"/>
          </w:tcPr>
          <w:p>
            <w:pPr>
              <w:spacing w:after="20"/>
            </w:pPr>
            <w:r/>
            <w:r>
              <w:rPr>
                <w:b w:val="0"/>
                <w:sz w:val="16"/>
              </w:rPr>
              <w:t>CheckRun</w:t>
            </w:r>
          </w:p>
        </w:tc>
        <w:tc>
          <w:tcPr>
            <w:tcW w:type="dxa" w:w="7632"/>
            <w:vAlign w:val="center"/>
          </w:tcPr>
          <w:p>
            <w:pPr>
              <w:spacing w:after="20"/>
            </w:pPr>
            <w:r/>
            <w:r>
              <w:rPr>
                <w:b w:val="0"/>
                <w:sz w:val="16"/>
              </w:rPr>
              <w:t>Repository/check execution, start/end time, result, status, adapter/check version, and structured evidence.</w:t>
            </w:r>
          </w:p>
        </w:tc>
      </w:tr>
      <w:tr>
        <w:tc>
          <w:tcPr>
            <w:tcW w:type="dxa" w:w="2304"/>
            <w:vAlign w:val="center"/>
            <w:shd w:fill="F1F5FA"/>
          </w:tcPr>
          <w:p>
            <w:pPr>
              <w:spacing w:after="20"/>
            </w:pPr>
            <w:r/>
            <w:r>
              <w:rPr>
                <w:b w:val="0"/>
                <w:sz w:val="16"/>
              </w:rPr>
              <w:t>Finding</w:t>
            </w:r>
          </w:p>
        </w:tc>
        <w:tc>
          <w:tcPr>
            <w:tcW w:type="dxa" w:w="7632"/>
            <w:vAlign w:val="center"/>
            <w:shd w:fill="F1F5FA"/>
          </w:tcPr>
          <w:p>
            <w:pPr>
              <w:spacing w:after="20"/>
            </w:pPr>
            <w:r/>
            <w:r>
              <w:rPr>
                <w:b w:val="0"/>
                <w:sz w:val="16"/>
              </w:rPr>
              <w:t>Actionable issue, severity, lifecycle status, evidence, first/last seen, deduplication fingerprint, and confidence.</w:t>
            </w:r>
          </w:p>
        </w:tc>
      </w:tr>
      <w:tr>
        <w:tc>
          <w:tcPr>
            <w:tcW w:type="dxa" w:w="2304"/>
            <w:vAlign w:val="center"/>
          </w:tcPr>
          <w:p>
            <w:pPr>
              <w:spacing w:after="20"/>
            </w:pPr>
            <w:r/>
            <w:r>
              <w:rPr>
                <w:b w:val="0"/>
                <w:sz w:val="16"/>
              </w:rPr>
              <w:t>Recommendation</w:t>
            </w:r>
          </w:p>
        </w:tc>
        <w:tc>
          <w:tcPr>
            <w:tcW w:type="dxa" w:w="7632"/>
            <w:vAlign w:val="center"/>
          </w:tcPr>
          <w:p>
            <w:pPr>
              <w:spacing w:after="20"/>
            </w:pPr>
            <w:r/>
            <w:r>
              <w:rPr>
                <w:b w:val="0"/>
                <w:sz w:val="16"/>
              </w:rPr>
              <w:t>Suggested next step, explanation, relevant source links, confidence, and generated/verified status.</w:t>
            </w:r>
          </w:p>
        </w:tc>
      </w:tr>
      <w:tr>
        <w:tc>
          <w:tcPr>
            <w:tcW w:type="dxa" w:w="2304"/>
            <w:vAlign w:val="center"/>
            <w:shd w:fill="F1F5FA"/>
          </w:tcPr>
          <w:p>
            <w:pPr>
              <w:spacing w:after="20"/>
            </w:pPr>
            <w:r/>
            <w:r>
              <w:rPr>
                <w:b w:val="0"/>
                <w:sz w:val="16"/>
              </w:rPr>
              <w:t>ExternalAction</w:t>
            </w:r>
          </w:p>
        </w:tc>
        <w:tc>
          <w:tcPr>
            <w:tcW w:type="dxa" w:w="7632"/>
            <w:vAlign w:val="center"/>
            <w:shd w:fill="F1F5FA"/>
          </w:tcPr>
          <w:p>
            <w:pPr>
              <w:spacing w:after="20"/>
            </w:pPr>
            <w:r/>
            <w:r>
              <w:rPr>
                <w:b w:val="0"/>
                <w:sz w:val="16"/>
              </w:rPr>
              <w:t>Proposed issue, comment, or draft pull/merge request; provider-specific target and execution status.</w:t>
            </w:r>
          </w:p>
        </w:tc>
      </w:tr>
      <w:tr>
        <w:tc>
          <w:tcPr>
            <w:tcW w:type="dxa" w:w="2304"/>
            <w:vAlign w:val="center"/>
          </w:tcPr>
          <w:p>
            <w:pPr>
              <w:spacing w:after="20"/>
            </w:pPr>
            <w:r/>
            <w:r>
              <w:rPr>
                <w:b w:val="0"/>
                <w:sz w:val="16"/>
              </w:rPr>
              <w:t>Approval</w:t>
            </w:r>
          </w:p>
        </w:tc>
        <w:tc>
          <w:tcPr>
            <w:tcW w:type="dxa" w:w="7632"/>
            <w:vAlign w:val="center"/>
          </w:tcPr>
          <w:p>
            <w:pPr>
              <w:spacing w:after="20"/>
            </w:pPr>
            <w:r/>
            <w:r>
              <w:rPr>
                <w:b w:val="0"/>
                <w:sz w:val="16"/>
              </w:rPr>
              <w:t>Reviewer, decision, time, and optional reason for an external action.</w:t>
            </w:r>
          </w:p>
        </w:tc>
      </w:tr>
      <w:tr>
        <w:tc>
          <w:tcPr>
            <w:tcW w:type="dxa" w:w="2304"/>
            <w:vAlign w:val="center"/>
            <w:shd w:fill="F1F5FA"/>
          </w:tcPr>
          <w:p>
            <w:pPr>
              <w:spacing w:after="20"/>
            </w:pPr>
            <w:r/>
            <w:r>
              <w:rPr>
                <w:b w:val="0"/>
                <w:sz w:val="16"/>
              </w:rPr>
              <w:t>WebhookEvent</w:t>
            </w:r>
          </w:p>
        </w:tc>
        <w:tc>
          <w:tcPr>
            <w:tcW w:type="dxa" w:w="7632"/>
            <w:vAlign w:val="center"/>
            <w:shd w:fill="F1F5FA"/>
          </w:tcPr>
          <w:p>
            <w:pPr>
              <w:spacing w:after="20"/>
            </w:pPr>
            <w:r/>
            <w:r>
              <w:rPr>
                <w:b w:val="0"/>
                <w:sz w:val="16"/>
              </w:rPr>
              <w:t>Provider, unique delivery/event identifier, event type, received time, processing status, and minimal payload metadata.</w:t>
            </w:r>
          </w:p>
        </w:tc>
      </w:tr>
      <w:tr>
        <w:tc>
          <w:tcPr>
            <w:tcW w:type="dxa" w:w="2304"/>
            <w:vAlign w:val="center"/>
          </w:tcPr>
          <w:p>
            <w:pPr>
              <w:spacing w:after="20"/>
            </w:pPr>
            <w:r/>
            <w:r>
              <w:rPr>
                <w:b w:val="0"/>
                <w:sz w:val="16"/>
              </w:rPr>
              <w:t>AuditEvent</w:t>
            </w:r>
          </w:p>
        </w:tc>
        <w:tc>
          <w:tcPr>
            <w:tcW w:type="dxa" w:w="7632"/>
            <w:vAlign w:val="center"/>
          </w:tcPr>
          <w:p>
            <w:pPr>
              <w:spacing w:after="20"/>
            </w:pPr>
            <w:r/>
            <w:r>
              <w:rPr>
                <w:b w:val="0"/>
                <w:sz w:val="16"/>
              </w:rPr>
              <w:t>Actor, workspace, action, target, timestamp, and relevant before/after metadata.</w:t>
            </w:r>
          </w:p>
        </w:tc>
      </w:tr>
    </w:tbl>
    <w:p/>
    <w:p>
      <w:pPr>
        <w:pStyle w:val="Heading2"/>
      </w:pPr>
      <w:r>
        <w:t>Relationship summary</w:t>
      </w:r>
    </w:p>
    <w:tbl>
      <w:tblPr>
        <w:tblStyle w:val="TableGrid"/>
        <w:tblW w:type="auto" w:w="0"/>
        <w:tblLook w:firstColumn="1" w:firstRow="1" w:lastColumn="0" w:lastRow="0" w:noHBand="0" w:noVBand="1" w:val="04A0"/>
      </w:tblPr>
      <w:tblGrid>
        <w:gridCol w:w="9994"/>
      </w:tblGrid>
      <w:tr>
        <w:tc>
          <w:tcPr>
            <w:tcW w:type="dxa" w:w="9994"/>
            <w:shd w:fill="F3F6FA"/>
          </w:tcPr>
          <w:p>
            <w:pPr>
              <w:spacing w:after="0"/>
            </w:pPr>
            <w:r/>
            <w:r>
              <w:rPr>
                <w:rFonts w:ascii="Consolas" w:hAnsi="Consolas"/>
                <w:color w:val="233750"/>
                <w:sz w:val="16"/>
              </w:rPr>
              <w:t>Workspace 1---many ProviderConnection</w:t>
            </w:r>
          </w:p>
          <w:p>
            <w:pPr>
              <w:spacing w:after="0"/>
            </w:pPr>
            <w:r>
              <w:rPr>
                <w:rFonts w:ascii="Consolas" w:hAnsi="Consolas"/>
                <w:color w:val="233750"/>
                <w:sz w:val="16"/>
              </w:rPr>
              <w:t>Workspace 1---many Repository</w:t>
            </w:r>
          </w:p>
          <w:p>
            <w:pPr>
              <w:spacing w:after="0"/>
            </w:pPr>
            <w:r>
              <w:rPr>
                <w:rFonts w:ascii="Consolas" w:hAnsi="Consolas"/>
                <w:color w:val="233750"/>
                <w:sz w:val="16"/>
              </w:rPr>
              <w:t>ProviderConnection 1---many Repository</w:t>
            </w:r>
          </w:p>
          <w:p>
            <w:pPr>
              <w:spacing w:after="0"/>
            </w:pPr>
            <w:r>
              <w:rPr>
                <w:rFonts w:ascii="Consolas" w:hAnsi="Consolas"/>
                <w:color w:val="233750"/>
                <w:sz w:val="16"/>
              </w:rPr>
              <w:t>Repository 1---many CheckRun 1---many Finding</w:t>
            </w:r>
          </w:p>
          <w:p>
            <w:pPr>
              <w:spacing w:after="0"/>
            </w:pPr>
            <w:r>
              <w:rPr>
                <w:rFonts w:ascii="Consolas" w:hAnsi="Consolas"/>
                <w:color w:val="233750"/>
                <w:sz w:val="16"/>
              </w:rPr>
              <w:t>Finding 1---many Recommendation</w:t>
            </w:r>
          </w:p>
          <w:p>
            <w:pPr>
              <w:spacing w:after="0"/>
            </w:pPr>
            <w:r>
              <w:rPr>
                <w:rFonts w:ascii="Consolas" w:hAnsi="Consolas"/>
                <w:color w:val="233750"/>
                <w:sz w:val="16"/>
              </w:rPr>
              <w:t>Repository 1---many ExternalAction 1---many Approval</w:t>
            </w:r>
          </w:p>
          <w:p>
            <w:pPr>
              <w:spacing w:after="0"/>
            </w:pPr>
            <w:r>
              <w:rPr>
                <w:rFonts w:ascii="Consolas" w:hAnsi="Consolas"/>
                <w:color w:val="233750"/>
                <w:sz w:val="16"/>
              </w:rPr>
              <w:t>Workspace 1---many AuditEvent</w:t>
            </w:r>
          </w:p>
          <w:p>
            <w:pPr>
              <w:spacing w:after="0"/>
            </w:pPr>
            <w:r>
              <w:rPr>
                <w:rFonts w:ascii="Consolas" w:hAnsi="Consolas"/>
                <w:color w:val="233750"/>
                <w:sz w:val="16"/>
              </w:rPr>
              <w:t>ProviderConnection 1---many WebhookEvent</w:t>
            </w:r>
          </w:p>
        </w:tc>
      </w:tr>
    </w:tbl>
    <w:p/>
    <w:p>
      <w:r>
        <w:t>Use UUIDs for exposed internal identifiers where appropriate, timestamps for history, and database constraints for uniqueness. Use the provider name plus immutable external repository ID as a key where the provider supplies one. Define data retention limits for webhook payloads and evidence.</w:t>
      </w:r>
    </w:p>
    <w:p>
      <w:pPr>
        <w:pStyle w:val="Heading1"/>
      </w:pPr>
      <w:r>
        <w:t>8. API outline</w:t>
      </w:r>
    </w:p>
    <w:p>
      <w:r>
        <w:t>Select REST or GraphQL for version one and document the decision. The examples below describe capabilities rather than requiring a particular API style.</w:t>
      </w:r>
    </w:p>
    <w:p>
      <w:pPr>
        <w:pStyle w:val="Heading2"/>
      </w:pPr>
      <w:r>
        <w:t>Read operations</w:t>
      </w:r>
    </w:p>
    <w:p>
      <w:pPr>
        <w:pStyle w:val="ListBullet"/>
        <w:spacing w:after="40"/>
      </w:pPr>
      <w:r>
        <w:t>List workspaces and provider connections the user can access.</w:t>
      </w:r>
    </w:p>
    <w:p>
      <w:pPr>
        <w:pStyle w:val="ListBullet"/>
        <w:spacing w:after="40"/>
      </w:pPr>
      <w:r>
        <w:t>List repositories with health summaries and provider capabilities.</w:t>
      </w:r>
    </w:p>
    <w:p>
      <w:pPr>
        <w:pStyle w:val="ListBullet"/>
        <w:spacing w:after="40"/>
      </w:pPr>
      <w:r>
        <w:t>Get repository details, check configuration, latest runs, open findings, and activity history.</w:t>
      </w:r>
    </w:p>
    <w:p>
      <w:pPr>
        <w:pStyle w:val="ListBullet"/>
        <w:spacing w:after="40"/>
      </w:pPr>
      <w:r>
        <w:t>List/filter findings by severity, status, provider, repository, check family, and date.</w:t>
      </w:r>
    </w:p>
    <w:p>
      <w:pPr>
        <w:pStyle w:val="ListBullet"/>
        <w:spacing w:after="40"/>
      </w:pPr>
      <w:r>
        <w:t>Retrieve recommendations and audit history according to permissions.</w:t>
      </w:r>
    </w:p>
    <w:p>
      <w:pPr>
        <w:pStyle w:val="Heading2"/>
      </w:pPr>
      <w:r>
        <w:t>Write operations</w:t>
      </w:r>
    </w:p>
    <w:p>
      <w:pPr>
        <w:pStyle w:val="ListBullet"/>
        <w:spacing w:after="40"/>
      </w:pPr>
      <w:r>
        <w:t>Start provider authorization and complete connection setup.</w:t>
      </w:r>
    </w:p>
    <w:p>
      <w:pPr>
        <w:pStyle w:val="ListBullet"/>
        <w:spacing w:after="40"/>
      </w:pPr>
      <w:r>
        <w:t>Add/remove repositories and configure checks or schedules.</w:t>
      </w:r>
    </w:p>
    <w:p>
      <w:pPr>
        <w:pStyle w:val="ListBullet"/>
        <w:spacing w:after="40"/>
      </w:pPr>
      <w:r>
        <w:t>Assign findings, update lifecycle status, or dismiss a finding with a reason.</w:t>
      </w:r>
    </w:p>
    <w:p>
      <w:pPr>
        <w:pStyle w:val="ListBullet"/>
        <w:spacing w:after="40"/>
      </w:pPr>
      <w:r>
        <w:t>Propose an external action and approve/reject it.</w:t>
      </w:r>
    </w:p>
    <w:p>
      <w:pPr>
        <w:pStyle w:val="ListBullet"/>
        <w:spacing w:after="40"/>
      </w:pPr>
      <w:r>
        <w:t>Disconnect a provider and revoke or delete stored credentials safely.</w:t>
      </w:r>
    </w:p>
    <w:p>
      <w:r>
        <w:t>Use pagination, stable IDs, input validation, field/resource-level authorization, idempotency for mutations, and audit events for consequential changes. Provider writes must be capability-checked and approval-gated.</w:t>
      </w:r>
    </w:p>
    <w:p>
      <w:pPr>
        <w:pStyle w:val="Heading1"/>
      </w:pPr>
      <w:r>
        <w:t>9. Background jobs and event processing</w:t>
      </w:r>
    </w:p>
    <w:p>
      <w:pPr>
        <w:pStyle w:val="ListNumber"/>
        <w:spacing w:after="40"/>
      </w:pPr>
      <w:r>
        <w:t>Validate webhook signatures or provider-specific authenticity controls before accepting events.</w:t>
      </w:r>
    </w:p>
    <w:p>
      <w:pPr>
        <w:pStyle w:val="ListNumber"/>
        <w:spacing w:after="40"/>
      </w:pPr>
      <w:r>
        <w:t>Record a unique delivery/event ID and process events idempotently; duplicate events must not duplicate findings or external actions.</w:t>
      </w:r>
    </w:p>
    <w:p>
      <w:pPr>
        <w:pStyle w:val="ListNumber"/>
        <w:spacing w:after="40"/>
      </w:pPr>
      <w:r>
        <w:t>Schedule checks with configurable cadence, concurrency limits, timeouts, and per-provider rate-limit handling.</w:t>
      </w:r>
    </w:p>
    <w:p>
      <w:pPr>
        <w:pStyle w:val="ListNumber"/>
        <w:spacing w:after="40"/>
      </w:pPr>
      <w:r>
        <w:t>Workers execute only checks supported by the repository's provider capabilities and permissions.</w:t>
      </w:r>
    </w:p>
    <w:p>
      <w:pPr>
        <w:pStyle w:val="ListNumber"/>
        <w:spacing w:after="40"/>
      </w:pPr>
      <w:r>
        <w:t>Normalize results, update CheckRun, create or refresh findings, deduplicate recurring issues, and store evidence.</w:t>
      </w:r>
    </w:p>
    <w:p>
      <w:pPr>
        <w:pStyle w:val="ListNumber"/>
        <w:spacing w:after="40"/>
      </w:pPr>
      <w:r>
        <w:t>Use bounded retries with exponential backoff for transient errors; surface persistent integration failures clearly.</w:t>
      </w:r>
    </w:p>
    <w:p>
      <w:pPr>
        <w:pStyle w:val="ListNumber"/>
        <w:spacing w:after="40"/>
      </w:pPr>
      <w:r>
        <w:t>Send notifications according to workspace preferences and avoid leaking private repository data to unauthorized recipients.</w:t>
      </w:r>
    </w:p>
    <w:p>
      <w:pPr>
        <w:pStyle w:val="Heading1"/>
      </w:pPr>
      <w:r>
        <w:t>10. Security, privacy, and reliability</w:t>
      </w:r>
    </w:p>
    <w:p>
      <w:pPr>
        <w:pStyle w:val="ListBullet"/>
        <w:spacing w:after="40"/>
      </w:pPr>
      <w:r>
        <w:t>Default to read-only, least-privilege access; request write scopes only when a user enables an action that needs them.</w:t>
      </w:r>
    </w:p>
    <w:p>
      <w:pPr>
        <w:pStyle w:val="ListBullet"/>
        <w:spacing w:after="40"/>
      </w:pPr>
      <w:r>
        <w:t>Use OAuth/apps/tokens according to each provider's supported security model. Never assume GitHub App permissions apply to other platforms.</w:t>
      </w:r>
    </w:p>
    <w:p>
      <w:pPr>
        <w:pStyle w:val="ListBullet"/>
        <w:spacing w:after="40"/>
      </w:pPr>
      <w:r>
        <w:t>Verify webhook authenticity, prevent replay/duplicate processing, and validate incoming payloads.</w:t>
      </w:r>
    </w:p>
    <w:p>
      <w:pPr>
        <w:pStyle w:val="ListBullet"/>
        <w:spacing w:after="40"/>
      </w:pPr>
      <w:r>
        <w:t>Enforce workspace membership and repository permissions on every API request and background action.</w:t>
      </w:r>
    </w:p>
    <w:p>
      <w:pPr>
        <w:pStyle w:val="ListBullet"/>
        <w:spacing w:after="40"/>
      </w:pPr>
      <w:r>
        <w:t>Store secrets in a managed secret store or encrypted credential store; redact tokens and private payloads from logs.</w:t>
      </w:r>
    </w:p>
    <w:p>
      <w:pPr>
        <w:pStyle w:val="ListBullet"/>
        <w:spacing w:after="40"/>
      </w:pPr>
      <w:r>
        <w:t>Require explicit approval before creating issues/comments, opening pull/merge requests, changing settings, merging, or releasing.</w:t>
      </w:r>
    </w:p>
    <w:p>
      <w:pPr>
        <w:pStyle w:val="ListBullet"/>
        <w:spacing w:after="40"/>
      </w:pPr>
      <w:r>
        <w:t>Record auditable action history and provide disconnect/revocation and data deletion flows.</w:t>
      </w:r>
    </w:p>
    <w:p>
      <w:pPr>
        <w:pStyle w:val="ListBullet"/>
        <w:spacing w:after="40"/>
      </w:pPr>
      <w:r>
        <w:t>Apply request timeouts, rate limits, payload limits, dependency updates, backups, monitoring, and recovery procedures.</w:t>
      </w:r>
    </w:p>
    <w:p>
      <w:pPr>
        <w:pStyle w:val="ListBullet"/>
        <w:spacing w:after="40"/>
      </w:pPr>
      <w:r>
        <w:t>Make private repository support opt-in and transparent; collect only the data needed for the selected checks.</w:t>
      </w:r>
    </w:p>
    <w:p>
      <w:pPr>
        <w:pStyle w:val="Heading1"/>
      </w:pPr>
      <w:r>
        <w:t>11. Frontend information architecture</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244A80"/>
          </w:tcPr>
          <w:p>
            <w:pPr>
              <w:spacing w:after="20"/>
            </w:pPr>
            <w:r/>
            <w:r>
              <w:rPr>
                <w:b/>
                <w:color w:val="FFFFFF"/>
                <w:sz w:val="17"/>
              </w:rPr>
              <w:t>Page</w:t>
            </w:r>
          </w:p>
        </w:tc>
        <w:tc>
          <w:tcPr>
            <w:tcW w:type="dxa" w:w="7488"/>
            <w:vAlign w:val="center"/>
            <w:shd w:fill="244A80"/>
          </w:tcPr>
          <w:p>
            <w:pPr>
              <w:spacing w:after="20"/>
            </w:pPr>
            <w:r/>
            <w:r>
              <w:rPr>
                <w:b/>
                <w:color w:val="FFFFFF"/>
                <w:sz w:val="17"/>
              </w:rPr>
              <w:t>Purpose</w:t>
            </w:r>
          </w:p>
        </w:tc>
      </w:tr>
      <w:tr>
        <w:tc>
          <w:tcPr>
            <w:tcW w:type="dxa" w:w="2448"/>
            <w:vAlign w:val="center"/>
          </w:tcPr>
          <w:p>
            <w:pPr>
              <w:spacing w:after="20"/>
            </w:pPr>
            <w:r/>
            <w:r>
              <w:rPr>
                <w:b w:val="0"/>
                <w:sz w:val="16"/>
              </w:rPr>
              <w:t>Public landing page</w:t>
            </w:r>
          </w:p>
        </w:tc>
        <w:tc>
          <w:tcPr>
            <w:tcW w:type="dxa" w:w="7488"/>
            <w:vAlign w:val="center"/>
          </w:tcPr>
          <w:p>
            <w:pPr>
              <w:spacing w:after="20"/>
            </w:pPr>
            <w:r/>
            <w:r>
              <w:rPr>
                <w:b w:val="0"/>
                <w:sz w:val="16"/>
              </w:rPr>
              <w:t>Explain the cross-platform mission, supported providers, workflow, transparency principles, and contribution path.</w:t>
            </w:r>
          </w:p>
        </w:tc>
      </w:tr>
      <w:tr>
        <w:tc>
          <w:tcPr>
            <w:tcW w:type="dxa" w:w="2448"/>
            <w:vAlign w:val="center"/>
            <w:shd w:fill="F1F5FA"/>
          </w:tcPr>
          <w:p>
            <w:pPr>
              <w:spacing w:after="20"/>
            </w:pPr>
            <w:r/>
            <w:r>
              <w:rPr>
                <w:b w:val="0"/>
                <w:sz w:val="16"/>
              </w:rPr>
              <w:t>Workspace overview</w:t>
            </w:r>
          </w:p>
        </w:tc>
        <w:tc>
          <w:tcPr>
            <w:tcW w:type="dxa" w:w="7488"/>
            <w:vAlign w:val="center"/>
            <w:shd w:fill="F1F5FA"/>
          </w:tcPr>
          <w:p>
            <w:pPr>
              <w:spacing w:after="20"/>
            </w:pPr>
            <w:r/>
            <w:r>
              <w:rPr>
                <w:b w:val="0"/>
                <w:sz w:val="16"/>
              </w:rPr>
              <w:t>Health summary, recent checks, urgent findings, provider connection status, and next actions.</w:t>
            </w:r>
          </w:p>
        </w:tc>
      </w:tr>
      <w:tr>
        <w:tc>
          <w:tcPr>
            <w:tcW w:type="dxa" w:w="2448"/>
            <w:vAlign w:val="center"/>
          </w:tcPr>
          <w:p>
            <w:pPr>
              <w:spacing w:after="20"/>
            </w:pPr>
            <w:r/>
            <w:r>
              <w:rPr>
                <w:b w:val="0"/>
                <w:sz w:val="16"/>
              </w:rPr>
              <w:t>Repository explorer</w:t>
            </w:r>
          </w:p>
        </w:tc>
        <w:tc>
          <w:tcPr>
            <w:tcW w:type="dxa" w:w="7488"/>
            <w:vAlign w:val="center"/>
          </w:tcPr>
          <w:p>
            <w:pPr>
              <w:spacing w:after="20"/>
            </w:pPr>
            <w:r/>
            <w:r>
              <w:rPr>
                <w:b w:val="0"/>
                <w:sz w:val="16"/>
              </w:rPr>
              <w:t>Search and filter repositories by provider, workspace, health, language, and maintenance signals.</w:t>
            </w:r>
          </w:p>
        </w:tc>
      </w:tr>
      <w:tr>
        <w:tc>
          <w:tcPr>
            <w:tcW w:type="dxa" w:w="2448"/>
            <w:vAlign w:val="center"/>
            <w:shd w:fill="F1F5FA"/>
          </w:tcPr>
          <w:p>
            <w:pPr>
              <w:spacing w:after="20"/>
            </w:pPr>
            <w:r/>
            <w:r>
              <w:rPr>
                <w:b w:val="0"/>
                <w:sz w:val="16"/>
              </w:rPr>
              <w:t>Repository health report</w:t>
            </w:r>
          </w:p>
        </w:tc>
        <w:tc>
          <w:tcPr>
            <w:tcW w:type="dxa" w:w="7488"/>
            <w:vAlign w:val="center"/>
            <w:shd w:fill="F1F5FA"/>
          </w:tcPr>
          <w:p>
            <w:pPr>
              <w:spacing w:after="20"/>
            </w:pPr>
            <w:r/>
            <w:r>
              <w:rPr>
                <w:b w:val="0"/>
                <w:sz w:val="16"/>
              </w:rPr>
              <w:t>Score/breakdown where available, findings, evidence, check history, provider metadata, and recommended next steps.</w:t>
            </w:r>
          </w:p>
        </w:tc>
      </w:tr>
      <w:tr>
        <w:tc>
          <w:tcPr>
            <w:tcW w:type="dxa" w:w="2448"/>
            <w:vAlign w:val="center"/>
          </w:tcPr>
          <w:p>
            <w:pPr>
              <w:spacing w:after="20"/>
            </w:pPr>
            <w:r/>
            <w:r>
              <w:rPr>
                <w:b w:val="0"/>
                <w:sz w:val="16"/>
              </w:rPr>
              <w:t>Findings center</w:t>
            </w:r>
          </w:p>
        </w:tc>
        <w:tc>
          <w:tcPr>
            <w:tcW w:type="dxa" w:w="7488"/>
            <w:vAlign w:val="center"/>
          </w:tcPr>
          <w:p>
            <w:pPr>
              <w:spacing w:after="20"/>
            </w:pPr>
            <w:r/>
            <w:r>
              <w:rPr>
                <w:b w:val="0"/>
                <w:sz w:val="16"/>
              </w:rPr>
              <w:t>Prioritized queue with severity, status, owner, confidence, and filters.</w:t>
            </w:r>
          </w:p>
        </w:tc>
      </w:tr>
      <w:tr>
        <w:tc>
          <w:tcPr>
            <w:tcW w:type="dxa" w:w="2448"/>
            <w:vAlign w:val="center"/>
            <w:shd w:fill="F1F5FA"/>
          </w:tcPr>
          <w:p>
            <w:pPr>
              <w:spacing w:after="20"/>
            </w:pPr>
            <w:r/>
            <w:r>
              <w:rPr>
                <w:b w:val="0"/>
                <w:sz w:val="16"/>
              </w:rPr>
              <w:t>Provider connections</w:t>
            </w:r>
          </w:p>
        </w:tc>
        <w:tc>
          <w:tcPr>
            <w:tcW w:type="dxa" w:w="7488"/>
            <w:vAlign w:val="center"/>
            <w:shd w:fill="F1F5FA"/>
          </w:tcPr>
          <w:p>
            <w:pPr>
              <w:spacing w:after="20"/>
            </w:pPr>
            <w:r/>
            <w:r>
              <w:rPr>
                <w:b w:val="0"/>
                <w:sz w:val="16"/>
              </w:rPr>
              <w:t>Connect/disconnect providers, select repositories, review scopes, and inspect integration health.</w:t>
            </w:r>
          </w:p>
        </w:tc>
      </w:tr>
      <w:tr>
        <w:tc>
          <w:tcPr>
            <w:tcW w:type="dxa" w:w="2448"/>
            <w:vAlign w:val="center"/>
          </w:tcPr>
          <w:p>
            <w:pPr>
              <w:spacing w:after="20"/>
            </w:pPr>
            <w:r/>
            <w:r>
              <w:rPr>
                <w:b w:val="0"/>
                <w:sz w:val="16"/>
              </w:rPr>
              <w:t>Settings and audit</w:t>
            </w:r>
          </w:p>
        </w:tc>
        <w:tc>
          <w:tcPr>
            <w:tcW w:type="dxa" w:w="7488"/>
            <w:vAlign w:val="center"/>
          </w:tcPr>
          <w:p>
            <w:pPr>
              <w:spacing w:after="20"/>
            </w:pPr>
            <w:r/>
            <w:r>
              <w:rPr>
                <w:b w:val="0"/>
                <w:sz w:val="16"/>
              </w:rPr>
              <w:t>Members, schedules, notification preferences, retention, approvals, and action history.</w:t>
            </w:r>
          </w:p>
        </w:tc>
      </w:tr>
    </w:tbl>
    <w:p/>
    <w:p>
      <w:r>
        <w:t>Landing-page positioning should be provider-neutral: 'Understand the health of your open-source projects—across the platforms where they live.' Avoid making the product look like an official service of any one hosting provider unless a formal relationship exists.</w:t>
      </w:r>
    </w:p>
    <w:p>
      <w:pPr>
        <w:pStyle w:val="Heading1"/>
      </w:pPr>
      <w:r>
        <w:t>12. Suggested build sequence</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244A80"/>
          </w:tcPr>
          <w:p>
            <w:pPr>
              <w:spacing w:after="20"/>
            </w:pPr>
            <w:r/>
            <w:r>
              <w:rPr>
                <w:b/>
                <w:color w:val="FFFFFF"/>
                <w:sz w:val="17"/>
              </w:rPr>
              <w:t>Phase</w:t>
            </w:r>
          </w:p>
        </w:tc>
        <w:tc>
          <w:tcPr>
            <w:tcW w:type="dxa" w:w="4032"/>
            <w:vAlign w:val="center"/>
            <w:shd w:fill="244A80"/>
          </w:tcPr>
          <w:p>
            <w:pPr>
              <w:spacing w:after="20"/>
            </w:pPr>
            <w:r/>
            <w:r>
              <w:rPr>
                <w:b/>
                <w:color w:val="FFFFFF"/>
                <w:sz w:val="17"/>
              </w:rPr>
              <w:t>Build outcome</w:t>
            </w:r>
          </w:p>
        </w:tc>
        <w:tc>
          <w:tcPr>
            <w:tcW w:type="dxa" w:w="4104"/>
            <w:vAlign w:val="center"/>
            <w:shd w:fill="244A80"/>
          </w:tcPr>
          <w:p>
            <w:pPr>
              <w:spacing w:after="20"/>
            </w:pPr>
            <w:r/>
            <w:r>
              <w:rPr>
                <w:b/>
                <w:color w:val="FFFFFF"/>
                <w:sz w:val="17"/>
              </w:rPr>
              <w:t>Acceptance checkpoint</w:t>
            </w:r>
          </w:p>
        </w:tc>
      </w:tr>
      <w:tr>
        <w:tc>
          <w:tcPr>
            <w:tcW w:type="dxa" w:w="1800"/>
            <w:vAlign w:val="center"/>
          </w:tcPr>
          <w:p>
            <w:pPr>
              <w:spacing w:after="20"/>
            </w:pPr>
            <w:r/>
            <w:r>
              <w:rPr>
                <w:b w:val="0"/>
                <w:sz w:val="16"/>
              </w:rPr>
              <w:t>1. Foundation</w:t>
            </w:r>
          </w:p>
        </w:tc>
        <w:tc>
          <w:tcPr>
            <w:tcW w:type="dxa" w:w="4032"/>
            <w:vAlign w:val="center"/>
          </w:tcPr>
          <w:p>
            <w:pPr>
              <w:spacing w:after="20"/>
            </w:pPr>
            <w:r/>
            <w:r>
              <w:rPr>
                <w:b w:val="0"/>
                <w:sz w:val="16"/>
              </w:rPr>
              <w:t>Monorepo, Django, Next.js, PostgreSQL, authentication, workspace boundaries, local setup.</w:t>
            </w:r>
          </w:p>
        </w:tc>
        <w:tc>
          <w:tcPr>
            <w:tcW w:type="dxa" w:w="4104"/>
            <w:vAlign w:val="center"/>
          </w:tcPr>
          <w:p>
            <w:pPr>
              <w:spacing w:after="20"/>
            </w:pPr>
            <w:r/>
            <w:r>
              <w:rPr>
                <w:b w:val="0"/>
                <w:sz w:val="16"/>
              </w:rPr>
              <w:t>A user can sign in and create a workspace securely.</w:t>
            </w:r>
          </w:p>
        </w:tc>
      </w:tr>
      <w:tr>
        <w:tc>
          <w:tcPr>
            <w:tcW w:type="dxa" w:w="1800"/>
            <w:vAlign w:val="center"/>
            <w:shd w:fill="F1F5FA"/>
          </w:tcPr>
          <w:p>
            <w:pPr>
              <w:spacing w:after="20"/>
            </w:pPr>
            <w:r/>
            <w:r>
              <w:rPr>
                <w:b w:val="0"/>
                <w:sz w:val="16"/>
              </w:rPr>
              <w:t>2. Provider-neutral core</w:t>
            </w:r>
          </w:p>
        </w:tc>
        <w:tc>
          <w:tcPr>
            <w:tcW w:type="dxa" w:w="4032"/>
            <w:vAlign w:val="center"/>
            <w:shd w:fill="F1F5FA"/>
          </w:tcPr>
          <w:p>
            <w:pPr>
              <w:spacing w:after="20"/>
            </w:pPr>
            <w:r/>
            <w:r>
              <w:rPr>
                <w:b w:val="0"/>
                <w:sz w:val="16"/>
              </w:rPr>
              <w:t>ProviderConnection, Repository, capability model, adapter interface, test fixtures.</w:t>
            </w:r>
          </w:p>
        </w:tc>
        <w:tc>
          <w:tcPr>
            <w:tcW w:type="dxa" w:w="4104"/>
            <w:vAlign w:val="center"/>
            <w:shd w:fill="F1F5FA"/>
          </w:tcPr>
          <w:p>
            <w:pPr>
              <w:spacing w:after="20"/>
            </w:pPr>
            <w:r/>
            <w:r>
              <w:rPr>
                <w:b w:val="0"/>
                <w:sz w:val="16"/>
              </w:rPr>
              <w:t>A mock adapter can import repositories and report capabilities without provider-specific code in the core.</w:t>
            </w:r>
          </w:p>
        </w:tc>
      </w:tr>
      <w:tr>
        <w:tc>
          <w:tcPr>
            <w:tcW w:type="dxa" w:w="1800"/>
            <w:vAlign w:val="center"/>
          </w:tcPr>
          <w:p>
            <w:pPr>
              <w:spacing w:after="20"/>
            </w:pPr>
            <w:r/>
            <w:r>
              <w:rPr>
                <w:b w:val="0"/>
                <w:sz w:val="16"/>
              </w:rPr>
              <w:t>3. First provider</w:t>
            </w:r>
          </w:p>
        </w:tc>
        <w:tc>
          <w:tcPr>
            <w:tcW w:type="dxa" w:w="4032"/>
            <w:vAlign w:val="center"/>
          </w:tcPr>
          <w:p>
            <w:pPr>
              <w:spacing w:after="20"/>
            </w:pPr>
            <w:r/>
            <w:r>
              <w:rPr>
                <w:b w:val="0"/>
                <w:sz w:val="16"/>
              </w:rPr>
              <w:t>Implement one provider end-to-end, preferably GitHub for the initial vertical slice; add webhook/polling and repository inventory.</w:t>
            </w:r>
          </w:p>
        </w:tc>
        <w:tc>
          <w:tcPr>
            <w:tcW w:type="dxa" w:w="4104"/>
            <w:vAlign w:val="center"/>
          </w:tcPr>
          <w:p>
            <w:pPr>
              <w:spacing w:after="20"/>
            </w:pPr>
            <w:r/>
            <w:r>
              <w:rPr>
                <w:b w:val="0"/>
                <w:sz w:val="16"/>
              </w:rPr>
              <w:t>A user connects selected repositories and sees real metadata with correct permissions.</w:t>
            </w:r>
          </w:p>
        </w:tc>
      </w:tr>
      <w:tr>
        <w:tc>
          <w:tcPr>
            <w:tcW w:type="dxa" w:w="1800"/>
            <w:vAlign w:val="center"/>
            <w:shd w:fill="F1F5FA"/>
          </w:tcPr>
          <w:p>
            <w:pPr>
              <w:spacing w:after="20"/>
            </w:pPr>
            <w:r/>
            <w:r>
              <w:rPr>
                <w:b w:val="0"/>
                <w:sz w:val="16"/>
              </w:rPr>
              <w:t>4. First checks</w:t>
            </w:r>
          </w:p>
        </w:tc>
        <w:tc>
          <w:tcPr>
            <w:tcW w:type="dxa" w:w="4032"/>
            <w:vAlign w:val="center"/>
            <w:shd w:fill="F1F5FA"/>
          </w:tcPr>
          <w:p>
            <w:pPr>
              <w:spacing w:after="20"/>
            </w:pPr>
            <w:r/>
            <w:r>
              <w:rPr>
                <w:b w:val="0"/>
                <w:sz w:val="16"/>
              </w:rPr>
              <w:t>Availability/metadata, CI status where available, release recency, basic dependency/documentation checks.</w:t>
            </w:r>
          </w:p>
        </w:tc>
        <w:tc>
          <w:tcPr>
            <w:tcW w:type="dxa" w:w="4104"/>
            <w:vAlign w:val="center"/>
            <w:shd w:fill="F1F5FA"/>
          </w:tcPr>
          <w:p>
            <w:pPr>
              <w:spacing w:after="20"/>
            </w:pPr>
            <w:r/>
            <w:r>
              <w:rPr>
                <w:b w:val="0"/>
                <w:sz w:val="16"/>
              </w:rPr>
              <w:t>Checks have evidence, timestamps, status, and tests; unsupported checks are shown as unavailable.</w:t>
            </w:r>
          </w:p>
        </w:tc>
      </w:tr>
      <w:tr>
        <w:tc>
          <w:tcPr>
            <w:tcW w:type="dxa" w:w="1800"/>
            <w:vAlign w:val="center"/>
          </w:tcPr>
          <w:p>
            <w:pPr>
              <w:spacing w:after="20"/>
            </w:pPr>
            <w:r/>
            <w:r>
              <w:rPr>
                <w:b w:val="0"/>
                <w:sz w:val="16"/>
              </w:rPr>
              <w:t>5. Findings dashboard</w:t>
            </w:r>
          </w:p>
        </w:tc>
        <w:tc>
          <w:tcPr>
            <w:tcW w:type="dxa" w:w="4032"/>
            <w:vAlign w:val="center"/>
          </w:tcPr>
          <w:p>
            <w:pPr>
              <w:spacing w:after="20"/>
            </w:pPr>
            <w:r/>
            <w:r>
              <w:rPr>
                <w:b w:val="0"/>
                <w:sz w:val="16"/>
              </w:rPr>
              <w:t>Health summaries, filters, finding lifecycle, deduplication, history, repository reports.</w:t>
            </w:r>
          </w:p>
        </w:tc>
        <w:tc>
          <w:tcPr>
            <w:tcW w:type="dxa" w:w="4104"/>
            <w:vAlign w:val="center"/>
          </w:tcPr>
          <w:p>
            <w:pPr>
              <w:spacing w:after="20"/>
            </w:pPr>
            <w:r/>
            <w:r>
              <w:rPr>
                <w:b w:val="0"/>
                <w:sz w:val="16"/>
              </w:rPr>
              <w:t>Users can understand a finding and track it to resolution.</w:t>
            </w:r>
          </w:p>
        </w:tc>
      </w:tr>
      <w:tr>
        <w:tc>
          <w:tcPr>
            <w:tcW w:type="dxa" w:w="1800"/>
            <w:vAlign w:val="center"/>
            <w:shd w:fill="F1F5FA"/>
          </w:tcPr>
          <w:p>
            <w:pPr>
              <w:spacing w:after="20"/>
            </w:pPr>
            <w:r/>
            <w:r>
              <w:rPr>
                <w:b w:val="0"/>
                <w:sz w:val="16"/>
              </w:rPr>
              <w:t>6. Second provider</w:t>
            </w:r>
          </w:p>
        </w:tc>
        <w:tc>
          <w:tcPr>
            <w:tcW w:type="dxa" w:w="4032"/>
            <w:vAlign w:val="center"/>
            <w:shd w:fill="F1F5FA"/>
          </w:tcPr>
          <w:p>
            <w:pPr>
              <w:spacing w:after="20"/>
            </w:pPr>
            <w:r/>
            <w:r>
              <w:rPr>
                <w:b w:val="0"/>
                <w:sz w:val="16"/>
              </w:rPr>
              <w:t>Add GitLab through the adapter interface and document capability differences.</w:t>
            </w:r>
          </w:p>
        </w:tc>
        <w:tc>
          <w:tcPr>
            <w:tcW w:type="dxa" w:w="4104"/>
            <w:vAlign w:val="center"/>
            <w:shd w:fill="F1F5FA"/>
          </w:tcPr>
          <w:p>
            <w:pPr>
              <w:spacing w:after="20"/>
            </w:pPr>
            <w:r/>
            <w:r>
              <w:rPr>
                <w:b w:val="0"/>
                <w:sz w:val="16"/>
              </w:rPr>
              <w:t>Same dashboard works without duplicating the health engine.</w:t>
            </w:r>
          </w:p>
        </w:tc>
      </w:tr>
      <w:tr>
        <w:tc>
          <w:tcPr>
            <w:tcW w:type="dxa" w:w="1800"/>
            <w:vAlign w:val="center"/>
          </w:tcPr>
          <w:p>
            <w:pPr>
              <w:spacing w:after="20"/>
            </w:pPr>
            <w:r/>
            <w:r>
              <w:rPr>
                <w:b w:val="0"/>
                <w:sz w:val="16"/>
              </w:rPr>
              <w:t>7. Community-specific adapters</w:t>
            </w:r>
          </w:p>
        </w:tc>
        <w:tc>
          <w:tcPr>
            <w:tcW w:type="dxa" w:w="4032"/>
            <w:vAlign w:val="center"/>
          </w:tcPr>
          <w:p>
            <w:pPr>
              <w:spacing w:after="20"/>
            </w:pPr>
            <w:r/>
            <w:r>
              <w:rPr>
                <w:b w:val="0"/>
                <w:sz w:val="16"/>
              </w:rPr>
              <w:t>Add Wikimedia-related APIs and other providers such as Codeberg, Gitea/Forgejo, and Bitbucket based on feasibility and demand.</w:t>
            </w:r>
          </w:p>
        </w:tc>
        <w:tc>
          <w:tcPr>
            <w:tcW w:type="dxa" w:w="4104"/>
            <w:vAlign w:val="center"/>
          </w:tcPr>
          <w:p>
            <w:pPr>
              <w:spacing w:after="20"/>
            </w:pPr>
            <w:r/>
            <w:r>
              <w:rPr>
                <w:b w:val="0"/>
                <w:sz w:val="16"/>
              </w:rPr>
              <w:t>Each adapter has documented permissions, limits, supported checks, and integration tests.</w:t>
            </w:r>
          </w:p>
        </w:tc>
      </w:tr>
      <w:tr>
        <w:tc>
          <w:tcPr>
            <w:tcW w:type="dxa" w:w="1800"/>
            <w:vAlign w:val="center"/>
            <w:shd w:fill="F1F5FA"/>
          </w:tcPr>
          <w:p>
            <w:pPr>
              <w:spacing w:after="20"/>
            </w:pPr>
            <w:r/>
            <w:r>
              <w:rPr>
                <w:b w:val="0"/>
                <w:sz w:val="16"/>
              </w:rPr>
              <w:t>8. Maintenance workflow</w:t>
            </w:r>
          </w:p>
        </w:tc>
        <w:tc>
          <w:tcPr>
            <w:tcW w:type="dxa" w:w="4032"/>
            <w:vAlign w:val="center"/>
            <w:shd w:fill="F1F5FA"/>
          </w:tcPr>
          <w:p>
            <w:pPr>
              <w:spacing w:after="20"/>
            </w:pPr>
            <w:r/>
            <w:r>
              <w:rPr>
                <w:b w:val="0"/>
                <w:sz w:val="16"/>
              </w:rPr>
              <w:t>Assignments, notifications, audit history, approval-gated issue and draft PR/MR creation where supported.</w:t>
            </w:r>
          </w:p>
        </w:tc>
        <w:tc>
          <w:tcPr>
            <w:tcW w:type="dxa" w:w="4104"/>
            <w:vAlign w:val="center"/>
            <w:shd w:fill="F1F5FA"/>
          </w:tcPr>
          <w:p>
            <w:pPr>
              <w:spacing w:after="20"/>
            </w:pPr>
            <w:r/>
            <w:r>
              <w:rPr>
                <w:b w:val="0"/>
                <w:sz w:val="16"/>
              </w:rPr>
              <w:t>No external write occurs without approval; all actions are auditable.</w:t>
            </w:r>
          </w:p>
        </w:tc>
      </w:tr>
      <w:tr>
        <w:tc>
          <w:tcPr>
            <w:tcW w:type="dxa" w:w="1800"/>
            <w:vAlign w:val="center"/>
          </w:tcPr>
          <w:p>
            <w:pPr>
              <w:spacing w:after="20"/>
            </w:pPr>
            <w:r/>
            <w:r>
              <w:rPr>
                <w:b w:val="0"/>
                <w:sz w:val="16"/>
              </w:rPr>
              <w:t>9. Trends and improvements</w:t>
            </w:r>
          </w:p>
        </w:tc>
        <w:tc>
          <w:tcPr>
            <w:tcW w:type="dxa" w:w="4032"/>
            <w:vAlign w:val="center"/>
          </w:tcPr>
          <w:p>
            <w:pPr>
              <w:spacing w:after="20"/>
            </w:pPr>
            <w:r/>
            <w:r>
              <w:rPr>
                <w:b w:val="0"/>
                <w:sz w:val="16"/>
              </w:rPr>
              <w:t>Historical analytics, optional recommendations, data export, and reliability improvements.</w:t>
            </w:r>
          </w:p>
        </w:tc>
        <w:tc>
          <w:tcPr>
            <w:tcW w:type="dxa" w:w="4104"/>
            <w:vAlign w:val="center"/>
          </w:tcPr>
          <w:p>
            <w:pPr>
              <w:spacing w:after="20"/>
            </w:pPr>
            <w:r/>
            <w:r>
              <w:rPr>
                <w:b w:val="0"/>
                <w:sz w:val="16"/>
              </w:rPr>
              <w:t>Metrics are sourced, uncertainty is visible, and user data controls are available.</w:t>
            </w:r>
          </w:p>
        </w:tc>
      </w:tr>
    </w:tbl>
    <w:p/>
    <w:p>
      <w:pPr>
        <w:pStyle w:val="Heading1"/>
      </w:pPr>
      <w:r>
        <w:t>13. Open decisions before implementation</w:t>
      </w:r>
    </w:p>
    <w:p>
      <w:pPr>
        <w:pStyle w:val="ListBullet"/>
        <w:spacing w:after="40"/>
      </w:pPr>
      <w:r>
        <w:t>Which provider should be the first end-to-end integration, and which two are next?</w:t>
      </w:r>
    </w:p>
    <w:p>
      <w:pPr>
        <w:pStyle w:val="ListBullet"/>
        <w:spacing w:after="40"/>
      </w:pPr>
      <w:r>
        <w:t>Will the first release support public repositories only, or also private repositories?</w:t>
      </w:r>
    </w:p>
    <w:p>
      <w:pPr>
        <w:pStyle w:val="ListBullet"/>
        <w:spacing w:after="40"/>
      </w:pPr>
      <w:r>
        <w:t>Will the API use REST or GraphQL? Avoid maintaining both until there is a clear need.</w:t>
      </w:r>
    </w:p>
    <w:p>
      <w:pPr>
        <w:pStyle w:val="ListBullet"/>
        <w:spacing w:after="40"/>
      </w:pPr>
      <w:r>
        <w:t>What exactly counts as Healthy, At Risk, Critical, Unknown, or Not Checked?</w:t>
      </w:r>
    </w:p>
    <w:p>
      <w:pPr>
        <w:pStyle w:val="ListBullet"/>
        <w:spacing w:after="40"/>
      </w:pPr>
      <w:r>
        <w:t>Which checks can be delivered reliably without broad permissions or expensive scans?</w:t>
      </w:r>
    </w:p>
    <w:p>
      <w:pPr>
        <w:pStyle w:val="ListBullet"/>
        <w:spacing w:after="40"/>
      </w:pPr>
      <w:r>
        <w:t>Which deployment environment, hosting limits, expected repository volume, and budget apply?</w:t>
      </w:r>
    </w:p>
    <w:p>
      <w:pPr>
        <w:pStyle w:val="ListBullet"/>
        <w:spacing w:after="40"/>
      </w:pPr>
      <w:r>
        <w:t>What notification channels and retention periods are required?</w:t>
      </w:r>
    </w:p>
    <w:p>
      <w:pPr>
        <w:pStyle w:val="ListBullet"/>
        <w:spacing w:after="40"/>
      </w:pPr>
      <w:r>
        <w:t>Should recommendations be rule-based first, with AI assistance added only after evidence handling is reliable?</w:t>
      </w:r>
    </w:p>
    <w:p>
      <w:pPr>
        <w:pStyle w:val="ListBullet"/>
        <w:spacing w:after="40"/>
      </w:pPr>
      <w:r>
        <w:t>Which external write actions are allowed in version one, and what approval rules apply?</w:t>
      </w:r>
    </w:p>
    <w:p>
      <w:pPr>
        <w:pStyle w:val="Heading1"/>
      </w:pPr>
      <w:r>
        <w:t>14. Definition of a successful initial release</w:t>
      </w:r>
    </w:p>
    <w:p>
      <w:r>
        <w:t>The initial release is successful when a workspace owner can connect at least one supported provider, select repositories, view real check results and findings, understand the evidence and limitations behind each finding, assign work, and track resolution. Provider capabilities and unsupported checks are clearly communicated. Scheduled and event-triggered runs are visible in history. External write actions are disabled by default or explicitly approval-gated, and all consequential actions are auditable.</w:t>
      </w:r>
    </w:p>
    <w:p>
      <w:pPr>
        <w:pStyle w:val="Heading1"/>
      </w:pPr>
      <w:r>
        <w:t>15. Recommended scope for version one</w:t>
      </w:r>
    </w:p>
    <w:p>
      <w:r>
        <w:t>Keep the first release focused. Build a provider-neutral core, one complete provider adapter, a small set of high-confidence checks, and a useful findings experience. Do not promise universal coverage or automatic fixes before provider-specific behavior, permissions, and evidence quality have been tested.</w:t>
      </w:r>
    </w:p>
    <w:p>
      <w:r>
        <w:rPr>
          <w:b/>
        </w:rPr>
        <w:t xml:space="preserve">Product principle: </w:t>
      </w:r>
      <w:r>
        <w:t>Tool Doctor should diagnose and explain before it attempts to act. Reliable evidence and user trust matter more than a large number of checks.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Tool Doctor • Implementation Blueprint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465F82"/>
      </w:rPr>
      <w:t>TOOL DOCTOR  |  MULTI-PLATFORM OPEN-SOURCE HEALTH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4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4182"/>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4B8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83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428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