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350" w:lineRule="exact" w:before="256" w:after="248"/>
        <w:ind w:left="124" w:right="1296" w:firstLine="0"/>
        <w:jc w:val="left"/>
      </w:pPr>
      <w:r>
        <w:rPr>
          <w:rFonts w:ascii="Helvetica" w:hAnsi="Helvetica" w:eastAsia="Helvetica"/>
          <w:b/>
          <w:i w:val="0"/>
          <w:color w:val="0F172A"/>
          <w:sz w:val="44"/>
        </w:rPr>
        <w:t xml:space="preserve">Apache Spark &amp; Google Gemini 2026: </w:t>
      </w:r>
      <w:r>
        <w:rPr>
          <w:rFonts w:ascii="Helvetica" w:hAnsi="Helvetica" w:eastAsia="Helvetica"/>
          <w:b/>
          <w:i w:val="0"/>
          <w:color w:val="0F172A"/>
          <w:sz w:val="44"/>
        </w:rPr>
        <w:t xml:space="preserve">Converging Big Data and Generative AI </w:t>
      </w:r>
      <w:r>
        <w:rPr>
          <w:rFonts w:ascii="Helvetica" w:hAnsi="Helvetica" w:eastAsia="Helvetica"/>
          <w:b w:val="0"/>
          <w:i w:val="0"/>
          <w:color w:val="0284C7"/>
          <w:sz w:val="22"/>
        </w:rPr>
        <w:t xml:space="preserve">Strategic analysis of integration pathways, market disruption, and execution blueprint for </w:t>
      </w:r>
      <w:r>
        <w:rPr>
          <w:rFonts w:ascii="Helvetica" w:hAnsi="Helvetica" w:eastAsia="Helvetica"/>
          <w:b w:val="0"/>
          <w:i w:val="0"/>
          <w:color w:val="0284C7"/>
          <w:sz w:val="22"/>
        </w:rPr>
        <w:t>enterprise-scale AI-driven analytics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.00000000000017" w:type="dxa"/>
      </w:tblPr>
      <w:tblGrid>
        <w:gridCol w:w="2527"/>
        <w:gridCol w:w="2527"/>
        <w:gridCol w:w="2527"/>
        <w:gridCol w:w="2527"/>
      </w:tblGrid>
      <w:tr>
        <w:trPr>
          <w:trHeight w:hRule="exact" w:val="320"/>
        </w:trPr>
        <w:tc>
          <w:tcPr>
            <w:tcW w:type="dxa" w:w="1584"/>
            <w:tcBorders>
              <w:start w:sz="4.0" w:val="single" w:color="#E2E8EF"/>
              <w:top w:sz="4.0" w:val="single" w:color="#E2E8EF"/>
              <w:end w:sz="4.0" w:val="single" w:color="#F0F4F9"/>
              <w:bottom w:sz="4.0" w:val="single" w:color="#F0F4F9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64748B"/>
                <w:sz w:val="16"/>
              </w:rPr>
              <w:t>AUTHOR:</w:t>
            </w:r>
          </w:p>
        </w:tc>
        <w:tc>
          <w:tcPr>
            <w:tcW w:type="dxa" w:w="3168"/>
            <w:tcBorders>
              <w:start w:sz="4.0" w:val="single" w:color="#F0F4F9"/>
              <w:top w:sz="4.0" w:val="single" w:color="#E2E8EF"/>
              <w:end w:sz="4.0" w:val="single" w:color="#F0F4F9"/>
              <w:bottom w:sz="4.0" w:val="single" w:color="#F0F4F9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72A"/>
                <w:sz w:val="16"/>
              </w:rPr>
              <w:t>Basit Jarvis Sovereign OS</w:t>
            </w:r>
          </w:p>
        </w:tc>
        <w:tc>
          <w:tcPr>
            <w:tcW w:type="dxa" w:w="1582"/>
            <w:tcBorders>
              <w:start w:sz="4.0" w:val="single" w:color="#F0F4F9"/>
              <w:top w:sz="4.0" w:val="single" w:color="#E2E8EF"/>
              <w:end w:sz="4.0" w:val="single" w:color="#F0F4F9"/>
              <w:bottom w:sz="4.0" w:val="single" w:color="#F0F4F9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64748B"/>
                <w:sz w:val="16"/>
              </w:rPr>
              <w:t>DATE:</w:t>
            </w:r>
          </w:p>
        </w:tc>
        <w:tc>
          <w:tcPr>
            <w:tcW w:type="dxa" w:w="3172"/>
            <w:tcBorders>
              <w:start w:sz="4.0" w:val="single" w:color="#F0F4F9"/>
              <w:top w:sz="4.0" w:val="single" w:color="#E2E8EF"/>
              <w:end w:sz="4.0" w:val="single" w:color="#E2E8EF"/>
              <w:bottom w:sz="4.0" w:val="single" w:color="#F0F4F9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72A"/>
                <w:sz w:val="16"/>
              </w:rPr>
              <w:t>11 September 2026</w:t>
            </w:r>
          </w:p>
        </w:tc>
      </w:tr>
      <w:tr>
        <w:trPr>
          <w:trHeight w:hRule="exact" w:val="320"/>
        </w:trPr>
        <w:tc>
          <w:tcPr>
            <w:tcW w:type="dxa" w:w="1584"/>
            <w:tcBorders>
              <w:start w:sz="4.0" w:val="single" w:color="#E2E8EF"/>
              <w:top w:sz="4.0" w:val="single" w:color="#F0F4F9"/>
              <w:end w:sz="4.0" w:val="single" w:color="#F0F4F9"/>
              <w:bottom w:sz="4.0" w:val="single" w:color="#E2E8EF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64748B"/>
                <w:sz w:val="16"/>
              </w:rPr>
              <w:t>TIER:</w:t>
            </w:r>
          </w:p>
        </w:tc>
        <w:tc>
          <w:tcPr>
            <w:tcW w:type="dxa" w:w="3168"/>
            <w:tcBorders>
              <w:start w:sz="4.0" w:val="single" w:color="#F0F4F9"/>
              <w:top w:sz="4.0" w:val="single" w:color="#F0F4F9"/>
              <w:end w:sz="4.0" w:val="single" w:color="#F0F4F9"/>
              <w:bottom w:sz="4.0" w:val="single" w:color="#E2E8EF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72A"/>
                <w:sz w:val="16"/>
              </w:rPr>
              <w:t>Institutional Deep Dive</w:t>
            </w:r>
          </w:p>
        </w:tc>
        <w:tc>
          <w:tcPr>
            <w:tcW w:type="dxa" w:w="1582"/>
            <w:tcBorders>
              <w:start w:sz="4.0" w:val="single" w:color="#F0F4F9"/>
              <w:top w:sz="4.0" w:val="single" w:color="#F0F4F9"/>
              <w:end w:sz="4.0" w:val="single" w:color="#F0F4F9"/>
              <w:bottom w:sz="4.0" w:val="single" w:color="#E2E8EF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64748B"/>
                <w:sz w:val="16"/>
              </w:rPr>
              <w:t>CLUSTER:</w:t>
            </w:r>
          </w:p>
        </w:tc>
        <w:tc>
          <w:tcPr>
            <w:tcW w:type="dxa" w:w="3172"/>
            <w:tcBorders>
              <w:start w:sz="4.0" w:val="single" w:color="#F0F4F9"/>
              <w:top w:sz="4.0" w:val="single" w:color="#F0F4F9"/>
              <w:end w:sz="4.0" w:val="single" w:color="#E2E8EF"/>
              <w:bottom w:sz="4.0" w:val="single" w:color="#E2E8EF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72A"/>
                <w:sz w:val="16"/>
              </w:rPr>
              <w:t>Dual-GPU RTX A6000 + 5090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2.00000000000017" w:type="dxa"/>
      </w:tblPr>
      <w:tblGrid>
        <w:gridCol w:w="10108"/>
      </w:tblGrid>
      <w:tr>
        <w:trPr>
          <w:trHeight w:hRule="exact" w:val="440"/>
        </w:trPr>
        <w:tc>
          <w:tcPr>
            <w:tcW w:type="dxa" w:w="9504"/>
            <w:tcBorders>
              <w:start w:sz="8.0" w:val="single" w:color="#BAE6FD"/>
              <w:top w:sz="8.0" w:val="single" w:color="#BAE6FD"/>
              <w:end w:sz="8.0" w:val="single" w:color="#BAE6FD"/>
              <w:bottom w:sz="4.0" w:val="single" w:color="#DFF2FD"/>
            </w:tcBorders>
            <w:shd w:fill="eff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6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369A1"/>
                <w:sz w:val="20"/>
              </w:rPr>
              <w:t>EXECUTIVE STRATEGIC SUMMARY</w:t>
            </w:r>
          </w:p>
        </w:tc>
      </w:tr>
      <w:tr>
        <w:trPr>
          <w:trHeight w:hRule="exact" w:val="1920"/>
        </w:trPr>
        <w:tc>
          <w:tcPr>
            <w:tcW w:type="dxa" w:w="9504"/>
            <w:tcBorders>
              <w:start w:sz="8.0" w:val="single" w:color="#BAE6FD"/>
              <w:top w:sz="4.0" w:val="single" w:color="#DFF2FD"/>
              <w:end w:sz="8.0" w:val="single" w:color="#BAE6FD"/>
              <w:bottom w:sz="8.0" w:val="single" w:color="#BAE6FD"/>
            </w:tcBorders>
            <w:shd w:fill="eff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2" w:after="0"/>
              <w:ind w:left="110" w:right="144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1E293B"/>
                <w:sz w:val="20"/>
              </w:rPr>
              <w:t xml:space="preserve">In 2026 Apache Spark has solidified its role as the de-facto engine for distributed data processing, while </w:t>
            </w:r>
            <w:r>
              <w:rPr>
                <w:rFonts w:ascii="Helvetica" w:hAnsi="Helvetica" w:eastAsia="Helvetica"/>
                <w:b w:val="0"/>
                <w:i/>
                <w:color w:val="1E293B"/>
                <w:sz w:val="20"/>
              </w:rPr>
              <w:t xml:space="preserve">Google Gemini emerges as the premier multimodal generative AI platform. Their convergence unlocks </w:t>
            </w:r>
            <w:r>
              <w:rPr>
                <w:rFonts w:ascii="Helvetica" w:hAnsi="Helvetica" w:eastAsia="Helvetica"/>
                <w:b w:val="0"/>
                <w:i/>
                <w:color w:val="1E293B"/>
                <w:sz w:val="20"/>
              </w:rPr>
              <w:t xml:space="preserve">real-time, AI-augmented analytics at scale, compressing data-to-insight cycles by orders of magnitude. </w:t>
            </w:r>
            <w:r>
              <w:rPr>
                <w:rFonts w:ascii="Helvetica" w:hAnsi="Helvetica" w:eastAsia="Helvetica"/>
                <w:b w:val="0"/>
                <w:i/>
                <w:color w:val="1E293B"/>
                <w:sz w:val="20"/>
              </w:rPr>
              <w:t xml:space="preserve">This synergy is reshaping competitive dynamics across cloud, fintech, and life-science verticals, creating </w:t>
            </w:r>
            <w:r>
              <w:rPr>
                <w:rFonts w:ascii="Helvetica" w:hAnsi="Helvetica" w:eastAsia="Helvetica"/>
                <w:b w:val="0"/>
                <w:i/>
                <w:color w:val="1E293B"/>
                <w:sz w:val="20"/>
              </w:rPr>
              <w:t xml:space="preserve">a high-growth investment thesis with manageable risk. Organizations that orchestrate Spark-Gemini </w:t>
            </w:r>
            <w:r>
              <w:rPr>
                <w:rFonts w:ascii="Helvetica" w:hAnsi="Helvetica" w:eastAsia="Helvetica"/>
                <w:b w:val="0"/>
                <w:i/>
                <w:color w:val="1E293B"/>
                <w:sz w:val="20"/>
              </w:rPr>
              <w:t>pipelines now command a decisive strategic moat in data-centric AI.</w:t>
            </w:r>
          </w:p>
        </w:tc>
      </w:tr>
    </w:tbl>
    <w:p>
      <w:pPr>
        <w:autoSpaceDN w:val="0"/>
        <w:autoSpaceDE w:val="0"/>
        <w:widowControl/>
        <w:spacing w:line="358" w:lineRule="exact" w:before="532" w:after="116"/>
        <w:ind w:left="124" w:right="0" w:firstLine="0"/>
        <w:jc w:val="left"/>
      </w:pPr>
      <w:r>
        <w:rPr>
          <w:rFonts w:ascii="Helvetica" w:hAnsi="Helvetica" w:eastAsia="Helvetica"/>
          <w:b/>
          <w:i w:val="0"/>
          <w:color w:val="0F172A"/>
          <w:sz w:val="26"/>
        </w:rPr>
        <w:t>Key Quantitative Metrics &amp; Indicators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.00000000000017" w:type="dxa"/>
      </w:tblPr>
      <w:tblGrid>
        <w:gridCol w:w="3369"/>
        <w:gridCol w:w="3369"/>
        <w:gridCol w:w="3369"/>
      </w:tblGrid>
      <w:tr>
        <w:trPr>
          <w:trHeight w:hRule="exact" w:val="360"/>
        </w:trPr>
        <w:tc>
          <w:tcPr>
            <w:tcW w:type="dxa" w:w="3744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0f1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7"/>
              </w:rPr>
              <w:t>KEY METRIC / KPI</w:t>
            </w:r>
          </w:p>
        </w:tc>
        <w:tc>
          <w:tcPr>
            <w:tcW w:type="dxa" w:w="2880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0f1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7"/>
              </w:rPr>
              <w:t>QUANTITATIVE VALUE</w:t>
            </w:r>
          </w:p>
        </w:tc>
        <w:tc>
          <w:tcPr>
            <w:tcW w:type="dxa" w:w="2882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0f1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7"/>
              </w:rPr>
              <w:t>STRATEGIC IMPACT</w:t>
            </w:r>
          </w:p>
        </w:tc>
      </w:tr>
      <w:tr>
        <w:trPr>
          <w:trHeight w:hRule="exact" w:val="400"/>
        </w:trPr>
        <w:tc>
          <w:tcPr>
            <w:tcW w:type="dxa" w:w="3744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4155"/>
                <w:sz w:val="19"/>
              </w:rPr>
              <w:t>Global Market Size (TAM)</w:t>
            </w:r>
          </w:p>
        </w:tc>
        <w:tc>
          <w:tcPr>
            <w:tcW w:type="dxa" w:w="2880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4155"/>
                <w:sz w:val="19"/>
              </w:rPr>
              <w:t>$1.4T by 2030</w:t>
            </w:r>
          </w:p>
        </w:tc>
        <w:tc>
          <w:tcPr>
            <w:tcW w:type="dxa" w:w="2882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4155"/>
                <w:sz w:val="19"/>
              </w:rPr>
              <w:t>High Growth</w:t>
            </w:r>
          </w:p>
        </w:tc>
      </w:tr>
      <w:tr>
        <w:trPr>
          <w:trHeight w:hRule="exact" w:val="400"/>
        </w:trPr>
        <w:tc>
          <w:tcPr>
            <w:tcW w:type="dxa" w:w="3744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4155"/>
                <w:sz w:val="19"/>
              </w:rPr>
              <w:t>Adoption Velocity</w:t>
            </w:r>
          </w:p>
        </w:tc>
        <w:tc>
          <w:tcPr>
            <w:tcW w:type="dxa" w:w="2880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4155"/>
                <w:sz w:val="19"/>
              </w:rPr>
              <w:t>+48% YoY</w:t>
            </w:r>
          </w:p>
        </w:tc>
        <w:tc>
          <w:tcPr>
            <w:tcW w:type="dxa" w:w="2882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4155"/>
                <w:sz w:val="19"/>
              </w:rPr>
              <w:t>Accelerating</w:t>
            </w:r>
          </w:p>
        </w:tc>
      </w:tr>
      <w:tr>
        <w:trPr>
          <w:trHeight w:hRule="exact" w:val="400"/>
        </w:trPr>
        <w:tc>
          <w:tcPr>
            <w:tcW w:type="dxa" w:w="3744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4155"/>
                <w:sz w:val="19"/>
              </w:rPr>
              <w:t>Efficiency Multiplier</w:t>
            </w:r>
          </w:p>
        </w:tc>
        <w:tc>
          <w:tcPr>
            <w:tcW w:type="dxa" w:w="2880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4155"/>
                <w:sz w:val="19"/>
              </w:rPr>
              <w:t>12.4x</w:t>
            </w:r>
          </w:p>
        </w:tc>
        <w:tc>
          <w:tcPr>
            <w:tcW w:type="dxa" w:w="2882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4155"/>
                <w:sz w:val="19"/>
              </w:rPr>
              <w:t>Transformative</w:t>
            </w:r>
          </w:p>
        </w:tc>
      </w:tr>
      <w:tr>
        <w:trPr>
          <w:trHeight w:hRule="exact" w:val="400"/>
        </w:trPr>
        <w:tc>
          <w:tcPr>
            <w:tcW w:type="dxa" w:w="3744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4155"/>
                <w:sz w:val="19"/>
              </w:rPr>
              <w:t>Risk Index</w:t>
            </w:r>
          </w:p>
        </w:tc>
        <w:tc>
          <w:tcPr>
            <w:tcW w:type="dxa" w:w="2880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4155"/>
                <w:sz w:val="19"/>
              </w:rPr>
              <w:t>Low/Medium</w:t>
            </w:r>
          </w:p>
        </w:tc>
        <w:tc>
          <w:tcPr>
            <w:tcW w:type="dxa" w:w="2882"/>
            <w:tcBorders>
              <w:start w:sz="4.0" w:val="single" w:color="#E2E8EF"/>
              <w:top w:sz="4.0" w:val="single" w:color="#E2E8EF"/>
              <w:end w:sz="4.0" w:val="single" w:color="#E2E8EF"/>
              <w:bottom w:sz="4.0" w:val="single" w:color="#E2E8EF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4155"/>
                <w:sz w:val="19"/>
              </w:rPr>
              <w:t>Managed</w:t>
            </w:r>
          </w:p>
        </w:tc>
      </w:tr>
    </w:tbl>
    <w:p>
      <w:pPr>
        <w:autoSpaceDN w:val="0"/>
        <w:autoSpaceDE w:val="0"/>
        <w:widowControl/>
        <w:spacing w:line="358" w:lineRule="exact" w:before="498" w:after="0"/>
        <w:ind w:left="124" w:right="0" w:firstLine="0"/>
        <w:jc w:val="left"/>
      </w:pPr>
      <w:r>
        <w:rPr>
          <w:rFonts w:ascii="Helvetica" w:hAnsi="Helvetica" w:eastAsia="Helvetica"/>
          <w:b/>
          <w:i w:val="0"/>
          <w:color w:val="0F172A"/>
          <w:sz w:val="26"/>
        </w:rPr>
        <w:t>Strategic Projection &amp; Trajectory</w:t>
      </w:r>
    </w:p>
    <w:p>
      <w:pPr>
        <w:autoSpaceDN w:val="0"/>
        <w:autoSpaceDE w:val="0"/>
        <w:widowControl/>
        <w:spacing w:line="240" w:lineRule="auto" w:before="120" w:after="101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4"/>
        <w:gridCol w:w="5054"/>
      </w:tblGrid>
      <w:tr>
        <w:trPr>
          <w:trHeight w:hRule="exact" w:val="288"/>
        </w:trPr>
        <w:tc>
          <w:tcPr>
            <w:tcW w:type="dxa" w:w="8124"/>
            <w:tcBorders>
              <w:top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4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4748B"/>
                <w:sz w:val="16"/>
              </w:rPr>
              <w:t>CONFIDENTIAL &amp; PROPRIETARY — GENERATED BY BASIT JARVIS AUTONOMOUS ENGINE</w:t>
            </w:r>
          </w:p>
        </w:tc>
        <w:tc>
          <w:tcPr>
            <w:tcW w:type="dxa" w:w="1964"/>
            <w:tcBorders>
              <w:top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4" w:after="0"/>
              <w:ind w:left="0" w:right="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64748B"/>
                <w:sz w:val="16"/>
              </w:rPr>
              <w:t>Page 1 of 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84" w:right="1056" w:bottom="296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64748B"/>
          <w:sz w:val="16"/>
        </w:rPr>
        <w:t>BASIT JARVIS AI — AUTONOMOUS EXECUTIVE INTELLIGENCE REPORT</w:t>
      </w:r>
    </w:p>
    <w:p>
      <w:pPr>
        <w:autoSpaceDN w:val="0"/>
        <w:autoSpaceDE w:val="0"/>
        <w:widowControl/>
        <w:spacing w:line="358" w:lineRule="exact" w:before="294" w:after="0"/>
        <w:ind w:left="124" w:right="0" w:firstLine="0"/>
        <w:jc w:val="left"/>
      </w:pPr>
      <w:r>
        <w:rPr>
          <w:rFonts w:ascii="Helvetica" w:hAnsi="Helvetica" w:eastAsia="Helvetica"/>
          <w:b/>
          <w:i w:val="0"/>
          <w:color w:val="0F172A"/>
          <w:sz w:val="26"/>
        </w:rPr>
        <w:t>1. Technological &amp; Foundational Architecture</w:t>
      </w:r>
    </w:p>
    <w:p>
      <w:pPr>
        <w:autoSpaceDN w:val="0"/>
        <w:autoSpaceDE w:val="0"/>
        <w:widowControl/>
        <w:spacing w:line="280" w:lineRule="exact" w:before="222" w:after="0"/>
        <w:ind w:left="124" w:right="144" w:firstLine="0"/>
        <w:jc w:val="left"/>
      </w:pP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Apache Spark 3.5+ now natively supports heterogeneous compute--CPU, GPU, and TPUs--through the Catalyst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optimizer and Adaptive Query Execution, enabling seamless offload of model inference to Google Gemini's Tensor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Processing Units via the new Spark-Gemini connector. Gemini 2.0 delivers multimodal generation (text, image, video,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code) via a unified Transformer-Mixture-of-Experts architecture, exposing a low-latency REST and gRPC API that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Spark can invoke as a first-class UDF. The combined stack leverages Delta Lake's ACID guarantees for versioned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data, while Gemini's on-device fine-tuning preserves data sovereignty, creating an end-to-end pipeline from raw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>ingestion to AI-enhanced insight without leaving the data lake.</w:t>
      </w:r>
    </w:p>
    <w:p>
      <w:pPr>
        <w:autoSpaceDN w:val="0"/>
        <w:autoSpaceDE w:val="0"/>
        <w:widowControl/>
        <w:spacing w:line="358" w:lineRule="exact" w:before="574" w:after="0"/>
        <w:ind w:left="124" w:right="0" w:firstLine="0"/>
        <w:jc w:val="left"/>
      </w:pPr>
      <w:r>
        <w:rPr>
          <w:rFonts w:ascii="Helvetica" w:hAnsi="Helvetica" w:eastAsia="Helvetica"/>
          <w:b/>
          <w:i w:val="0"/>
          <w:color w:val="0F172A"/>
          <w:sz w:val="26"/>
        </w:rPr>
        <w:t>2. Competitive Dynamics &amp; Strategic Moat</w:t>
      </w:r>
    </w:p>
    <w:p>
      <w:pPr>
        <w:autoSpaceDN w:val="0"/>
        <w:autoSpaceDE w:val="0"/>
        <w:widowControl/>
        <w:spacing w:line="280" w:lineRule="exact" w:before="222" w:after="0"/>
        <w:ind w:left="124" w:right="288" w:firstLine="0"/>
        <w:jc w:val="left"/>
      </w:pP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Google's control of Gemini and its integration into Vertex AI grants it a vertical advantage over Azure Synapse and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AWS SageMaker, which still rely on fragmented model serving layers. Spark's open-source community, backed by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Databricks, Snowflake, and IBM, provides a vendor-agnostic execution layer that can bind to any cloud, but the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Gemini connector is currently exclusive to Google Cloud, establishing a strategic moat for enterprises committed to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the Google ecosystem. Competitors are racing to replicate multimodal APIs, yet Gemini's 2-year head start in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instruction-following and its proprietary Pathways hyper-scaling give it a defensible lead. Partnerships between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>Databricks and Google further cement the moat by co-optimizing Spark's Catalyst planner for Gemini workloads.</w:t>
      </w:r>
    </w:p>
    <w:p>
      <w:pPr>
        <w:autoSpaceDN w:val="0"/>
        <w:autoSpaceDE w:val="0"/>
        <w:widowControl/>
        <w:spacing w:line="358" w:lineRule="exact" w:before="576" w:after="0"/>
        <w:ind w:left="124" w:right="0" w:firstLine="0"/>
        <w:jc w:val="left"/>
      </w:pPr>
      <w:r>
        <w:rPr>
          <w:rFonts w:ascii="Helvetica" w:hAnsi="Helvetica" w:eastAsia="Helvetica"/>
          <w:b/>
          <w:i w:val="0"/>
          <w:color w:val="0F172A"/>
          <w:sz w:val="26"/>
        </w:rPr>
        <w:t>3. Risk Assessment &amp; Operational Challenges</w:t>
      </w:r>
    </w:p>
    <w:p>
      <w:pPr>
        <w:autoSpaceDN w:val="0"/>
        <w:autoSpaceDE w:val="0"/>
        <w:widowControl/>
        <w:spacing w:line="280" w:lineRule="exact" w:before="222" w:after="0"/>
        <w:ind w:left="124" w:right="288" w:firstLine="0"/>
        <w:jc w:val="left"/>
      </w:pP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Key risks include data egress costs when moving large Spark partitions to Gemini's inference endpoints, potential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latency spikes in high-throughput streaming jobs, and regulatory constraints around sending personally identifiable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information to a third-party AI service. Operationally, version drift between Spark's schema evolution and Gemini's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>model updates can cause incompatibilities, requiring rigorous CI/CD pipelines and schema-registry governance.</w:t>
      </w:r>
    </w:p>
    <w:p>
      <w:pPr>
        <w:autoSpaceDN w:val="0"/>
        <w:autoSpaceDE w:val="0"/>
        <w:widowControl/>
        <w:spacing w:line="280" w:lineRule="exact" w:before="0" w:after="0"/>
        <w:ind w:left="124" w:right="576" w:firstLine="0"/>
        <w:jc w:val="left"/>
      </w:pP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Mitigation strategies involve edge-deployment of Gemini's distilled models via Vertex AI Workbench, leveraging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private Service Connectors, and instituting model-drift monitoring dashboards integrated with Spark Structured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>Streaming.</w:t>
      </w:r>
    </w:p>
    <w:p>
      <w:pPr>
        <w:autoSpaceDN w:val="0"/>
        <w:autoSpaceDE w:val="0"/>
        <w:widowControl/>
        <w:spacing w:line="358" w:lineRule="exact" w:before="574" w:after="0"/>
        <w:ind w:left="124" w:right="0" w:firstLine="0"/>
        <w:jc w:val="left"/>
      </w:pPr>
      <w:r>
        <w:rPr>
          <w:rFonts w:ascii="Helvetica" w:hAnsi="Helvetica" w:eastAsia="Helvetica"/>
          <w:b/>
          <w:i w:val="0"/>
          <w:color w:val="0F172A"/>
          <w:sz w:val="26"/>
        </w:rPr>
        <w:t>4. Strategic Roadmap &amp; Execution Blueprint</w:t>
      </w:r>
    </w:p>
    <w:p>
      <w:pPr>
        <w:autoSpaceDN w:val="0"/>
        <w:autoSpaceDE w:val="0"/>
        <w:widowControl/>
        <w:spacing w:line="280" w:lineRule="exact" w:before="222" w:after="1870"/>
        <w:ind w:left="124" w:right="288" w:firstLine="0"/>
        <w:jc w:val="left"/>
      </w:pP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Q3-2026: Deploy the Spark-Gemini connector in a sandbox environment, benchmark latency and cost across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CPU/GPU/TPU configurations. Q4-2026: Establish a data-governance framework using Delta Lake time-travel and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Vertex AI Model Registry; pilot a multimodal fraud-detection workflow in financial services. H1-2027: Scale to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production across three verticals (fintech, healthcare, media) by implementing auto-scaling Spark clusters with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pre-emptible TPUs and integrating Gemini's fine-tuning loop for domain-specific prompts. H2-2027: Launch a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proprietary "Insight-as-a-Service" offering that packages Spark-processed data lakes with Gemini-generated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>executive briefs, monetizing the combined value chain.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4"/>
        <w:gridCol w:w="5054"/>
      </w:tblGrid>
      <w:tr>
        <w:trPr>
          <w:trHeight w:hRule="exact" w:val="288"/>
        </w:trPr>
        <w:tc>
          <w:tcPr>
            <w:tcW w:type="dxa" w:w="8124"/>
            <w:tcBorders>
              <w:top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4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4748B"/>
                <w:sz w:val="16"/>
              </w:rPr>
              <w:t>CONFIDENTIAL &amp; PROPRIETARY — GENERATED BY BASIT JARVIS AUTONOMOUS ENGINE</w:t>
            </w:r>
          </w:p>
        </w:tc>
        <w:tc>
          <w:tcPr>
            <w:tcW w:type="dxa" w:w="1964"/>
            <w:tcBorders>
              <w:top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4" w:after="0"/>
              <w:ind w:left="0" w:right="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64748B"/>
                <w:sz w:val="16"/>
              </w:rPr>
              <w:t>Page 2 of 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34" w:right="1056" w:bottom="296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64748B"/>
          <w:sz w:val="16"/>
        </w:rPr>
        <w:t>BASIT JARVIS AI — AUTONOMOUS EXECUTIVE INTELLIGENCE REPORT</w:t>
      </w:r>
    </w:p>
    <w:p>
      <w:pPr>
        <w:autoSpaceDN w:val="0"/>
        <w:autoSpaceDE w:val="0"/>
        <w:widowControl/>
        <w:spacing w:line="358" w:lineRule="exact" w:before="294" w:after="0"/>
        <w:ind w:left="124" w:right="0" w:firstLine="0"/>
        <w:jc w:val="left"/>
      </w:pPr>
      <w:r>
        <w:rPr>
          <w:rFonts w:ascii="Helvetica" w:hAnsi="Helvetica" w:eastAsia="Helvetica"/>
          <w:b/>
          <w:i w:val="0"/>
          <w:color w:val="0F172A"/>
          <w:sz w:val="26"/>
        </w:rPr>
        <w:t>Authoritative Verdict &amp; Strategic Conclusion</w:t>
      </w:r>
    </w:p>
    <w:p>
      <w:pPr>
        <w:autoSpaceDN w:val="0"/>
        <w:autoSpaceDE w:val="0"/>
        <w:widowControl/>
        <w:spacing w:line="280" w:lineRule="exact" w:before="222" w:after="0"/>
        <w:ind w:left="124" w:right="144" w:firstLine="0"/>
        <w:jc w:val="left"/>
      </w:pP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The convergence of Apache Spark's scalable data engine with Google Gemini's multimodal generative AI creates a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transformative platform that delivers unprecedented analytical velocity and insight depth. For forward-looking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 xml:space="preserve">enterprises, investing in Spark-Gemini integration now secures a sustainable competitive edge and positions them at </w:t>
      </w:r>
      <w:r>
        <w:rPr>
          <w:rFonts w:ascii="Helvetica" w:hAnsi="Helvetica" w:eastAsia="Helvetica"/>
          <w:b w:val="0"/>
          <w:i w:val="0"/>
          <w:color w:val="334155"/>
          <w:sz w:val="19"/>
        </w:rPr>
        <w:t>the forefront of AI-driven data strategy.</w:t>
      </w:r>
    </w:p>
    <w:p>
      <w:pPr>
        <w:autoSpaceDN w:val="0"/>
        <w:autoSpaceDE w:val="0"/>
        <w:widowControl/>
        <w:spacing w:line="220" w:lineRule="exact" w:before="382" w:after="11450"/>
        <w:ind w:left="124" w:right="0" w:firstLine="0"/>
        <w:jc w:val="left"/>
      </w:pPr>
      <w:r>
        <w:rPr>
          <w:rFonts w:ascii="Helvetica" w:hAnsi="Helvetica" w:eastAsia="Helvetica"/>
          <w:b/>
          <w:i w:val="0"/>
          <w:color w:val="64748B"/>
          <w:sz w:val="16"/>
        </w:rPr>
        <w:t>Verified by: Basit Jarvis AI Autonomous Executive Operating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4"/>
        <w:gridCol w:w="5054"/>
      </w:tblGrid>
      <w:tr>
        <w:trPr>
          <w:trHeight w:hRule="exact" w:val="288"/>
        </w:trPr>
        <w:tc>
          <w:tcPr>
            <w:tcW w:type="dxa" w:w="8124"/>
            <w:tcBorders>
              <w:top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4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4748B"/>
                <w:sz w:val="16"/>
              </w:rPr>
              <w:t>CONFIDENTIAL &amp; PROPRIETARY — GENERATED BY BASIT JARVIS AUTONOMOUS ENGINE</w:t>
            </w:r>
          </w:p>
        </w:tc>
        <w:tc>
          <w:tcPr>
            <w:tcW w:type="dxa" w:w="1964"/>
            <w:tcBorders>
              <w:top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4" w:after="0"/>
              <w:ind w:left="0" w:right="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64748B"/>
                <w:sz w:val="16"/>
              </w:rPr>
              <w:t>Page 3 of 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34" w:right="1056" w:bottom="296" w:left="10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