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fontTable+xml" PartName="/word/fontTable.xml"/>
  <Override ContentType="application/vnd.openxmlformats-officedocument.theme+xml" PartName="/word/theme/theme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60" w:line="276"/>
      </w:pPr>
      <w:r>
        <w:rPr>
          <w:rFonts w:ascii="Arial" w:cs="Arial" w:eastAsia="Arial" w:hAnsi="Arial"/>
          <w:b/>
          <w:bCs/>
          <w:i w:val="false"/>
          <w:iCs w:val="false"/>
          <w:sz w:val="30"/>
          <w:szCs w:val="30"/>
        </w:rPr>
        <w:t xml:space="preserve">Attributing Failure in Multi-Agent Runs: Structured Evidence with a Model in the Decision Path</w:t>
      </w:r>
    </w:p>
    <w:p>
      <w:pPr>
        <w:spacing w:after="120" w:line="276"/>
      </w:pPr>
      <w:r>
        <w:rPr>
          <w:rFonts w:ascii="Arial" w:cs="Arial" w:eastAsia="Arial" w:hAnsi="Arial"/>
          <w:b/>
          <w:bCs/>
          <w:i w:val="false"/>
          <w:iCs w:val="false"/>
          <w:sz w:val="22"/>
          <w:szCs w:val="22"/>
        </w:rPr>
        <w:t xml:space="preserve">Project title: </w:t>
      </w:r>
      <w:r>
        <w:rPr>
          <w:rFonts w:ascii="Arial" w:cs="Arial" w:eastAsia="Arial" w:hAnsi="Arial"/>
          <w:b w:val="false"/>
          <w:bCs w:val="false"/>
          <w:i w:val="false"/>
          <w:iCs w:val="false"/>
          <w:sz w:val="22"/>
          <w:szCs w:val="22"/>
        </w:rPr>
        <w:t xml:space="preserve">AgentReroute</w:t>
      </w:r>
    </w:p>
    <w:p>
      <w:pPr>
        <w:spacing w:after="120" w:line="276"/>
      </w:pPr>
      <w:r>
        <w:rPr>
          <w:rFonts w:ascii="Arial" w:cs="Arial" w:eastAsia="Arial" w:hAnsi="Arial"/>
          <w:b/>
          <w:bCs/>
          <w:i w:val="false"/>
          <w:iCs w:val="false"/>
          <w:sz w:val="22"/>
          <w:szCs w:val="22"/>
        </w:rPr>
        <w:t xml:space="preserve">Course or programme: </w:t>
      </w:r>
      <w:r>
        <w:rPr>
          <w:rFonts w:ascii="Arial" w:cs="Arial" w:eastAsia="Arial" w:hAnsi="Arial"/>
          <w:b w:val="false"/>
          <w:bCs w:val="false"/>
          <w:i w:val="false"/>
          <w:iCs w:val="false"/>
          <w:sz w:val="22"/>
          <w:szCs w:val="22"/>
        </w:rPr>
        <w:t xml:space="preserve">AI6101, Nanyang Technological University</w:t>
      </w:r>
    </w:p>
    <w:p>
      <w:pPr>
        <w:spacing w:after="120" w:line="276"/>
      </w:pPr>
      <w:r>
        <w:rPr>
          <w:rFonts w:ascii="Arial" w:cs="Arial" w:eastAsia="Arial" w:hAnsi="Arial"/>
          <w:b/>
          <w:bCs/>
          <w:i w:val="false"/>
          <w:iCs w:val="false"/>
          <w:sz w:val="22"/>
          <w:szCs w:val="22"/>
        </w:rPr>
        <w:t xml:space="preserve">Team members: </w:t>
      </w:r>
      <w:r>
        <w:rPr>
          <w:rFonts w:ascii="Arial" w:cs="Arial" w:eastAsia="Arial" w:hAnsi="Arial"/>
          <w:b w:val="false"/>
          <w:bCs w:val="false"/>
          <w:i w:val="false"/>
          <w:iCs w:val="false"/>
          <w:sz w:val="22"/>
          <w:szCs w:val="22"/>
        </w:rPr>
        <w:t xml:space="preserve">Nischit Hosamani (G2602415J); [co-author names and student IDs]</w:t>
      </w:r>
    </w:p>
    <w:p>
      <w:pPr>
        <w:spacing w:after="120" w:line="276"/>
      </w:pPr>
      <w:r>
        <w:rPr>
          <w:rFonts w:ascii="Arial" w:cs="Arial" w:eastAsia="Arial" w:hAnsi="Arial"/>
          <w:b/>
          <w:bCs/>
          <w:i w:val="false"/>
          <w:iCs w:val="false"/>
          <w:sz w:val="22"/>
          <w:szCs w:val="22"/>
        </w:rPr>
        <w:t xml:space="preserve">Repository: </w:t>
      </w:r>
      <w:r>
        <w:rPr>
          <w:rFonts w:ascii="Arial" w:cs="Arial" w:eastAsia="Arial" w:hAnsi="Arial"/>
          <w:b w:val="false"/>
          <w:bCs w:val="false"/>
          <w:i w:val="false"/>
          <w:iCs w:val="false"/>
          <w:sz w:val="22"/>
          <w:szCs w:val="22"/>
        </w:rPr>
        <w:t xml:space="preserve">AgentReroute, branch mp_rl-gemini-actor. Evidence for every figure below is committed under results/.</w:t>
      </w:r>
    </w:p>
    <w:p>
      <w:pPr>
        <w:pStyle w:val="Heading1"/>
        <w:spacing w:after="120" w:before="240" w:line="276"/>
      </w:pPr>
      <w:r>
        <w:rPr>
          <w:rFonts w:ascii="Arial" w:cs="Arial" w:eastAsia="Arial" w:hAnsi="Arial"/>
          <w:b/>
          <w:bCs/>
          <w:i w:val="false"/>
          <w:iCs w:val="false"/>
          <w:sz w:val="26"/>
          <w:szCs w:val="26"/>
        </w:rPr>
        <w:t xml:space="preserve">Abstract</w:t>
      </w:r>
    </w:p>
    <w:p>
      <w:pPr>
        <w:spacing w:after="120" w:line="276"/>
      </w:pPr>
      <w:r>
        <w:rPr>
          <w:rFonts w:ascii="Arial" w:cs="Arial" w:eastAsia="Arial" w:hAnsi="Arial"/>
          <w:b w:val="false"/>
          <w:bCs w:val="false"/>
          <w:i w:val="false"/>
          <w:iCs w:val="false"/>
          <w:sz w:val="22"/>
          <w:szCs w:val="22"/>
        </w:rPr>
        <w:t xml:space="preserve">When an AI agent fails partway through a task, the step where the failure becomes visible is rarely the step that caused it. Fault attribution is the problem of reading the trace and naming the responsible step. We reproduce AgentRx, a published method that gives one language model the whole trajectory, and we ask whether decomposing the judgment improves it. Our system checks every step against obligations drawn from three perspectives, aggregates the violations into a blame matrix, and lets a model decide using that evidence. On the published benchmark we reach 37.9 percent step accuracy on the retail domain against the baseline 31.0 percent, and 25.0 percent on the web domain against 18.2 percent. Neither margin is statistically significant at these sample sizes. The result we can establish is internal: placing a model in the decision path beats our own learned ranker on nine traces against one, p = 0.0215. Three further findings are negative and, we argue, more useful. Training the ranker by reinforcement learning reduced accuracy by eight points because its reward was gameable. A repair-and-verify loop changed no answer. Both failures share a cause we identify by measurement: accuracy is governed by whether the correct step reaches the decision stage at all, not by how the candidates are ranked.</w:t>
      </w:r>
    </w:p>
    <w:p>
      <w:pPr>
        <w:pStyle w:val="Heading1"/>
        <w:spacing w:after="120" w:before="240" w:line="276"/>
      </w:pPr>
      <w:r>
        <w:rPr>
          <w:rFonts w:ascii="Arial" w:cs="Arial" w:eastAsia="Arial" w:hAnsi="Arial"/>
          <w:b/>
          <w:bCs/>
          <w:i w:val="false"/>
          <w:iCs w:val="false"/>
          <w:sz w:val="26"/>
          <w:szCs w:val="26"/>
        </w:rPr>
        <w:t xml:space="preserve">1  Introduction</w:t>
      </w:r>
    </w:p>
    <w:p>
      <w:pPr>
        <w:spacing w:after="120" w:line="276"/>
      </w:pPr>
      <w:r>
        <w:rPr>
          <w:rFonts w:ascii="Arial" w:cs="Arial" w:eastAsia="Arial" w:hAnsi="Arial"/>
          <w:b w:val="false"/>
          <w:bCs w:val="false"/>
          <w:i w:val="false"/>
          <w:iCs w:val="false"/>
          <w:sz w:val="22"/>
          <w:szCs w:val="22"/>
        </w:rPr>
        <w:t xml:space="preserve">A language-model agent given a multi-step task leaves behind a trace: its own messages, the tools it called, and what those tools returned. When the task fails, an engineer wants to know which step caused the failure. This is harder than reading an error message. An agent that misreads an order status at step 21 may not visibly go wrong until it attempts a cancellation at step 33, and every step in between inherits the mistake and looks equally broken.</w:t>
      </w:r>
    </w:p>
    <w:p>
      <w:pPr>
        <w:spacing w:after="120" w:line="276"/>
      </w:pPr>
      <w:r>
        <w:rPr>
          <w:rFonts w:ascii="Arial" w:cs="Arial" w:eastAsia="Arial" w:hAnsi="Arial"/>
          <w:b w:val="false"/>
          <w:bCs w:val="false"/>
          <w:i w:val="false"/>
          <w:iCs w:val="false"/>
          <w:sz w:val="22"/>
          <w:szCs w:val="22"/>
        </w:rPr>
        <w:t xml:space="preserve">The task is called fault attribution. The input is the trace. The output is the index of the decisive step and the agent responsible. Scoring is exact: naming step 22 when the answer is 21 earns nothing. The problem matters because attribution precedes every form of recovery. A system cannot repair, retry, or route around a failure it has mislocated, and an engineer cannot fix a component the logs have not identified.</w:t>
      </w:r>
    </w:p>
    <w:p>
      <w:pPr>
        <w:spacing w:after="120" w:line="276"/>
      </w:pPr>
      <w:r>
        <w:rPr>
          <w:rFonts w:ascii="Arial" w:cs="Arial" w:eastAsia="Arial" w:hAnsi="Arial"/>
          <w:b w:val="false"/>
          <w:bCs w:val="false"/>
          <w:i w:val="false"/>
          <w:iCs w:val="false"/>
          <w:sz w:val="22"/>
          <w:szCs w:val="22"/>
        </w:rPr>
        <w:t xml:space="preserve">Our starting point is AgentRx, which hands one model the entire trajectory and asks for a verdict in a single pass. It reports 31.03 percent step accuracy on the tau retail benchmark and 18.18 percent on the magentic web benchmark. The method is strong and simple, but its output is a bare verdict. It names a step without naming the obligation that was broken, so nothing downstream can act on the diagnosis.</w:t>
      </w:r>
    </w:p>
    <w:p>
      <w:pPr>
        <w:spacing w:after="120" w:line="276"/>
      </w:pPr>
      <w:r>
        <w:rPr>
          <w:rFonts w:ascii="Arial" w:cs="Arial" w:eastAsia="Arial" w:hAnsi="Arial"/>
          <w:b w:val="false"/>
          <w:bCs w:val="false"/>
          <w:i w:val="false"/>
          <w:iCs w:val="false"/>
          <w:sz w:val="22"/>
          <w:szCs w:val="22"/>
        </w:rPr>
        <w:t xml:space="preserve">We set two objectives. First, produce attributions that carry their evidence, so a later stage can use them. Second, test whether that structured evidence improves accuracy over a single opaque judgment. The project ran for roughly three weeks and went through four architectures. Two of them failed, and the measurements explaining why are the part of this work we consider most transferable.</w:t>
      </w:r>
    </w:p>
    <w:p>
      <w:pPr>
        <w:pStyle w:val="Heading1"/>
        <w:spacing w:after="120" w:before="240" w:line="276"/>
      </w:pPr>
      <w:r>
        <w:rPr>
          <w:rFonts w:ascii="Arial" w:cs="Arial" w:eastAsia="Arial" w:hAnsi="Arial"/>
          <w:b/>
          <w:bCs/>
          <w:i w:val="false"/>
          <w:iCs w:val="false"/>
          <w:sz w:val="26"/>
          <w:szCs w:val="26"/>
        </w:rPr>
        <w:t xml:space="preserve">2  Method and novelty</w:t>
      </w:r>
    </w:p>
    <w:p>
      <w:pPr>
        <w:spacing w:after="120" w:line="276"/>
      </w:pPr>
      <w:r>
        <w:rPr>
          <w:rFonts w:ascii="Arial" w:cs="Arial" w:eastAsia="Arial" w:hAnsi="Arial"/>
          <w:b w:val="false"/>
          <w:bCs w:val="false"/>
          <w:i w:val="false"/>
          <w:iCs w:val="false"/>
          <w:sz w:val="22"/>
          <w:szCs w:val="22"/>
        </w:rPr>
        <w:t xml:space="preserve">Our pipeline replaces one judgment with four stages: check, aggregate, enumerate, decide.</w:t>
      </w:r>
    </w:p>
    <w:p>
      <w:pPr>
        <w:spacing w:after="120" w:line="276"/>
      </w:pPr>
      <w:r>
        <w:rPr>
          <w:rFonts w:ascii="Arial" w:cs="Arial" w:eastAsia="Arial" w:hAnsi="Arial"/>
          <w:b/>
          <w:bCs/>
          <w:i w:val="false"/>
          <w:iCs w:val="false"/>
          <w:sz w:val="22"/>
          <w:szCs w:val="22"/>
        </w:rPr>
        <w:t xml:space="preserve">Perspectives and constraints. </w:t>
      </w:r>
      <w:r>
        <w:rPr>
          <w:rFonts w:ascii="Arial" w:cs="Arial" w:eastAsia="Arial" w:hAnsi="Arial"/>
          <w:b w:val="false"/>
          <w:bCs w:val="false"/>
          <w:i w:val="false"/>
          <w:iCs w:val="false"/>
          <w:sz w:val="22"/>
          <w:szCs w:val="22"/>
        </w:rPr>
        <w:t xml:space="preserve">Three reviewers each own a slice of the failure taxonomy. Intent and plan asks whether a step followed the user request and the domain policy. Tool execution asks whether a call was well formed and whether it succeeded. Handoff and grounding asks whether every claim traces back to something observed. Each reviewer contributes constraints, which are concrete obligations settled against the trace. An example from the retail policy: the order identifier passed to a cancellation tool must appear in an earlier message. Constraints are evaluated in Python, deterministically, with no model call. A check sees only the steps up to the one it judges, which the implementation enforces, so a check can never justify a verdict using information the agent did not yet have. When a check fails it produces a violation naming the step, the agent, the broken obligation, and the supporting evidence.</w:t>
      </w:r>
    </w:p>
    <w:p>
      <w:pPr>
        <w:spacing w:after="120" w:line="276"/>
      </w:pPr>
      <w:r>
        <w:rPr>
          <w:rFonts w:ascii="Arial" w:cs="Arial" w:eastAsia="Arial" w:hAnsi="Arial"/>
          <w:b/>
          <w:bCs/>
          <w:i w:val="false"/>
          <w:iCs w:val="false"/>
          <w:sz w:val="22"/>
          <w:szCs w:val="22"/>
        </w:rPr>
        <w:t xml:space="preserve">Blame matrix and candidates. </w:t>
      </w:r>
      <w:r>
        <w:rPr>
          <w:rFonts w:ascii="Arial" w:cs="Arial" w:eastAsia="Arial" w:hAnsi="Arial"/>
          <w:b w:val="false"/>
          <w:bCs w:val="false"/>
          <w:i w:val="false"/>
          <w:iCs w:val="false"/>
          <w:sz w:val="22"/>
          <w:szCs w:val="22"/>
        </w:rPr>
        <w:t xml:space="preserve">Violations are aggregated into a matrix whose entry for each perspective and agent is the fraction of that agent’s checks the perspective found in violation. Candidates are then formed, one for each step carrying a violation, described by ten normalised features covering violation density, agreement across perspectives, and position in the trace.</w:t>
      </w:r>
    </w:p>
    <w:p>
      <w:pPr>
        <w:spacing w:after="120" w:line="276"/>
      </w:pPr>
      <w:r>
        <w:rPr>
          <w:rFonts w:ascii="Arial" w:cs="Arial" w:eastAsia="Arial" w:hAnsi="Arial"/>
          <w:b/>
          <w:bCs/>
          <w:i w:val="false"/>
          <w:iCs w:val="false"/>
          <w:sz w:val="22"/>
          <w:szCs w:val="22"/>
        </w:rPr>
        <w:t xml:space="preserve">Deciding. </w:t>
      </w:r>
      <w:r>
        <w:rPr>
          <w:rFonts w:ascii="Arial" w:cs="Arial" w:eastAsia="Arial" w:hAnsi="Arial"/>
          <w:b w:val="false"/>
          <w:bCs w:val="false"/>
          <w:i w:val="false"/>
          <w:iCs w:val="false"/>
          <w:sz w:val="22"/>
          <w:szCs w:val="22"/>
        </w:rPr>
        <w:t xml:space="preserve">Our first design scored candidates with a ten-weight linear policy trained by REINFORCE, taking the highest. Section 4 reports why we abandoned it. The current design issues one model call. It receives the trace, the blame matrix, and the candidates with the exact obligations each one broke. The prompt states that checks are machine generated, that false positives are common, and that the true fault frequently raises no violation at all. The model may name any step in the trace, not only a candidate.</w:t>
      </w:r>
    </w:p>
    <w:p>
      <w:pPr>
        <w:spacing w:after="120" w:line="276"/>
      </w:pPr>
      <w:r>
        <w:rPr>
          <w:rFonts w:ascii="Arial" w:cs="Arial" w:eastAsia="Arial" w:hAnsi="Arial"/>
          <w:b/>
          <w:bCs/>
          <w:i w:val="false"/>
          <w:iCs w:val="false"/>
          <w:sz w:val="22"/>
          <w:szCs w:val="22"/>
        </w:rPr>
        <w:t xml:space="preserve">Novelty. </w:t>
      </w:r>
      <w:r>
        <w:rPr>
          <w:rFonts w:ascii="Arial" w:cs="Arial" w:eastAsia="Arial" w:hAnsi="Arial"/>
          <w:b w:val="false"/>
          <w:bCs w:val="false"/>
          <w:i w:val="false"/>
          <w:iCs w:val="false"/>
          <w:sz w:val="22"/>
          <w:szCs w:val="22"/>
        </w:rPr>
        <w:t xml:space="preserve">Two claims. The first is architectural: structured, perspective-scoped evidence given to a model as an argument rather than compressed into a feature vector. The evidence survives the decision, so a repair stage can consume it, which a single verdict does not allow. The second is methodological. By splitting every result according to whether the correct step was among the candidates at all, we separate the pipeline into a recall stage and a decision stage and measure each independently. That decomposition, rather than any single accuracy number, is what redirected the project and what we would carry to a similar system.</w:t>
      </w:r>
    </w:p>
    <w:p>
      <w:pPr>
        <w:pStyle w:val="Heading1"/>
        <w:spacing w:after="120" w:before="240" w:line="276"/>
      </w:pPr>
      <w:r>
        <w:rPr>
          <w:rFonts w:ascii="Arial" w:cs="Arial" w:eastAsia="Arial" w:hAnsi="Arial"/>
          <w:b/>
          <w:bCs/>
          <w:i w:val="false"/>
          <w:iCs w:val="false"/>
          <w:sz w:val="26"/>
          <w:szCs w:val="26"/>
        </w:rPr>
        <w:t xml:space="preserve">3  Evaluation</w:t>
      </w:r>
    </w:p>
    <w:p>
      <w:pPr>
        <w:spacing w:after="120" w:line="276"/>
      </w:pPr>
      <w:r>
        <w:rPr>
          <w:rFonts w:ascii="Arial" w:cs="Arial" w:eastAsia="Arial" w:hAnsi="Arial"/>
          <w:b/>
          <w:bCs/>
          <w:i w:val="false"/>
          <w:iCs w:val="false"/>
          <w:sz w:val="22"/>
          <w:szCs w:val="22"/>
        </w:rPr>
        <w:t xml:space="preserve">Data. </w:t>
      </w:r>
      <w:r>
        <w:rPr>
          <w:rFonts w:ascii="Arial" w:cs="Arial" w:eastAsia="Arial" w:hAnsi="Arial"/>
          <w:b w:val="false"/>
          <w:bCs w:val="false"/>
          <w:i w:val="false"/>
          <w:iCs w:val="false"/>
          <w:sz w:val="22"/>
          <w:szCs w:val="22"/>
        </w:rPr>
        <w:t xml:space="preserve">All reported numbers come from the AgentRx authors’ published subset: 29 traces from tau, a retail customer-service domain, and 44 from magentic, a web-browsing domain. Every trace has a single gold step and agent. We also generate a corpus of our own, used only for development, and Section 4 explains why we never report a number from it.</w:t>
      </w:r>
    </w:p>
    <w:p>
      <w:pPr>
        <w:spacing w:after="120" w:line="276"/>
      </w:pPr>
      <w:r>
        <w:rPr>
          <w:rFonts w:ascii="Arial" w:cs="Arial" w:eastAsia="Arial" w:hAnsi="Arial"/>
          <w:b/>
          <w:bCs/>
          <w:i w:val="false"/>
          <w:iCs w:val="false"/>
          <w:sz w:val="22"/>
          <w:szCs w:val="22"/>
        </w:rPr>
        <w:t xml:space="preserve">Metric. </w:t>
      </w:r>
      <w:r>
        <w:rPr>
          <w:rFonts w:ascii="Arial" w:cs="Arial" w:eastAsia="Arial" w:hAnsi="Arial"/>
          <w:b w:val="false"/>
          <w:bCs w:val="false"/>
          <w:i w:val="false"/>
          <w:iCs w:val="false"/>
          <w:sz w:val="22"/>
          <w:szCs w:val="22"/>
        </w:rPr>
        <w:t xml:space="preserve">Step accuracy, the fraction of traces where the predicted step index equals the gold index exactly. We also record agent accuracy and category accuracy, and the abstention count.</w:t>
      </w:r>
    </w:p>
    <w:p>
      <w:pPr>
        <w:spacing w:after="120" w:line="276"/>
      </w:pPr>
      <w:r>
        <w:rPr>
          <w:rFonts w:ascii="Arial" w:cs="Arial" w:eastAsia="Arial" w:hAnsi="Arial"/>
          <w:b/>
          <w:bCs/>
          <w:i w:val="false"/>
          <w:iCs w:val="false"/>
          <w:sz w:val="22"/>
          <w:szCs w:val="22"/>
        </w:rPr>
        <w:t xml:space="preserve">Comparisons. </w:t>
      </w:r>
      <w:r>
        <w:rPr>
          <w:rFonts w:ascii="Arial" w:cs="Arial" w:eastAsia="Arial" w:hAnsi="Arial"/>
          <w:b w:val="false"/>
          <w:bCs w:val="false"/>
          <w:i w:val="false"/>
          <w:iCs w:val="false"/>
          <w:sz w:val="22"/>
          <w:szCs w:val="22"/>
        </w:rPr>
        <w:t xml:space="preserve">Every variant runs on the same traces with the same model, gemini-3.1-flash-lite at temperature zero, in a single experiment whose identity hashes the configuration, the prompts, and the implementation, so a result cannot silently come from different code. The AgentRx baseline is run as one variant rather than quoted, which lets us verify the apparatus: we obtain 31.0 and 18.2 percent against the published 31.03 and 18.18.</w:t>
      </w:r>
    </w:p>
    <w:p>
      <w:pPr>
        <w:spacing w:after="120" w:line="276"/>
      </w:pPr>
      <w:r>
        <w:rPr>
          <w:rFonts w:ascii="Arial" w:cs="Arial" w:eastAsia="Arial" w:hAnsi="Arial"/>
          <w:b/>
          <w:bCs/>
          <w:i w:val="false"/>
          <w:iCs w:val="false"/>
          <w:sz w:val="22"/>
          <w:szCs w:val="22"/>
        </w:rPr>
        <w:t xml:space="preserve">Statistics. </w:t>
      </w:r>
      <w:r>
        <w:rPr>
          <w:rFonts w:ascii="Arial" w:cs="Arial" w:eastAsia="Arial" w:hAnsi="Arial"/>
          <w:b w:val="false"/>
          <w:bCs w:val="false"/>
          <w:i w:val="false"/>
          <w:iCs w:val="false"/>
          <w:sz w:val="22"/>
          <w:szCs w:val="22"/>
        </w:rPr>
        <w:t xml:space="preserve">With 29 traces a single trace is 3.4 percentage points, so raw differences mislead. We report Wilson 95 percent intervals, and compare methods with an exact two-sided McNemar test on discordant pairs. McNemar is the correct test here because every variant sees identical inputs, so the comparison is paired.</w:t>
      </w:r>
    </w:p>
    <w:p>
      <w:pPr>
        <w:spacing w:after="120" w:line="276"/>
      </w:pPr>
      <w:r>
        <w:rPr>
          <w:rFonts w:ascii="Arial" w:cs="Arial" w:eastAsia="Arial" w:hAnsi="Arial"/>
          <w:b/>
          <w:bCs/>
          <w:i w:val="false"/>
          <w:iCs w:val="false"/>
          <w:sz w:val="22"/>
          <w:szCs w:val="22"/>
        </w:rPr>
        <w:t xml:space="preserve">Ablations. </w:t>
      </w:r>
      <w:r>
        <w:rPr>
          <w:rFonts w:ascii="Arial" w:cs="Arial" w:eastAsia="Arial" w:hAnsi="Arial"/>
          <w:b w:val="false"/>
          <w:bCs w:val="false"/>
          <w:i w:val="false"/>
          <w:iCs w:val="false"/>
          <w:sz w:val="22"/>
          <w:szCs w:val="22"/>
        </w:rPr>
        <w:t xml:space="preserve">To separate the contribution of each component we run the linear policy alone, the model selector confined to the candidate pool, and the model selector free to range over the trace.</w:t>
      </w:r>
    </w:p>
    <w:p>
      <w:pPr>
        <w:pStyle w:val="Heading1"/>
        <w:spacing w:after="120" w:before="240" w:line="276"/>
      </w:pPr>
      <w:r>
        <w:rPr>
          <w:rFonts w:ascii="Arial" w:cs="Arial" w:eastAsia="Arial" w:hAnsi="Arial"/>
          <w:b/>
          <w:bCs/>
          <w:i w:val="false"/>
          <w:iCs w:val="false"/>
          <w:sz w:val="26"/>
          <w:szCs w:val="26"/>
        </w:rPr>
        <w:t xml:space="preserve">4  Results and Discussion</w:t>
      </w:r>
    </w:p>
    <w:p>
      <w:pPr>
        <w:spacing w:after="120" w:line="276"/>
      </w:pPr>
      <w:r>
        <w:rPr>
          <w:rFonts w:ascii="Arial" w:cs="Arial" w:eastAsia="Arial" w:hAnsi="Arial"/>
          <w:b w:val="false"/>
          <w:bCs w:val="false"/>
          <w:i w:val="false"/>
          <w:iCs w:val="false"/>
          <w:sz w:val="22"/>
          <w:szCs w:val="22"/>
        </w:rPr>
        <w:t xml:space="preserve">Table 1 gives the headline comparison. Our method leads on both domains.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118"/>
        <w:gridCol w:w="2621"/>
        <w:gridCol w:w="2621"/>
      </w:tblGrid>
      <w:tr>
        <w:trPr>
          <w:tblHeader/>
        </w:trPr>
        <w:tc>
          <w:tcPr>
            <w:tcW w:type="dxa" w:w="4118"/>
            <w:shd w:fill="E8E8E8" w:val="clear"/>
            <w:tcMar>
              <w:top w:type="dxa" w:w="40"/>
              <w:left w:type="dxa" w:w="80"/>
              <w:bottom w:type="dxa" w:w="40"/>
              <w:right w:type="dxa" w:w="80"/>
            </w:tcMar>
          </w:tcPr>
          <w:p>
            <w:pPr>
              <w:spacing w:after="0" w:line="240"/>
              <w:jc w:val="left"/>
            </w:pPr>
            <w:r>
              <w:rPr>
                <w:rFonts w:ascii="Arial" w:cs="Arial" w:eastAsia="Arial" w:hAnsi="Arial"/>
                <w:b/>
                <w:bCs/>
                <w:i w:val="false"/>
                <w:iCs w:val="false"/>
                <w:sz w:val="20"/>
                <w:szCs w:val="20"/>
              </w:rPr>
              <w:t xml:space="preserve">Method</w:t>
            </w:r>
          </w:p>
        </w:tc>
        <w:tc>
          <w:tcPr>
            <w:tcW w:type="dxa" w:w="2621"/>
            <w:shd w:fill="E8E8E8" w:val="clear"/>
            <w:tcMar>
              <w:top w:type="dxa" w:w="40"/>
              <w:left w:type="dxa" w:w="80"/>
              <w:bottom w:type="dxa" w:w="40"/>
              <w:right w:type="dxa" w:w="80"/>
            </w:tcMar>
          </w:tcPr>
          <w:p>
            <w:pPr>
              <w:spacing w:after="0" w:line="240"/>
              <w:jc w:val="right"/>
            </w:pPr>
            <w:r>
              <w:rPr>
                <w:rFonts w:ascii="Arial" w:cs="Arial" w:eastAsia="Arial" w:hAnsi="Arial"/>
                <w:b/>
                <w:bCs/>
                <w:i w:val="false"/>
                <w:iCs w:val="false"/>
                <w:sz w:val="20"/>
                <w:szCs w:val="20"/>
              </w:rPr>
              <w:t xml:space="preserve">tau (n = 29)</w:t>
            </w:r>
          </w:p>
        </w:tc>
        <w:tc>
          <w:tcPr>
            <w:tcW w:type="dxa" w:w="2621"/>
            <w:shd w:fill="E8E8E8" w:val="clear"/>
            <w:tcMar>
              <w:top w:type="dxa" w:w="40"/>
              <w:left w:type="dxa" w:w="80"/>
              <w:bottom w:type="dxa" w:w="40"/>
              <w:right w:type="dxa" w:w="80"/>
            </w:tcMar>
          </w:tcPr>
          <w:p>
            <w:pPr>
              <w:spacing w:after="0" w:line="240"/>
              <w:jc w:val="right"/>
            </w:pPr>
            <w:r>
              <w:rPr>
                <w:rFonts w:ascii="Arial" w:cs="Arial" w:eastAsia="Arial" w:hAnsi="Arial"/>
                <w:b/>
                <w:bCs/>
                <w:i w:val="false"/>
                <w:iCs w:val="false"/>
                <w:sz w:val="20"/>
                <w:szCs w:val="20"/>
              </w:rPr>
              <w:t xml:space="preserve">magentic (n = 44)</w:t>
            </w:r>
          </w:p>
        </w:tc>
      </w:tr>
      <w:tr>
        <w:trPr>
          <w:tblHeader w:val="off"/>
        </w:trPr>
        <w:tc>
          <w:tcPr>
            <w:tcW w:type="dxa" w:w="4118"/>
            <w:tcMar>
              <w:top w:type="dxa" w:w="40"/>
              <w:left w:type="dxa" w:w="80"/>
              <w:bottom w:type="dxa" w:w="40"/>
              <w:right w:type="dxa" w:w="80"/>
            </w:tcMar>
          </w:tcPr>
          <w:p>
            <w:pPr>
              <w:spacing w:after="0" w:line="240"/>
              <w:jc w:val="left"/>
            </w:pPr>
            <w:r>
              <w:rPr>
                <w:rFonts w:ascii="Arial" w:cs="Arial" w:eastAsia="Arial" w:hAnsi="Arial"/>
                <w:b w:val="false"/>
                <w:bCs w:val="false"/>
                <w:i w:val="false"/>
                <w:iCs w:val="false"/>
                <w:sz w:val="20"/>
                <w:szCs w:val="20"/>
              </w:rPr>
              <w:t xml:space="preserve">Linear policy only</w:t>
            </w:r>
          </w:p>
        </w:tc>
        <w:tc>
          <w:tcPr>
            <w:tcW w:type="dxa" w:w="2621"/>
            <w:tcMar>
              <w:top w:type="dxa" w:w="40"/>
              <w:left w:type="dxa" w:w="80"/>
              <w:bottom w:type="dxa" w:w="40"/>
              <w:right w:type="dxa" w:w="80"/>
            </w:tcMar>
          </w:tcPr>
          <w:p>
            <w:pPr>
              <w:spacing w:after="0" w:line="240"/>
              <w:jc w:val="right"/>
            </w:pPr>
            <w:r>
              <w:rPr>
                <w:rFonts w:ascii="Arial" w:cs="Arial" w:eastAsia="Arial" w:hAnsi="Arial"/>
                <w:b w:val="false"/>
                <w:bCs w:val="false"/>
                <w:i w:val="false"/>
                <w:iCs w:val="false"/>
                <w:sz w:val="20"/>
                <w:szCs w:val="20"/>
              </w:rPr>
              <w:t xml:space="preserve">13.8%</w:t>
            </w:r>
          </w:p>
        </w:tc>
        <w:tc>
          <w:tcPr>
            <w:tcW w:type="dxa" w:w="2621"/>
            <w:tcMar>
              <w:top w:type="dxa" w:w="40"/>
              <w:left w:type="dxa" w:w="80"/>
              <w:bottom w:type="dxa" w:w="40"/>
              <w:right w:type="dxa" w:w="80"/>
            </w:tcMar>
          </w:tcPr>
          <w:p>
            <w:pPr>
              <w:spacing w:after="0" w:line="240"/>
              <w:jc w:val="right"/>
            </w:pPr>
            <w:r>
              <w:rPr>
                <w:rFonts w:ascii="Arial" w:cs="Arial" w:eastAsia="Arial" w:hAnsi="Arial"/>
                <w:b w:val="false"/>
                <w:bCs w:val="false"/>
                <w:i w:val="false"/>
                <w:iCs w:val="false"/>
                <w:sz w:val="20"/>
                <w:szCs w:val="20"/>
              </w:rPr>
              <w:t xml:space="preserve">20.5%</w:t>
            </w:r>
          </w:p>
        </w:tc>
      </w:tr>
      <w:tr>
        <w:trPr>
          <w:tblHeader w:val="off"/>
        </w:trPr>
        <w:tc>
          <w:tcPr>
            <w:tcW w:type="dxa" w:w="4118"/>
            <w:tcMar>
              <w:top w:type="dxa" w:w="40"/>
              <w:left w:type="dxa" w:w="80"/>
              <w:bottom w:type="dxa" w:w="40"/>
              <w:right w:type="dxa" w:w="80"/>
            </w:tcMar>
          </w:tcPr>
          <w:p>
            <w:pPr>
              <w:spacing w:after="0" w:line="240"/>
              <w:jc w:val="left"/>
            </w:pPr>
            <w:r>
              <w:rPr>
                <w:rFonts w:ascii="Arial" w:cs="Arial" w:eastAsia="Arial" w:hAnsi="Arial"/>
                <w:b w:val="false"/>
                <w:bCs w:val="false"/>
                <w:i w:val="false"/>
                <w:iCs w:val="false"/>
                <w:sz w:val="20"/>
                <w:szCs w:val="20"/>
              </w:rPr>
              <w:t xml:space="preserve">AgentRx baseline</w:t>
            </w:r>
          </w:p>
        </w:tc>
        <w:tc>
          <w:tcPr>
            <w:tcW w:type="dxa" w:w="2621"/>
            <w:tcMar>
              <w:top w:type="dxa" w:w="40"/>
              <w:left w:type="dxa" w:w="80"/>
              <w:bottom w:type="dxa" w:w="40"/>
              <w:right w:type="dxa" w:w="80"/>
            </w:tcMar>
          </w:tcPr>
          <w:p>
            <w:pPr>
              <w:spacing w:after="0" w:line="240"/>
              <w:jc w:val="right"/>
            </w:pPr>
            <w:r>
              <w:rPr>
                <w:rFonts w:ascii="Arial" w:cs="Arial" w:eastAsia="Arial" w:hAnsi="Arial"/>
                <w:b w:val="false"/>
                <w:bCs w:val="false"/>
                <w:i w:val="false"/>
                <w:iCs w:val="false"/>
                <w:sz w:val="20"/>
                <w:szCs w:val="20"/>
              </w:rPr>
              <w:t xml:space="preserve">31.0%</w:t>
            </w:r>
          </w:p>
        </w:tc>
        <w:tc>
          <w:tcPr>
            <w:tcW w:type="dxa" w:w="2621"/>
            <w:tcMar>
              <w:top w:type="dxa" w:w="40"/>
              <w:left w:type="dxa" w:w="80"/>
              <w:bottom w:type="dxa" w:w="40"/>
              <w:right w:type="dxa" w:w="80"/>
            </w:tcMar>
          </w:tcPr>
          <w:p>
            <w:pPr>
              <w:spacing w:after="0" w:line="240"/>
              <w:jc w:val="right"/>
            </w:pPr>
            <w:r>
              <w:rPr>
                <w:rFonts w:ascii="Arial" w:cs="Arial" w:eastAsia="Arial" w:hAnsi="Arial"/>
                <w:b w:val="false"/>
                <w:bCs w:val="false"/>
                <w:i w:val="false"/>
                <w:iCs w:val="false"/>
                <w:sz w:val="20"/>
                <w:szCs w:val="20"/>
              </w:rPr>
              <w:t xml:space="preserve">18.2%</w:t>
            </w:r>
          </w:p>
        </w:tc>
      </w:tr>
      <w:tr>
        <w:trPr>
          <w:tblHeader w:val="off"/>
        </w:trPr>
        <w:tc>
          <w:tcPr>
            <w:tcW w:type="dxa" w:w="4118"/>
            <w:tcMar>
              <w:top w:type="dxa" w:w="40"/>
              <w:left w:type="dxa" w:w="80"/>
              <w:bottom w:type="dxa" w:w="40"/>
              <w:right w:type="dxa" w:w="80"/>
            </w:tcMar>
          </w:tcPr>
          <w:p>
            <w:pPr>
              <w:spacing w:after="0" w:line="240"/>
              <w:jc w:val="left"/>
            </w:pPr>
            <w:r>
              <w:rPr>
                <w:rFonts w:ascii="Arial" w:cs="Arial" w:eastAsia="Arial" w:hAnsi="Arial"/>
                <w:b w:val="false"/>
                <w:bCs w:val="false"/>
                <w:i w:val="false"/>
                <w:iCs w:val="false"/>
                <w:sz w:val="20"/>
                <w:szCs w:val="20"/>
              </w:rPr>
              <w:t xml:space="preserve">Ours, fixed checks</w:t>
            </w:r>
          </w:p>
        </w:tc>
        <w:tc>
          <w:tcPr>
            <w:tcW w:type="dxa" w:w="2621"/>
            <w:tcMar>
              <w:top w:type="dxa" w:w="40"/>
              <w:left w:type="dxa" w:w="80"/>
              <w:bottom w:type="dxa" w:w="40"/>
              <w:right w:type="dxa" w:w="80"/>
            </w:tcMar>
          </w:tcPr>
          <w:p>
            <w:pPr>
              <w:spacing w:after="0" w:line="240"/>
              <w:jc w:val="right"/>
            </w:pPr>
            <w:r>
              <w:rPr>
                <w:rFonts w:ascii="Arial" w:cs="Arial" w:eastAsia="Arial" w:hAnsi="Arial"/>
                <w:b w:val="false"/>
                <w:bCs w:val="false"/>
                <w:i w:val="false"/>
                <w:iCs w:val="false"/>
                <w:sz w:val="20"/>
                <w:szCs w:val="20"/>
              </w:rPr>
              <w:t xml:space="preserve">34.5%</w:t>
            </w:r>
          </w:p>
        </w:tc>
        <w:tc>
          <w:tcPr>
            <w:tcW w:type="dxa" w:w="2621"/>
            <w:tcMar>
              <w:top w:type="dxa" w:w="40"/>
              <w:left w:type="dxa" w:w="80"/>
              <w:bottom w:type="dxa" w:w="40"/>
              <w:right w:type="dxa" w:w="80"/>
            </w:tcMar>
          </w:tcPr>
          <w:p>
            <w:pPr>
              <w:spacing w:after="0" w:line="240"/>
              <w:jc w:val="right"/>
            </w:pPr>
            <w:r>
              <w:rPr>
                <w:rFonts w:ascii="Arial" w:cs="Arial" w:eastAsia="Arial" w:hAnsi="Arial"/>
                <w:b w:val="false"/>
                <w:bCs w:val="false"/>
                <w:i w:val="false"/>
                <w:iCs w:val="false"/>
                <w:sz w:val="20"/>
                <w:szCs w:val="20"/>
              </w:rPr>
              <w:t xml:space="preserve">25.0%</w:t>
            </w:r>
          </w:p>
        </w:tc>
      </w:tr>
      <w:tr>
        <w:trPr>
          <w:tblHeader w:val="off"/>
        </w:trPr>
        <w:tc>
          <w:tcPr>
            <w:tcW w:type="dxa" w:w="4118"/>
            <w:tcMar>
              <w:top w:type="dxa" w:w="40"/>
              <w:left w:type="dxa" w:w="80"/>
              <w:bottom w:type="dxa" w:w="40"/>
              <w:right w:type="dxa" w:w="80"/>
            </w:tcMar>
          </w:tcPr>
          <w:p>
            <w:pPr>
              <w:spacing w:after="0" w:line="240"/>
              <w:jc w:val="left"/>
            </w:pPr>
            <w:r>
              <w:rPr>
                <w:rFonts w:ascii="Arial" w:cs="Arial" w:eastAsia="Arial" w:hAnsi="Arial"/>
                <w:b w:val="false"/>
                <w:bCs w:val="false"/>
                <w:i w:val="false"/>
                <w:iCs w:val="false"/>
                <w:sz w:val="20"/>
                <w:szCs w:val="20"/>
              </w:rPr>
              <w:t xml:space="preserve">Ours, written checks</w:t>
            </w:r>
          </w:p>
        </w:tc>
        <w:tc>
          <w:tcPr>
            <w:tcW w:type="dxa" w:w="2621"/>
            <w:tcMar>
              <w:top w:type="dxa" w:w="40"/>
              <w:left w:type="dxa" w:w="80"/>
              <w:bottom w:type="dxa" w:w="40"/>
              <w:right w:type="dxa" w:w="80"/>
            </w:tcMar>
          </w:tcPr>
          <w:p>
            <w:pPr>
              <w:spacing w:after="0" w:line="240"/>
              <w:jc w:val="right"/>
            </w:pPr>
            <w:r>
              <w:rPr>
                <w:rFonts w:ascii="Arial" w:cs="Arial" w:eastAsia="Arial" w:hAnsi="Arial"/>
                <w:b w:val="false"/>
                <w:bCs w:val="false"/>
                <w:i w:val="false"/>
                <w:iCs w:val="false"/>
                <w:sz w:val="20"/>
                <w:szCs w:val="20"/>
              </w:rPr>
              <w:t xml:space="preserve">37.9%</w:t>
            </w:r>
          </w:p>
        </w:tc>
        <w:tc>
          <w:tcPr>
            <w:tcW w:type="dxa" w:w="2621"/>
            <w:tcMar>
              <w:top w:type="dxa" w:w="40"/>
              <w:left w:type="dxa" w:w="80"/>
              <w:bottom w:type="dxa" w:w="40"/>
              <w:right w:type="dxa" w:w="80"/>
            </w:tcMar>
          </w:tcPr>
          <w:p>
            <w:pPr>
              <w:spacing w:after="0" w:line="240"/>
              <w:jc w:val="right"/>
            </w:pPr>
            <w:r>
              <w:rPr>
                <w:rFonts w:ascii="Arial" w:cs="Arial" w:eastAsia="Arial" w:hAnsi="Arial"/>
                <w:b w:val="false"/>
                <w:bCs w:val="false"/>
                <w:i w:val="false"/>
                <w:iCs w:val="false"/>
                <w:sz w:val="20"/>
                <w:szCs w:val="20"/>
              </w:rPr>
              <w:t xml:space="preserve">not measured</w:t>
            </w:r>
          </w:p>
        </w:tc>
      </w:tr>
    </w:tbl>
    <w:p>
      <w:pPr>
        <w:spacing w:after="160" w:before="60" w:line="240"/>
      </w:pPr>
      <w:r>
        <w:rPr>
          <w:rFonts w:ascii="Arial" w:cs="Arial" w:eastAsia="Arial" w:hAnsi="Arial"/>
          <w:b w:val="false"/>
          <w:bCs w:val="false"/>
          <w:i/>
          <w:iCs/>
          <w:sz w:val="18"/>
          <w:szCs w:val="18"/>
        </w:rPr>
        <w:t xml:space="preserve">Table 1. Step accuracy on the published subset. The baseline row reproduces the published 31.03 and 18.18 percent, which validates the measurement.</w:t>
      </w:r>
    </w:p>
    <w:p>
      <w:pPr>
        <w:spacing w:after="120" w:line="276"/>
      </w:pPr>
      <w:r>
        <w:rPr>
          <w:rFonts w:ascii="Arial" w:cs="Arial" w:eastAsia="Arial" w:hAnsi="Arial"/>
          <w:b w:val="false"/>
          <w:bCs w:val="false"/>
          <w:i w:val="false"/>
          <w:iCs w:val="false"/>
          <w:sz w:val="22"/>
          <w:szCs w:val="22"/>
        </w:rPr>
        <w:t xml:space="preserve">The margins must be read carefully. On tau, 37.9 against 31.0 percent is four traces won against two lost, giving p = 0.6875. On magentic, 25.0 against 18.2 percent is three won against none, p = 0.2500. Neither is significant. The honest claim is parity-to-ahead on both domains at roughly a third of the baseline’s model calls, since our checks run in Python and only the final decision costs a call.</w:t>
      </w:r>
    </w:p>
    <w:p>
      <w:pPr>
        <w:spacing w:after="120" w:line="276"/>
      </w:pPr>
      <w:r>
        <w:rPr>
          <w:rFonts w:ascii="Arial" w:cs="Arial" w:eastAsia="Arial" w:hAnsi="Arial"/>
          <w:b w:val="false"/>
          <w:bCs w:val="false"/>
          <w:i w:val="false"/>
          <w:iCs w:val="false"/>
          <w:sz w:val="22"/>
          <w:szCs w:val="22"/>
        </w:rPr>
        <w:t xml:space="preserve">Table 2 gives the ablation, and here the evidence is solid.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867"/>
        <w:gridCol w:w="2246"/>
        <w:gridCol w:w="2246"/>
      </w:tblGrid>
      <w:tr>
        <w:trPr>
          <w:tblHeader/>
        </w:trPr>
        <w:tc>
          <w:tcPr>
            <w:tcW w:type="dxa" w:w="4867"/>
            <w:shd w:fill="E8E8E8" w:val="clear"/>
            <w:tcMar>
              <w:top w:type="dxa" w:w="40"/>
              <w:left w:type="dxa" w:w="80"/>
              <w:bottom w:type="dxa" w:w="40"/>
              <w:right w:type="dxa" w:w="80"/>
            </w:tcMar>
          </w:tcPr>
          <w:p>
            <w:pPr>
              <w:spacing w:after="0" w:line="240"/>
              <w:jc w:val="left"/>
            </w:pPr>
            <w:r>
              <w:rPr>
                <w:rFonts w:ascii="Arial" w:cs="Arial" w:eastAsia="Arial" w:hAnsi="Arial"/>
                <w:b/>
                <w:bCs/>
                <w:i w:val="false"/>
                <w:iCs w:val="false"/>
                <w:sz w:val="20"/>
                <w:szCs w:val="20"/>
              </w:rPr>
              <w:t xml:space="preserve">Variant</w:t>
            </w:r>
          </w:p>
        </w:tc>
        <w:tc>
          <w:tcPr>
            <w:tcW w:type="dxa" w:w="2246"/>
            <w:shd w:fill="E8E8E8" w:val="clear"/>
            <w:tcMar>
              <w:top w:type="dxa" w:w="40"/>
              <w:left w:type="dxa" w:w="80"/>
              <w:bottom w:type="dxa" w:w="40"/>
              <w:right w:type="dxa" w:w="80"/>
            </w:tcMar>
          </w:tcPr>
          <w:p>
            <w:pPr>
              <w:spacing w:after="0" w:line="240"/>
              <w:jc w:val="right"/>
            </w:pPr>
            <w:r>
              <w:rPr>
                <w:rFonts w:ascii="Arial" w:cs="Arial" w:eastAsia="Arial" w:hAnsi="Arial"/>
                <w:b/>
                <w:bCs/>
                <w:i w:val="false"/>
                <w:iCs w:val="false"/>
                <w:sz w:val="20"/>
                <w:szCs w:val="20"/>
              </w:rPr>
              <w:t xml:space="preserve">tau</w:t>
            </w:r>
          </w:p>
        </w:tc>
        <w:tc>
          <w:tcPr>
            <w:tcW w:type="dxa" w:w="2246"/>
            <w:shd w:fill="E8E8E8" w:val="clear"/>
            <w:tcMar>
              <w:top w:type="dxa" w:w="40"/>
              <w:left w:type="dxa" w:w="80"/>
              <w:bottom w:type="dxa" w:w="40"/>
              <w:right w:type="dxa" w:w="80"/>
            </w:tcMar>
          </w:tcPr>
          <w:p>
            <w:pPr>
              <w:spacing w:after="0" w:line="240"/>
              <w:jc w:val="right"/>
            </w:pPr>
            <w:r>
              <w:rPr>
                <w:rFonts w:ascii="Arial" w:cs="Arial" w:eastAsia="Arial" w:hAnsi="Arial"/>
                <w:b/>
                <w:bCs/>
                <w:i w:val="false"/>
                <w:iCs w:val="false"/>
                <w:sz w:val="20"/>
                <w:szCs w:val="20"/>
              </w:rPr>
              <w:t xml:space="preserve">magentic</w:t>
            </w:r>
          </w:p>
        </w:tc>
      </w:tr>
      <w:tr>
        <w:trPr>
          <w:tblHeader w:val="off"/>
        </w:trPr>
        <w:tc>
          <w:tcPr>
            <w:tcW w:type="dxa" w:w="4867"/>
            <w:tcMar>
              <w:top w:type="dxa" w:w="40"/>
              <w:left w:type="dxa" w:w="80"/>
              <w:bottom w:type="dxa" w:w="40"/>
              <w:right w:type="dxa" w:w="80"/>
            </w:tcMar>
          </w:tcPr>
          <w:p>
            <w:pPr>
              <w:spacing w:after="0" w:line="240"/>
              <w:jc w:val="left"/>
            </w:pPr>
            <w:r>
              <w:rPr>
                <w:rFonts w:ascii="Arial" w:cs="Arial" w:eastAsia="Arial" w:hAnsi="Arial"/>
                <w:b w:val="false"/>
                <w:bCs w:val="false"/>
                <w:i w:val="false"/>
                <w:iCs w:val="false"/>
                <w:sz w:val="20"/>
                <w:szCs w:val="20"/>
              </w:rPr>
              <w:t xml:space="preserve">Linear policy (no model call)</w:t>
            </w:r>
          </w:p>
        </w:tc>
        <w:tc>
          <w:tcPr>
            <w:tcW w:type="dxa" w:w="2246"/>
            <w:tcMar>
              <w:top w:type="dxa" w:w="40"/>
              <w:left w:type="dxa" w:w="80"/>
              <w:bottom w:type="dxa" w:w="40"/>
              <w:right w:type="dxa" w:w="80"/>
            </w:tcMar>
          </w:tcPr>
          <w:p>
            <w:pPr>
              <w:spacing w:after="0" w:line="240"/>
              <w:jc w:val="right"/>
            </w:pPr>
            <w:r>
              <w:rPr>
                <w:rFonts w:ascii="Arial" w:cs="Arial" w:eastAsia="Arial" w:hAnsi="Arial"/>
                <w:b w:val="false"/>
                <w:bCs w:val="false"/>
                <w:i w:val="false"/>
                <w:iCs w:val="false"/>
                <w:sz w:val="20"/>
                <w:szCs w:val="20"/>
              </w:rPr>
              <w:t xml:space="preserve">13.8%</w:t>
            </w:r>
          </w:p>
        </w:tc>
        <w:tc>
          <w:tcPr>
            <w:tcW w:type="dxa" w:w="2246"/>
            <w:tcMar>
              <w:top w:type="dxa" w:w="40"/>
              <w:left w:type="dxa" w:w="80"/>
              <w:bottom w:type="dxa" w:w="40"/>
              <w:right w:type="dxa" w:w="80"/>
            </w:tcMar>
          </w:tcPr>
          <w:p>
            <w:pPr>
              <w:spacing w:after="0" w:line="240"/>
              <w:jc w:val="right"/>
            </w:pPr>
            <w:r>
              <w:rPr>
                <w:rFonts w:ascii="Arial" w:cs="Arial" w:eastAsia="Arial" w:hAnsi="Arial"/>
                <w:b w:val="false"/>
                <w:bCs w:val="false"/>
                <w:i w:val="false"/>
                <w:iCs w:val="false"/>
                <w:sz w:val="20"/>
                <w:szCs w:val="20"/>
              </w:rPr>
              <w:t xml:space="preserve">20.5%</w:t>
            </w:r>
          </w:p>
        </w:tc>
      </w:tr>
      <w:tr>
        <w:trPr>
          <w:tblHeader w:val="off"/>
        </w:trPr>
        <w:tc>
          <w:tcPr>
            <w:tcW w:type="dxa" w:w="4867"/>
            <w:tcMar>
              <w:top w:type="dxa" w:w="40"/>
              <w:left w:type="dxa" w:w="80"/>
              <w:bottom w:type="dxa" w:w="40"/>
              <w:right w:type="dxa" w:w="80"/>
            </w:tcMar>
          </w:tcPr>
          <w:p>
            <w:pPr>
              <w:spacing w:after="0" w:line="240"/>
              <w:jc w:val="left"/>
            </w:pPr>
            <w:r>
              <w:rPr>
                <w:rFonts w:ascii="Arial" w:cs="Arial" w:eastAsia="Arial" w:hAnsi="Arial"/>
                <w:b w:val="false"/>
                <w:bCs w:val="false"/>
                <w:i w:val="false"/>
                <w:iCs w:val="false"/>
                <w:sz w:val="20"/>
                <w:szCs w:val="20"/>
              </w:rPr>
              <w:t xml:space="preserve">Model selector, confined to the pool</w:t>
            </w:r>
          </w:p>
        </w:tc>
        <w:tc>
          <w:tcPr>
            <w:tcW w:type="dxa" w:w="2246"/>
            <w:tcMar>
              <w:top w:type="dxa" w:w="40"/>
              <w:left w:type="dxa" w:w="80"/>
              <w:bottom w:type="dxa" w:w="40"/>
              <w:right w:type="dxa" w:w="80"/>
            </w:tcMar>
          </w:tcPr>
          <w:p>
            <w:pPr>
              <w:spacing w:after="0" w:line="240"/>
              <w:jc w:val="right"/>
            </w:pPr>
            <w:r>
              <w:rPr>
                <w:rFonts w:ascii="Arial" w:cs="Arial" w:eastAsia="Arial" w:hAnsi="Arial"/>
                <w:b w:val="false"/>
                <w:bCs w:val="false"/>
                <w:i w:val="false"/>
                <w:iCs w:val="false"/>
                <w:sz w:val="20"/>
                <w:szCs w:val="20"/>
              </w:rPr>
              <w:t xml:space="preserve">24.1%</w:t>
            </w:r>
          </w:p>
        </w:tc>
        <w:tc>
          <w:tcPr>
            <w:tcW w:type="dxa" w:w="2246"/>
            <w:tcMar>
              <w:top w:type="dxa" w:w="40"/>
              <w:left w:type="dxa" w:w="80"/>
              <w:bottom w:type="dxa" w:w="40"/>
              <w:right w:type="dxa" w:w="80"/>
            </w:tcMar>
          </w:tcPr>
          <w:p>
            <w:pPr>
              <w:spacing w:after="0" w:line="240"/>
              <w:jc w:val="right"/>
            </w:pPr>
            <w:r>
              <w:rPr>
                <w:rFonts w:ascii="Arial" w:cs="Arial" w:eastAsia="Arial" w:hAnsi="Arial"/>
                <w:b w:val="false"/>
                <w:bCs w:val="false"/>
                <w:i w:val="false"/>
                <w:iCs w:val="false"/>
                <w:sz w:val="20"/>
                <w:szCs w:val="20"/>
              </w:rPr>
              <w:t xml:space="preserve">20.5%</w:t>
            </w:r>
          </w:p>
        </w:tc>
      </w:tr>
      <w:tr>
        <w:trPr>
          <w:tblHeader w:val="off"/>
        </w:trPr>
        <w:tc>
          <w:tcPr>
            <w:tcW w:type="dxa" w:w="4867"/>
            <w:tcMar>
              <w:top w:type="dxa" w:w="40"/>
              <w:left w:type="dxa" w:w="80"/>
              <w:bottom w:type="dxa" w:w="40"/>
              <w:right w:type="dxa" w:w="80"/>
            </w:tcMar>
          </w:tcPr>
          <w:p>
            <w:pPr>
              <w:spacing w:after="0" w:line="240"/>
              <w:jc w:val="left"/>
            </w:pPr>
            <w:r>
              <w:rPr>
                <w:rFonts w:ascii="Arial" w:cs="Arial" w:eastAsia="Arial" w:hAnsi="Arial"/>
                <w:b w:val="false"/>
                <w:bCs w:val="false"/>
                <w:i w:val="false"/>
                <w:iCs w:val="false"/>
                <w:sz w:val="20"/>
                <w:szCs w:val="20"/>
              </w:rPr>
              <w:t xml:space="preserve">Model selector, free over the trace</w:t>
            </w:r>
          </w:p>
        </w:tc>
        <w:tc>
          <w:tcPr>
            <w:tcW w:type="dxa" w:w="2246"/>
            <w:tcMar>
              <w:top w:type="dxa" w:w="40"/>
              <w:left w:type="dxa" w:w="80"/>
              <w:bottom w:type="dxa" w:w="40"/>
              <w:right w:type="dxa" w:w="80"/>
            </w:tcMar>
          </w:tcPr>
          <w:p>
            <w:pPr>
              <w:spacing w:after="0" w:line="240"/>
              <w:jc w:val="right"/>
            </w:pPr>
            <w:r>
              <w:rPr>
                <w:rFonts w:ascii="Arial" w:cs="Arial" w:eastAsia="Arial" w:hAnsi="Arial"/>
                <w:b w:val="false"/>
                <w:bCs w:val="false"/>
                <w:i w:val="false"/>
                <w:iCs w:val="false"/>
                <w:sz w:val="20"/>
                <w:szCs w:val="20"/>
              </w:rPr>
              <w:t xml:space="preserve">34.5%</w:t>
            </w:r>
          </w:p>
        </w:tc>
        <w:tc>
          <w:tcPr>
            <w:tcW w:type="dxa" w:w="2246"/>
            <w:tcMar>
              <w:top w:type="dxa" w:w="40"/>
              <w:left w:type="dxa" w:w="80"/>
              <w:bottom w:type="dxa" w:w="40"/>
              <w:right w:type="dxa" w:w="80"/>
            </w:tcMar>
          </w:tcPr>
          <w:p>
            <w:pPr>
              <w:spacing w:after="0" w:line="240"/>
              <w:jc w:val="right"/>
            </w:pPr>
            <w:r>
              <w:rPr>
                <w:rFonts w:ascii="Arial" w:cs="Arial" w:eastAsia="Arial" w:hAnsi="Arial"/>
                <w:b w:val="false"/>
                <w:bCs w:val="false"/>
                <w:i w:val="false"/>
                <w:iCs w:val="false"/>
                <w:sz w:val="20"/>
                <w:szCs w:val="20"/>
              </w:rPr>
              <w:t xml:space="preserve">25.0%</w:t>
            </w:r>
          </w:p>
        </w:tc>
      </w:tr>
    </w:tbl>
    <w:p>
      <w:pPr>
        <w:spacing w:after="160" w:before="60" w:line="240"/>
      </w:pPr>
      <w:r>
        <w:rPr>
          <w:rFonts w:ascii="Arial" w:cs="Arial" w:eastAsia="Arial" w:hAnsi="Arial"/>
          <w:b w:val="false"/>
          <w:bCs w:val="false"/>
          <w:i/>
          <w:iCs/>
          <w:sz w:val="18"/>
          <w:szCs w:val="18"/>
        </w:rPr>
        <w:t xml:space="preserve">Table 2. Contribution of the decision stage, same 73 traces. Against the linear policy the free selector wins nine traces and loses one, p = 0.0215.</w:t>
      </w:r>
    </w:p>
    <w:p>
      <w:pPr>
        <w:spacing w:after="120" w:line="276"/>
      </w:pPr>
      <w:r>
        <w:rPr>
          <w:rFonts w:ascii="Arial" w:cs="Arial" w:eastAsia="Arial" w:hAnsi="Arial"/>
          <w:b w:val="false"/>
          <w:bCs w:val="false"/>
          <w:i w:val="false"/>
          <w:iCs w:val="false"/>
          <w:sz w:val="22"/>
          <w:szCs w:val="22"/>
        </w:rPr>
        <w:t xml:space="preserve">Two things follow. Placing a model in the decision path is a real improvement over our learned ranker, and it is the one statistically supported result we have. Confining that model to the candidate pool costs 10.4 points on tau, so the pool acted as a ceiling rather than as help.</w:t>
      </w:r>
    </w:p>
    <w:p>
      <w:pPr>
        <w:spacing w:after="120" w:line="276"/>
      </w:pPr>
      <w:r>
        <w:rPr>
          <w:rFonts w:ascii="Arial" w:cs="Arial" w:eastAsia="Arial" w:hAnsi="Arial"/>
          <w:b/>
          <w:bCs/>
          <w:i w:val="false"/>
          <w:iCs w:val="false"/>
          <w:sz w:val="22"/>
          <w:szCs w:val="22"/>
        </w:rPr>
        <w:t xml:space="preserve">Why the learned ranker failed. </w:t>
      </w:r>
      <w:r>
        <w:rPr>
          <w:rFonts w:ascii="Arial" w:cs="Arial" w:eastAsia="Arial" w:hAnsi="Arial"/>
          <w:b w:val="false"/>
          <w:bCs w:val="false"/>
          <w:i w:val="false"/>
          <w:iCs w:val="false"/>
          <w:sz w:val="22"/>
          <w:szCs w:val="22"/>
        </w:rPr>
        <w:t xml:space="preserve">On a held-out set of 100 traces, untrained weights scored 44 percent and trained weights 36 percent, with McNemar p = 0.0078 and eight traces broken against none fixed. The cause was the reward. We rewarded the policy when the number of violations fell after repairing the blamed step. Some steps are simply easier to repair than others, independent of whether they caused anything, and the policy learned to prefer those. We measured the gap between the proxy reward and real recovery at 17.6 points. A reward that can be satisfied without solving the task will be satisfied without solving the task.</w:t>
      </w:r>
    </w:p>
    <w:p>
      <w:pPr>
        <w:spacing w:after="120" w:line="276"/>
      </w:pPr>
      <w:r>
        <w:rPr>
          <w:rFonts w:ascii="Arial" w:cs="Arial" w:eastAsia="Arial" w:hAnsi="Arial"/>
          <w:b/>
          <w:bCs/>
          <w:i w:val="false"/>
          <w:iCs w:val="false"/>
          <w:sz w:val="22"/>
          <w:szCs w:val="22"/>
        </w:rPr>
        <w:t xml:space="preserve">Why repairing the top candidates failed. </w:t>
      </w:r>
      <w:r>
        <w:rPr>
          <w:rFonts w:ascii="Arial" w:cs="Arial" w:eastAsia="Arial" w:hAnsi="Arial"/>
          <w:b w:val="false"/>
          <w:bCs w:val="false"/>
          <w:i w:val="false"/>
          <w:iCs w:val="false"/>
          <w:sz w:val="22"/>
          <w:szCs w:val="22"/>
        </w:rPr>
        <w:t xml:space="preserve">We next tried repairing each of the three most blamed steps and answering with whichever repair verified. Accuracy was 13.8 percent before and after. The loop moved six answers and all six landed on another wrong step, and in the five traces where the correct step sat at rank two or three it accepted that rank zero times. The reason has the same shape as the reward failure: a model asked to rewrite any step produces one satisfying more constraints, so a drop in violations is not evidence that the step was the fault.</w:t>
      </w:r>
    </w:p>
    <w:p>
      <w:pPr>
        <w:spacing w:after="120" w:line="276"/>
      </w:pPr>
      <w:r>
        <w:rPr>
          <w:rFonts w:ascii="Arial" w:cs="Arial" w:eastAsia="Arial" w:hAnsi="Arial"/>
          <w:b/>
          <w:bCs/>
          <w:i w:val="false"/>
          <w:iCs w:val="false"/>
          <w:sz w:val="22"/>
          <w:szCs w:val="22"/>
        </w:rPr>
        <w:t xml:space="preserve">The decomposition. </w:t>
      </w:r>
      <w:r>
        <w:rPr>
          <w:rFonts w:ascii="Arial" w:cs="Arial" w:eastAsia="Arial" w:hAnsi="Arial"/>
          <w:b w:val="false"/>
          <w:bCs w:val="false"/>
          <w:i w:val="false"/>
          <w:iCs w:val="false"/>
          <w:sz w:val="22"/>
          <w:szCs w:val="22"/>
        </w:rPr>
        <w:t xml:space="preserve">Rather than try a third ranking idea we split every result by whether the gold step was among the candidates. The decision stage converts in-pool evidence at 70 percent on tau and 89 percent on magentic, and out-of-pool evidence at 16 and 9 percent. Pool recall at the time was 41.4 and 20.5 percent. The decision stage was never the bottleneck. Both failed designs had targeted ranking while recall was the binding constraint, which also explains the training failure directly: optimising a ranker over a pool excluding the answer in three traces out of five is optimising against noise.</w:t>
      </w:r>
    </w:p>
    <w:p>
      <w:pPr>
        <w:spacing w:after="120" w:line="276"/>
      </w:pPr>
      <w:r>
        <w:rPr>
          <w:rFonts w:ascii="Arial" w:cs="Arial" w:eastAsia="Arial" w:hAnsi="Arial"/>
          <w:b/>
          <w:bCs/>
          <w:i w:val="false"/>
          <w:iCs w:val="false"/>
          <w:sz w:val="22"/>
          <w:szCs w:val="22"/>
        </w:rPr>
        <w:t xml:space="preserve">Why recall was low. </w:t>
      </w:r>
      <w:r>
        <w:rPr>
          <w:rFonts w:ascii="Arial" w:cs="Arial" w:eastAsia="Arial" w:hAnsi="Arial"/>
          <w:b w:val="false"/>
          <w:bCs w:val="false"/>
          <w:i w:val="false"/>
          <w:iCs w:val="false"/>
          <w:sz w:val="22"/>
          <w:szCs w:val="22"/>
        </w:rPr>
        <w:t xml:space="preserve">The cause is structural. Our development corpus is multi-agent, with a planner routing work to specialists, while the published tau traces are a single assistant calling tools. Two of our three perspectives ask about routing and handoff, so on a single-agent trace they have nothing to detect. The routing check raises 268 violations on our corpus and zero on the benchmark; the handoff check raises 104 against 8. The consequence is that all 130 candidates on published tau carry exactly one violation, against 41.5 percent of our own candidates carrying two or more. Features such as agreement across perspectives are therefore constants on the benchmark the system is judged by. Allowing each perspective to write constraints for the trace in front of it raises tau recall from 41.4 to 48.3 percent and accuracy to 37.9 percent.</w:t>
      </w:r>
    </w:p>
    <w:p>
      <w:pPr>
        <w:spacing w:after="120" w:line="276"/>
      </w:pPr>
      <w:r>
        <w:rPr>
          <w:rFonts w:ascii="Arial" w:cs="Arial" w:eastAsia="Arial" w:hAnsi="Arial"/>
          <w:b/>
          <w:bCs/>
          <w:i w:val="false"/>
          <w:iCs w:val="false"/>
          <w:sz w:val="22"/>
          <w:szCs w:val="22"/>
        </w:rPr>
        <w:t xml:space="preserve">Limitations. </w:t>
      </w:r>
      <w:r>
        <w:rPr>
          <w:rFonts w:ascii="Arial" w:cs="Arial" w:eastAsia="Arial" w:hAnsi="Arial"/>
          <w:b w:val="false"/>
          <w:bCs w:val="false"/>
          <w:i w:val="false"/>
          <w:iCs w:val="false"/>
          <w:sz w:val="22"/>
          <w:szCs w:val="22"/>
        </w:rPr>
        <w:t xml:space="preserve">Three, stated plainly. Sample size dominates everything: at 29 traces no realistic improvement short of 20 points can reach significance, so our comparison against the baseline is underpowered rather than settled. Second, the same code and weights score 44 percent on our generated corpus and 13.8 percent on the published subset, because our constraints detect the faults our own injector writes; we therefore treat development numbers as uninformative about real traces. Third, one cell of Table 1 is unmeasured. The magentic run with written constraints was corrupted by provider rate limiting, which caused the decision call to fail on 24 of 44 traces and fall back silently to the ranker, and a retry was lost to a billing cap. We report the gap rather than the contaminated figure, and the analysis tooling now refuses to print an accuracy for any arm whose calls failed on a fifth or more of its traces.</w:t>
      </w:r>
    </w:p>
    <w:p>
      <w:pPr>
        <w:pStyle w:val="Heading1"/>
        <w:spacing w:after="120" w:before="240" w:line="276"/>
      </w:pPr>
      <w:r>
        <w:rPr>
          <w:rFonts w:ascii="Arial" w:cs="Arial" w:eastAsia="Arial" w:hAnsi="Arial"/>
          <w:b/>
          <w:bCs/>
          <w:i w:val="false"/>
          <w:iCs w:val="false"/>
          <w:sz w:val="26"/>
          <w:szCs w:val="26"/>
        </w:rPr>
        <w:t xml:space="preserve">5  Conclusion</w:t>
      </w:r>
    </w:p>
    <w:p>
      <w:pPr>
        <w:spacing w:after="120" w:line="276"/>
      </w:pPr>
      <w:r>
        <w:rPr>
          <w:rFonts w:ascii="Arial" w:cs="Arial" w:eastAsia="Arial" w:hAnsi="Arial"/>
          <w:b w:val="false"/>
          <w:bCs w:val="false"/>
          <w:i w:val="false"/>
          <w:iCs w:val="false"/>
          <w:sz w:val="22"/>
          <w:szCs w:val="22"/>
        </w:rPr>
        <w:t xml:space="preserve">We set out to test whether decomposing fault attribution into perspective-scoped evidence improves on a single model verdict. On the published benchmark our system reaches 37.9 percent on tau against 31.0 for the baseline, and 25.0 percent on magentic against 18.2, leading on both domains without reaching statistical significance at these sample sizes. The internally solid result is that a model reading structured evidence beats our own learned ranker on nine traces against one, p = 0.0215.</w:t>
      </w:r>
    </w:p>
    <w:p>
      <w:pPr>
        <w:spacing w:after="120" w:line="276"/>
      </w:pPr>
      <w:r>
        <w:rPr>
          <w:rFonts w:ascii="Arial" w:cs="Arial" w:eastAsia="Arial" w:hAnsi="Arial"/>
          <w:b w:val="false"/>
          <w:bCs w:val="false"/>
          <w:i w:val="false"/>
          <w:iCs w:val="false"/>
          <w:sz w:val="22"/>
          <w:szCs w:val="22"/>
        </w:rPr>
        <w:t xml:space="preserve">The lessons we would carry forward are mostly from what failed. A proxy reward gets optimised rather than the task it stands for, and ours cost eight points of accuracy before we measured the 17.6-point gap that revealed it. Three successive ideas improved candidate ranking while candidate recall was the binding constraint, and none of them moved the result; the measurement separating the two stages was worth more than any of the three. Our own tooling misled us twice, once reporting zero percent for a method at 73.7 percent because a monitor read the wrong ground truth, and once reporting a plausible figure for an arm whose model calls had all failed. Both now fail loudly instead of quietly.</w:t>
      </w:r>
    </w:p>
    <w:p>
      <w:pPr>
        <w:spacing w:after="120" w:line="276"/>
      </w:pPr>
      <w:r>
        <w:rPr>
          <w:rFonts w:ascii="Arial" w:cs="Arial" w:eastAsia="Arial" w:hAnsi="Arial"/>
          <w:b w:val="false"/>
          <w:bCs w:val="false"/>
          <w:i w:val="false"/>
          <w:iCs w:val="false"/>
          <w:sz w:val="22"/>
          <w:szCs w:val="22"/>
        </w:rPr>
        <w:t xml:space="preserve">The natural next step follows from the decomposition. Constraint writing should be the learned action and pool recall the reward. Recall is a hard observable rather than a proxy, which avoids the failure mode that defeated our first attempt, and the measured headroom is roughly five times that of anything we tried. A clean run of the one missing condition, and a benchmark large enough to resolve a six-point difference, are the two things this work most needs next.</w:t>
      </w:r>
    </w:p>
    <w:p>
      <w:pPr>
        <w:pStyle w:val="Heading1"/>
        <w:spacing w:after="120" w:before="240" w:line="276"/>
      </w:pPr>
      <w:r>
        <w:rPr>
          <w:rFonts w:ascii="Arial" w:cs="Arial" w:eastAsia="Arial" w:hAnsi="Arial"/>
          <w:b/>
          <w:bCs/>
          <w:i w:val="false"/>
          <w:iCs w:val="false"/>
          <w:sz w:val="26"/>
          <w:szCs w:val="26"/>
        </w:rPr>
        <w:t xml:space="preserve">References</w:t>
      </w:r>
    </w:p>
    <w:p>
      <w:pPr>
        <w:spacing w:after="80" w:line="240"/>
        <w:ind w:left="360" w:hanging="360"/>
      </w:pPr>
      <w:r>
        <w:rPr>
          <w:rFonts w:ascii="Arial" w:cs="Arial" w:eastAsia="Arial" w:hAnsi="Arial"/>
          <w:b w:val="false"/>
          <w:bCs w:val="false"/>
          <w:i w:val="false"/>
          <w:iCs w:val="false"/>
          <w:sz w:val="20"/>
          <w:szCs w:val="20"/>
        </w:rPr>
        <w:t xml:space="preserve">AgentRx. Microsoft. Reference implementation and published benchmark subset used as the baseline in this report.</w:t>
      </w:r>
    </w:p>
    <w:p>
      <w:pPr>
        <w:spacing w:after="80" w:line="240"/>
        <w:ind w:left="360" w:hanging="360"/>
      </w:pPr>
      <w:r>
        <w:rPr>
          <w:rFonts w:ascii="Arial" w:cs="Arial" w:eastAsia="Arial" w:hAnsi="Arial"/>
          <w:b w:val="false"/>
          <w:bCs w:val="false"/>
          <w:i w:val="false"/>
          <w:iCs w:val="false"/>
          <w:sz w:val="20"/>
          <w:szCs w:val="20"/>
        </w:rPr>
        <w:t xml:space="preserve">Yao, S., Shinn, N., Razavi, P., and Narasimhan, K. (2024). τ-bench: A Benchmark for Tool-Agent-User Interaction in Real-World Domains.</w:t>
      </w:r>
    </w:p>
    <w:p>
      <w:pPr>
        <w:spacing w:after="80" w:line="240"/>
        <w:ind w:left="360" w:hanging="360"/>
      </w:pPr>
      <w:r>
        <w:rPr>
          <w:rFonts w:ascii="Arial" w:cs="Arial" w:eastAsia="Arial" w:hAnsi="Arial"/>
          <w:b w:val="false"/>
          <w:bCs w:val="false"/>
          <w:i w:val="false"/>
          <w:iCs w:val="false"/>
          <w:sz w:val="20"/>
          <w:szCs w:val="20"/>
        </w:rPr>
        <w:t xml:space="preserve">Cemri, M., et al. (2025). Why Do Multi-Agent LLM Systems Fail? Multi-Agent System Failure Taxonomy (MAST), source of the failure categories used here.</w:t>
      </w:r>
    </w:p>
    <w:p>
      <w:pPr>
        <w:spacing w:after="80" w:line="240"/>
        <w:ind w:left="360" w:hanging="360"/>
      </w:pPr>
      <w:r>
        <w:rPr>
          <w:rFonts w:ascii="Arial" w:cs="Arial" w:eastAsia="Arial" w:hAnsi="Arial"/>
          <w:b w:val="false"/>
          <w:bCs w:val="false"/>
          <w:i w:val="false"/>
          <w:iCs w:val="false"/>
          <w:sz w:val="20"/>
          <w:szCs w:val="20"/>
        </w:rPr>
        <w:t xml:space="preserve">Williams, R. J. (1992). Simple statistical gradient-following algorithms for connectionist reinforcement learning. Machine Learning, 8, 229–256.</w:t>
      </w:r>
    </w:p>
    <w:p>
      <w:pPr>
        <w:spacing w:after="80" w:line="240"/>
        <w:ind w:left="360" w:hanging="360"/>
      </w:pPr>
      <w:r>
        <w:rPr>
          <w:rFonts w:ascii="Arial" w:cs="Arial" w:eastAsia="Arial" w:hAnsi="Arial"/>
          <w:b w:val="false"/>
          <w:bCs w:val="false"/>
          <w:i w:val="false"/>
          <w:iCs w:val="false"/>
          <w:sz w:val="20"/>
          <w:szCs w:val="20"/>
        </w:rPr>
        <w:t xml:space="preserve">McNemar, Q. (1947). Note on the sampling error of the difference between correlated proportions or percentages. Psychometrika, 12(2), 153–157.</w:t>
      </w:r>
    </w:p>
    <w:p>
      <w:pPr>
        <w:spacing w:after="80" w:line="240"/>
        <w:ind w:left="360" w:hanging="360"/>
      </w:pPr>
      <w:r>
        <w:rPr>
          <w:rFonts w:ascii="Arial" w:cs="Arial" w:eastAsia="Arial" w:hAnsi="Arial"/>
          <w:b w:val="false"/>
          <w:bCs w:val="false"/>
          <w:i w:val="false"/>
          <w:iCs w:val="false"/>
          <w:sz w:val="20"/>
          <w:szCs w:val="20"/>
        </w:rPr>
        <w:t xml:space="preserve">Wilson, E. B. (1927). Probable inference, the law of succession, and statistical inference. Journal of the American Statistical Association, 22(158), 209–212.</w:t>
      </w:r>
    </w:p>
    <w:sectPr>
      <w:pgSz w:w="11906" w:h="16838" w:orient="portrait"/>
      <w:pgMar w:top="1440" w:right="1440" w:bottom="1440" w:left="1440" w:header="708" w:footer="708" w:gutter="0"/>
      <w:pgNumType/>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tentative="1">
      <w:start w:val="1"/>
      <w:numFmt w:val="bullet"/>
      <w:lvlText w:val="●"/>
      <w:lvlJc w:val="left"/>
      <w:pPr>
        <w:ind w:left="720" w:hanging="360"/>
      </w:pPr>
    </w:lvl>
    <w:lvl w:ilvl="1" w:tentative="1">
      <w:start w:val="1"/>
      <w:numFmt w:val="bullet"/>
      <w:lvlText w:val="○"/>
      <w:lvlJc w:val="left"/>
      <w:pPr>
        <w:ind w:left="1440" w:hanging="360"/>
      </w:pPr>
    </w:lvl>
    <w:lvl w:ilvl="2" w:tentative="1">
      <w:start w:val="1"/>
      <w:numFmt w:val="bullet"/>
      <w:lvlText w:val="■"/>
      <w:lvlJc w:val="left"/>
      <w:pPr>
        <w:ind w:left="2160" w:hanging="360"/>
      </w:pPr>
    </w:lvl>
    <w:lvl w:ilvl="3" w:tentative="1">
      <w:start w:val="1"/>
      <w:numFmt w:val="bullet"/>
      <w:lvlText w:val="●"/>
      <w:lvlJc w:val="left"/>
      <w:pPr>
        <w:ind w:left="2880" w:hanging="360"/>
      </w:pPr>
    </w:lvl>
    <w:lvl w:ilvl="4" w:tentative="1">
      <w:start w:val="1"/>
      <w:numFmt w:val="bullet"/>
      <w:lvlText w:val="○"/>
      <w:lvlJc w:val="left"/>
      <w:pPr>
        <w:ind w:left="3600" w:hanging="360"/>
      </w:pPr>
    </w:lvl>
    <w:lvl w:ilvl="5" w:tentative="1">
      <w:start w:val="1"/>
      <w:numFmt w:val="bullet"/>
      <w:lvlText w:val="■"/>
      <w:lvlJc w:val="left"/>
      <w:pPr>
        <w:ind w:left="4320" w:hanging="360"/>
      </w:pPr>
    </w:lvl>
    <w:lvl w:ilvl="6" w:tentative="1">
      <w:start w:val="1"/>
      <w:numFmt w:val="bullet"/>
      <w:lvlText w:val="●"/>
      <w:lvlJc w:val="left"/>
      <w:pPr>
        <w:ind w:left="5040" w:hanging="360"/>
      </w:pPr>
    </w:lvl>
    <w:lvl w:ilvl="7" w:tentative="1">
      <w:start w:val="1"/>
      <w:numFmt w:val="bullet"/>
      <w:lvlText w:val="●"/>
      <w:lvlJc w:val="left"/>
      <w:pPr>
        <w:ind w:left="5760" w:hanging="360"/>
      </w:pPr>
    </w:lvl>
    <w:lvl w:ilvl="8" w: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Normal" w:default="1">
    <w:name w:val="Normal"/>
    <w:qFormat/>
  </w:style>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theme" Target="theme/theme1.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true">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false"/>
        </a:gradFill>
        <a:gradFill rotWithShape="true">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false"/>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false">
              <a:srgbClr val="000000">
                <a:alpha val="63000"/>
              </a:srgbClr>
            </a:outerShdw>
          </a:effectLst>
        </a:effectStyle>
      </a:effectStyleLst>
      <a:bgFillStyleLst>
        <a:solidFill>
          <a:schemeClr val="phClr"/>
        </a:solidFill>
        <a:solidFill>
          <a:schemeClr val="phClr">
            <a:tint val="95000"/>
            <a:satMod val="170000"/>
          </a:schemeClr>
        </a:solidFill>
        <a:gradFill rotWithShape="true">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false"/>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2026-10-26T19:16:43.915Z</dcterms:created>
  <dcterms:modified xsi:type="dcterms:W3CDTF">2026-10-26T19:16:43.925Z</dcterms:modified>
</cp:coreProperties>
</file>

<file path=docProps/custom.xml><?xml version="1.0" encoding="utf-8"?>
<Properties xmlns="http://schemas.openxmlformats.org/officeDocument/2006/custom-properties" xmlns:vt="http://schemas.openxmlformats.org/officeDocument/2006/docPropsVTypes"/>
</file>