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6213e"/>
          <w:sz w:val="44"/>
          <w:szCs w:val="44"/>
        </w:rPr>
        <w:t xml:space="preserve">API SECURITY RISK ANALYSIS</w:t>
      </w:r>
    </w:p>
    <w:p>
      <w:pPr>
        <w:spacing w:before="100"/>
        <w:jc w:val="center"/>
      </w:pPr>
      <w:r>
        <w:rPr>
          <w:b/>
          <w:bCs/>
          <w:color w:val="16213e"/>
          <w:sz w:val="44"/>
          <w:szCs w:val="44"/>
        </w:rPr>
        <w:t xml:space="preserve">REPORT</w:t>
      </w:r>
    </w:p>
    <w:p>
      <w:pPr>
        <w:spacing w:before="300"/>
        <w:jc w:val="center"/>
      </w:pPr>
      <w:r>
        <w:rPr>
          <w:color w:val="5f6368"/>
          <w:sz w:val="26"/>
          <w:szCs w:val="26"/>
        </w:rPr>
        <w:t xml:space="preserve">REST API Security Assessment</w:t>
      </w:r>
    </w:p>
    <w:p>
      <w:pPr>
        <w:spacing w:before="800"/>
        <w:jc w:val="center"/>
      </w:pPr>
      <w:r>
        <w:rPr>
          <w:b/>
          <w:bCs/>
          <w:sz w:val="24"/>
          <w:szCs w:val="24"/>
        </w:rPr>
        <w:t xml:space="preserve">Target API: reqres.in</w:t>
      </w:r>
    </w:p>
    <w:p>
      <w:pPr>
        <w:spacing w:before="60"/>
        <w:jc w:val="center"/>
      </w:pPr>
      <w:r>
        <w:rPr>
          <w:sz w:val="24"/>
          <w:szCs w:val="24"/>
        </w:rPr>
        <w:t xml:space="preserve">Prince Makwana</w:t>
      </w:r>
    </w:p>
    <w:p>
      <w:pPr>
        <w:spacing w:before="60"/>
        <w:jc w:val="center"/>
      </w:pPr>
      <w:r>
        <w:rPr>
          <w:color w:val="5f6368"/>
          <w:sz w:val="22"/>
          <w:szCs w:val="22"/>
        </w:rPr>
        <w:t xml:space="preserve">Future Interns — Cyber Security Internship | Task 3</w:t>
      </w:r>
    </w:p>
    <w:p>
      <w:pPr>
        <w:spacing w:before="60"/>
        <w:jc w:val="center"/>
      </w:pPr>
      <w:r>
        <w:rPr>
          <w:color w:val="5f6368"/>
          <w:sz w:val="22"/>
          <w:szCs w:val="22"/>
        </w:rPr>
        <w:t xml:space="preserve">September 2026</w:t>
      </w:r>
    </w:p>
    <w:p>
      <w:r>
        <w:br w:type="page"/>
      </w:r>
    </w:p>
    <w:p>
      <w:pPr>
        <w:pStyle w:val="Heading1"/>
        <w:spacing w:after="200"/>
      </w:pPr>
      <w:r>
        <w:rPr>
          <w:b/>
          <w:bCs/>
          <w:color w:val="16213e"/>
        </w:rPr>
        <w:t xml:space="preserve">Executive Summary</w:t>
      </w:r>
    </w:p>
    <w:p>
      <w:pPr>
        <w:spacing w:after="200"/>
      </w:pPr>
      <w:r>
        <w:rPr>
          <w:sz w:val="21"/>
          <w:szCs w:val="21"/>
        </w:rPr>
        <w:t xml:space="preserve">This report documents a security assessment of the public reqres.in REST API using Postman, covering authentication behavior, error handling, response headers, and rate limiting. Testing surfaced two High-risk authentication weaknesses — improper password validation and a user-enumeration flaw on the login endpoint — alongside minor information-disclosure issues in response headers. The API also demonstrated some good security practices, including enforced rate limiting and clean, non-verbose error responses.</w:t>
      </w:r>
    </w:p>
    <w:p>
      <w:pPr>
        <w:pStyle w:val="Heading2"/>
        <w:spacing w:after="150" w:before="300"/>
      </w:pPr>
      <w:r>
        <w:rPr>
          <w:b/>
          <w:bCs/>
          <w:color w:val="16213e"/>
        </w:rPr>
        <w:t xml:space="preserve">Tools Used</w:t>
      </w:r>
    </w:p>
    <w:p>
      <w:pPr>
        <w:pStyle w:val="ListParagraph"/>
        <w:numPr>
          <w:ilvl w:val="0"/>
          <w:numId w:val="1"/>
        </w:numPr>
        <w:spacing w:after="60"/>
      </w:pPr>
      <w:r>
        <w:rPr>
          <w:sz w:val="21"/>
          <w:szCs w:val="21"/>
        </w:rPr>
        <w:t xml:space="preserve">Postman — API request testing and response inspection</w:t>
      </w:r>
    </w:p>
    <w:p>
      <w:pPr>
        <w:pStyle w:val="ListParagraph"/>
        <w:numPr>
          <w:ilvl w:val="0"/>
          <w:numId w:val="1"/>
        </w:numPr>
        <w:spacing w:after="60"/>
      </w:pPr>
      <w:r>
        <w:rPr>
          <w:sz w:val="21"/>
          <w:szCs w:val="21"/>
        </w:rPr>
        <w:t xml:space="preserve">Manual header and payload analysis</w:t>
      </w:r>
    </w:p>
    <w:p>
      <w:pPr>
        <w:pStyle w:val="Heading2"/>
        <w:spacing w:after="150" w:before="300"/>
      </w:pPr>
      <w:r>
        <w:rPr>
          <w:b/>
          <w:bCs/>
          <w:color w:val="16213e"/>
        </w:rPr>
        <w:t xml:space="preserve">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280"/>
      </w:tblGrid>
      <w:tr>
        <w:tc>
          <w:tcPr>
            <w:tcW w:type="dxa" w:w="4200"/>
            <w:shd w:fill="16213e" w:val="clear"/>
            <w:tcMar>
              <w:top w:type="dxa" w:w="120"/>
              <w:left w:type="dxa" w:w="120"/>
              <w:bottom w:type="dxa" w:w="120"/>
              <w:right w:type="dxa" w:w="120"/>
            </w:tcMar>
            <w:vAlign w:val="center"/>
          </w:tcPr>
          <w:p>
            <w:r>
              <w:rPr>
                <w:b/>
                <w:bCs/>
                <w:color w:val="FFFFFF"/>
                <w:sz w:val="20"/>
                <w:szCs w:val="20"/>
              </w:rPr>
              <w:t xml:space="preserve">Finding</w:t>
            </w:r>
          </w:p>
        </w:tc>
        <w:tc>
          <w:tcPr>
            <w:tcW w:type="dxa" w:w="1600"/>
            <w:shd w:fill="16213e" w:val="clear"/>
            <w:tcMar>
              <w:top w:type="dxa" w:w="120"/>
              <w:left w:type="dxa" w:w="120"/>
              <w:bottom w:type="dxa" w:w="120"/>
              <w:right w:type="dxa" w:w="120"/>
            </w:tcMar>
            <w:vAlign w:val="center"/>
          </w:tcPr>
          <w:p>
            <w:r>
              <w:rPr>
                <w:b/>
                <w:bCs/>
                <w:color w:val="FFFFFF"/>
                <w:sz w:val="20"/>
                <w:szCs w:val="20"/>
              </w:rPr>
              <w:t xml:space="preserve">Risk</w:t>
            </w:r>
          </w:p>
        </w:tc>
        <w:tc>
          <w:tcPr>
            <w:tcW w:type="dxa" w:w="4280"/>
            <w:shd w:fill="16213e" w:val="clear"/>
            <w:tcMar>
              <w:top w:type="dxa" w:w="120"/>
              <w:left w:type="dxa" w:w="120"/>
              <w:bottom w:type="dxa" w:w="120"/>
              <w:right w:type="dxa" w:w="120"/>
            </w:tcMar>
            <w:vAlign w:val="center"/>
          </w:tcPr>
          <w:p>
            <w:r>
              <w:rPr>
                <w:b/>
                <w:bCs/>
                <w:color w:val="FFFFFF"/>
                <w:sz w:val="20"/>
                <w:szCs w:val="20"/>
              </w:rPr>
              <w:t xml:space="preserve">Summary</w:t>
            </w:r>
          </w:p>
        </w:tc>
      </w:tr>
      <w:tr>
        <w:tc>
          <w:tcPr>
            <w:tcW w:type="dxa" w:w="4200"/>
            <w:tcMar>
              <w:top w:type="dxa" w:w="100"/>
              <w:left w:type="dxa" w:w="120"/>
              <w:bottom w:type="dxa" w:w="100"/>
              <w:right w:type="dxa" w:w="120"/>
            </w:tcMar>
            <w:vAlign w:val="center"/>
          </w:tcPr>
          <w:p>
            <w:r>
              <w:rPr>
                <w:b w:val="false"/>
                <w:bCs w:val="false"/>
                <w:sz w:val="19"/>
                <w:szCs w:val="19"/>
              </w:rPr>
              <w:t xml:space="preserve">Broken Authentication — Weak Password Validation</w:t>
            </w:r>
          </w:p>
        </w:tc>
        <w:tc>
          <w:tcPr>
            <w:tcW w:type="dxa" w:w="1600"/>
            <w:shd w:fill="c0392b" w:val="clear"/>
            <w:tcMar>
              <w:top w:type="dxa" w:w="80"/>
              <w:left w:type="dxa" w:w="120"/>
              <w:bottom w:type="dxa" w:w="80"/>
              <w:right w:type="dxa" w:w="120"/>
            </w:tcMar>
            <w:vAlign w:val="center"/>
          </w:tcPr>
          <w:p>
            <w:r>
              <w:rPr>
                <w:b/>
                <w:bCs/>
                <w:color w:val="FFFFFF"/>
                <w:sz w:val="19"/>
                <w:szCs w:val="19"/>
              </w:rPr>
              <w:t xml:space="preserve">HIGH</w:t>
            </w:r>
          </w:p>
        </w:tc>
        <w:tc>
          <w:tcPr>
            <w:tcW w:type="dxa" w:w="4280"/>
            <w:tcMar>
              <w:top w:type="dxa" w:w="100"/>
              <w:left w:type="dxa" w:w="120"/>
              <w:bottom w:type="dxa" w:w="100"/>
              <w:right w:type="dxa" w:w="120"/>
            </w:tcMar>
            <w:vAlign w:val="center"/>
          </w:tcPr>
          <w:p>
            <w:r>
              <w:rPr>
                <w:b w:val="false"/>
                <w:bCs w:val="false"/>
                <w:sz w:val="19"/>
                <w:szCs w:val="19"/>
              </w:rPr>
              <w:t xml:space="preserve">Login succeeds with an incorrect password</w:t>
            </w:r>
          </w:p>
        </w:tc>
      </w:tr>
      <w:tr>
        <w:tc>
          <w:tcPr>
            <w:tcW w:type="dxa" w:w="4200"/>
            <w:tcMar>
              <w:top w:type="dxa" w:w="100"/>
              <w:left w:type="dxa" w:w="120"/>
              <w:bottom w:type="dxa" w:w="100"/>
              <w:right w:type="dxa" w:w="120"/>
            </w:tcMar>
            <w:vAlign w:val="center"/>
          </w:tcPr>
          <w:p>
            <w:r>
              <w:rPr>
                <w:b w:val="false"/>
                <w:bCs w:val="false"/>
                <w:sz w:val="19"/>
                <w:szCs w:val="19"/>
              </w:rPr>
              <w:t xml:space="preserve">User Enumeration via Login Endpoint</w:t>
            </w:r>
          </w:p>
        </w:tc>
        <w:tc>
          <w:tcPr>
            <w:tcW w:type="dxa" w:w="1600"/>
            <w:shd w:fill="c0392b" w:val="clear"/>
            <w:tcMar>
              <w:top w:type="dxa" w:w="80"/>
              <w:left w:type="dxa" w:w="120"/>
              <w:bottom w:type="dxa" w:w="80"/>
              <w:right w:type="dxa" w:w="120"/>
            </w:tcMar>
            <w:vAlign w:val="center"/>
          </w:tcPr>
          <w:p>
            <w:r>
              <w:rPr>
                <w:b/>
                <w:bCs/>
                <w:color w:val="FFFFFF"/>
                <w:sz w:val="19"/>
                <w:szCs w:val="19"/>
              </w:rPr>
              <w:t xml:space="preserve">HIGH</w:t>
            </w:r>
          </w:p>
        </w:tc>
        <w:tc>
          <w:tcPr>
            <w:tcW w:type="dxa" w:w="4280"/>
            <w:tcMar>
              <w:top w:type="dxa" w:w="100"/>
              <w:left w:type="dxa" w:w="120"/>
              <w:bottom w:type="dxa" w:w="100"/>
              <w:right w:type="dxa" w:w="120"/>
            </w:tcMar>
            <w:vAlign w:val="center"/>
          </w:tcPr>
          <w:p>
            <w:r>
              <w:rPr>
                <w:b w:val="false"/>
                <w:bCs w:val="false"/>
                <w:sz w:val="19"/>
                <w:szCs w:val="19"/>
              </w:rPr>
              <w:t xml:space="preserve">Error messages reveal whether an email is registered</w:t>
            </w:r>
          </w:p>
        </w:tc>
      </w:tr>
      <w:tr>
        <w:tc>
          <w:tcPr>
            <w:tcW w:type="dxa" w:w="4200"/>
            <w:tcMar>
              <w:top w:type="dxa" w:w="100"/>
              <w:left w:type="dxa" w:w="120"/>
              <w:bottom w:type="dxa" w:w="100"/>
              <w:right w:type="dxa" w:w="120"/>
            </w:tcMar>
            <w:vAlign w:val="center"/>
          </w:tcPr>
          <w:p>
            <w:r>
              <w:rPr>
                <w:b w:val="false"/>
                <w:bCs w:val="false"/>
                <w:sz w:val="19"/>
                <w:szCs w:val="19"/>
              </w:rPr>
              <w:t xml:space="preserve">Permissive CORS Policy (Wildcard Origin)</w:t>
            </w:r>
          </w:p>
        </w:tc>
        <w:tc>
          <w:tcPr>
            <w:tcW w:type="dxa" w:w="1600"/>
            <w:shd w:fill="e67e22" w:val="clear"/>
            <w:tcMar>
              <w:top w:type="dxa" w:w="80"/>
              <w:left w:type="dxa" w:w="120"/>
              <w:bottom w:type="dxa" w:w="80"/>
              <w:right w:type="dxa" w:w="120"/>
            </w:tcMar>
            <w:vAlign w:val="center"/>
          </w:tcPr>
          <w:p>
            <w:r>
              <w:rPr>
                <w:b/>
                <w:bCs/>
                <w:color w:val="FFFFFF"/>
                <w:sz w:val="19"/>
                <w:szCs w:val="19"/>
              </w:rPr>
              <w:t xml:space="preserve">LOW</w:t>
            </w:r>
          </w:p>
        </w:tc>
        <w:tc>
          <w:tcPr>
            <w:tcW w:type="dxa" w:w="4280"/>
            <w:tcMar>
              <w:top w:type="dxa" w:w="100"/>
              <w:left w:type="dxa" w:w="120"/>
              <w:bottom w:type="dxa" w:w="100"/>
              <w:right w:type="dxa" w:w="120"/>
            </w:tcMar>
            <w:vAlign w:val="center"/>
          </w:tcPr>
          <w:p>
            <w:r>
              <w:rPr>
                <w:b w:val="false"/>
                <w:bCs w:val="false"/>
                <w:sz w:val="19"/>
                <w:szCs w:val="19"/>
              </w:rPr>
              <w:t xml:space="preserve">Any website can read API responses cross-origin</w:t>
            </w:r>
          </w:p>
        </w:tc>
      </w:tr>
      <w:tr>
        <w:tc>
          <w:tcPr>
            <w:tcW w:type="dxa" w:w="4200"/>
            <w:tcMar>
              <w:top w:type="dxa" w:w="100"/>
              <w:left w:type="dxa" w:w="120"/>
              <w:bottom w:type="dxa" w:w="100"/>
              <w:right w:type="dxa" w:w="120"/>
            </w:tcMar>
            <w:vAlign w:val="center"/>
          </w:tcPr>
          <w:p>
            <w:r>
              <w:rPr>
                <w:b w:val="false"/>
                <w:bCs w:val="false"/>
                <w:sz w:val="19"/>
                <w:szCs w:val="19"/>
              </w:rPr>
              <w:t xml:space="preserve">Server/Framework Disclosure in Headers</w:t>
            </w:r>
          </w:p>
        </w:tc>
        <w:tc>
          <w:tcPr>
            <w:tcW w:type="dxa" w:w="1600"/>
            <w:shd w:fill="e67e22" w:val="clear"/>
            <w:tcMar>
              <w:top w:type="dxa" w:w="80"/>
              <w:left w:type="dxa" w:w="120"/>
              <w:bottom w:type="dxa" w:w="80"/>
              <w:right w:type="dxa" w:w="120"/>
            </w:tcMar>
            <w:vAlign w:val="center"/>
          </w:tcPr>
          <w:p>
            <w:r>
              <w:rPr>
                <w:b/>
                <w:bCs/>
                <w:color w:val="FFFFFF"/>
                <w:sz w:val="19"/>
                <w:szCs w:val="19"/>
              </w:rPr>
              <w:t xml:space="preserve">LOW</w:t>
            </w:r>
          </w:p>
        </w:tc>
        <w:tc>
          <w:tcPr>
            <w:tcW w:type="dxa" w:w="4280"/>
            <w:tcMar>
              <w:top w:type="dxa" w:w="100"/>
              <w:left w:type="dxa" w:w="120"/>
              <w:bottom w:type="dxa" w:w="100"/>
              <w:right w:type="dxa" w:w="120"/>
            </w:tcMar>
            <w:vAlign w:val="center"/>
          </w:tcPr>
          <w:p>
            <w:r>
              <w:rPr>
                <w:b w:val="false"/>
                <w:bCs w:val="false"/>
                <w:sz w:val="19"/>
                <w:szCs w:val="19"/>
              </w:rPr>
              <w:t xml:space="preserve">x-powered-by header reveals backend platform</w:t>
            </w:r>
          </w:p>
        </w:tc>
      </w:tr>
      <w:tr>
        <w:tc>
          <w:tcPr>
            <w:tcW w:type="dxa" w:w="4200"/>
            <w:tcMar>
              <w:top w:type="dxa" w:w="100"/>
              <w:left w:type="dxa" w:w="120"/>
              <w:bottom w:type="dxa" w:w="100"/>
              <w:right w:type="dxa" w:w="120"/>
            </w:tcMar>
            <w:vAlign w:val="center"/>
          </w:tcPr>
          <w:p>
            <w:r>
              <w:rPr>
                <w:b w:val="false"/>
                <w:bCs w:val="false"/>
                <w:sz w:val="19"/>
                <w:szCs w:val="19"/>
              </w:rPr>
              <w:t xml:space="preserve">Rate Limiting Enforced</w:t>
            </w:r>
          </w:p>
        </w:tc>
        <w:tc>
          <w:tcPr>
            <w:tcW w:type="dxa" w:w="1600"/>
            <w:shd w:fill="27824a" w:val="clear"/>
            <w:tcMar>
              <w:top w:type="dxa" w:w="80"/>
              <w:left w:type="dxa" w:w="120"/>
              <w:bottom w:type="dxa" w:w="80"/>
              <w:right w:type="dxa" w:w="120"/>
            </w:tcMar>
            <w:vAlign w:val="center"/>
          </w:tcPr>
          <w:p>
            <w:r>
              <w:rPr>
                <w:b/>
                <w:bCs/>
                <w:color w:val="FFFFFF"/>
                <w:sz w:val="19"/>
                <w:szCs w:val="19"/>
              </w:rPr>
              <w:t xml:space="preserve">POSITIVE</w:t>
            </w:r>
          </w:p>
        </w:tc>
        <w:tc>
          <w:tcPr>
            <w:tcW w:type="dxa" w:w="4280"/>
            <w:tcMar>
              <w:top w:type="dxa" w:w="100"/>
              <w:left w:type="dxa" w:w="120"/>
              <w:bottom w:type="dxa" w:w="100"/>
              <w:right w:type="dxa" w:w="120"/>
            </w:tcMar>
            <w:vAlign w:val="center"/>
          </w:tcPr>
          <w:p>
            <w:r>
              <w:rPr>
                <w:b w:val="false"/>
                <w:bCs w:val="false"/>
                <w:sz w:val="19"/>
                <w:szCs w:val="19"/>
              </w:rPr>
              <w:t xml:space="preserve">Requests capped via ratelimit headers — good practice</w:t>
            </w:r>
          </w:p>
        </w:tc>
      </w:tr>
      <w:tr>
        <w:tc>
          <w:tcPr>
            <w:tcW w:type="dxa" w:w="4200"/>
            <w:tcMar>
              <w:top w:type="dxa" w:w="100"/>
              <w:left w:type="dxa" w:w="120"/>
              <w:bottom w:type="dxa" w:w="100"/>
              <w:right w:type="dxa" w:w="120"/>
            </w:tcMar>
            <w:vAlign w:val="center"/>
          </w:tcPr>
          <w:p>
            <w:r>
              <w:rPr>
                <w:b w:val="false"/>
                <w:bCs w:val="false"/>
                <w:sz w:val="19"/>
                <w:szCs w:val="19"/>
              </w:rPr>
              <w:t xml:space="preserve">Clean 404 Error Handling</w:t>
            </w:r>
          </w:p>
        </w:tc>
        <w:tc>
          <w:tcPr>
            <w:tcW w:type="dxa" w:w="1600"/>
            <w:shd w:fill="27824a" w:val="clear"/>
            <w:tcMar>
              <w:top w:type="dxa" w:w="80"/>
              <w:left w:type="dxa" w:w="120"/>
              <w:bottom w:type="dxa" w:w="80"/>
              <w:right w:type="dxa" w:w="120"/>
            </w:tcMar>
            <w:vAlign w:val="center"/>
          </w:tcPr>
          <w:p>
            <w:r>
              <w:rPr>
                <w:b/>
                <w:bCs/>
                <w:color w:val="FFFFFF"/>
                <w:sz w:val="19"/>
                <w:szCs w:val="19"/>
              </w:rPr>
              <w:t xml:space="preserve">POSITIVE</w:t>
            </w:r>
          </w:p>
        </w:tc>
        <w:tc>
          <w:tcPr>
            <w:tcW w:type="dxa" w:w="4280"/>
            <w:tcMar>
              <w:top w:type="dxa" w:w="100"/>
              <w:left w:type="dxa" w:w="120"/>
              <w:bottom w:type="dxa" w:w="100"/>
              <w:right w:type="dxa" w:w="120"/>
            </w:tcMar>
            <w:vAlign w:val="center"/>
          </w:tcPr>
          <w:p>
            <w:r>
              <w:rPr>
                <w:b w:val="false"/>
                <w:bCs w:val="false"/>
                <w:sz w:val="19"/>
                <w:szCs w:val="19"/>
              </w:rPr>
              <w:t xml:space="preserve">No internal details leaked on invalid resource requests</w:t>
            </w:r>
          </w:p>
        </w:tc>
      </w:tr>
    </w:tbl>
    <w:p>
      <w:r>
        <w:br w:type="page"/>
      </w:r>
    </w:p>
    <w:p>
      <w:pPr>
        <w:pStyle w:val="Heading1"/>
        <w:spacing w:after="200"/>
      </w:pPr>
      <w:r>
        <w:rPr>
          <w:b/>
          <w:bCs/>
          <w:color w:val="16213e"/>
        </w:rPr>
        <w:t xml:space="preserve">Detailed Findings</w:t>
      </w:r>
    </w:p>
    <w:p>
      <w:pPr>
        <w:pStyle w:val="Heading2"/>
        <w:spacing w:after="150" w:before="300"/>
      </w:pPr>
      <w:r>
        <w:rPr>
          <w:b/>
          <w:bCs/>
          <w:color w:val="16213e"/>
        </w:rPr>
        <w:t xml:space="preserve">1. Broken Authentication — Weak Password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Risk Level</w:t>
            </w:r>
          </w:p>
        </w:tc>
        <w:tc>
          <w:tcPr>
            <w:tcW w:type="dxa" w:w="8280"/>
            <w:shd w:fill="c0392b" w:val="clear"/>
            <w:tcMar>
              <w:top w:type="dxa" w:w="80"/>
              <w:left w:type="dxa" w:w="120"/>
              <w:bottom w:type="dxa" w:w="80"/>
              <w:right w:type="dxa" w:w="120"/>
            </w:tcMar>
            <w:vAlign w:val="center"/>
          </w:tcPr>
          <w:p>
            <w:r>
              <w:rPr>
                <w:b/>
                <w:bCs/>
                <w:color w:val="FFFFFF"/>
                <w:sz w:val="19"/>
                <w:szCs w:val="19"/>
              </w:rPr>
              <w:t xml:space="preserve">HIGH</w:t>
            </w:r>
          </w:p>
        </w:tc>
      </w:tr>
      <w:tr>
        <w:tc>
          <w:tcPr>
            <w:tcW w:type="dxa" w:w="1800"/>
            <w:tcMar>
              <w:top w:type="dxa" w:w="100"/>
              <w:left w:type="dxa" w:w="120"/>
              <w:bottom w:type="dxa" w:w="100"/>
              <w:right w:type="dxa" w:w="120"/>
            </w:tcMar>
            <w:vAlign w:val="center"/>
          </w:tcPr>
          <w:p>
            <w:r>
              <w:rPr>
                <w:b/>
                <w:bCs/>
                <w:sz w:val="19"/>
                <w:szCs w:val="19"/>
              </w:rPr>
              <w:t xml:space="preserve">Endpoint</w:t>
            </w:r>
          </w:p>
        </w:tc>
        <w:tc>
          <w:tcPr>
            <w:tcW w:type="dxa" w:w="8280"/>
            <w:tcMar>
              <w:top w:type="dxa" w:w="100"/>
              <w:left w:type="dxa" w:w="120"/>
              <w:bottom w:type="dxa" w:w="100"/>
              <w:right w:type="dxa" w:w="120"/>
            </w:tcMar>
            <w:vAlign w:val="center"/>
          </w:tcPr>
          <w:p>
            <w:r>
              <w:rPr>
                <w:b w:val="false"/>
                <w:bCs w:val="false"/>
                <w:sz w:val="19"/>
                <w:szCs w:val="19"/>
              </w:rPr>
              <w:t xml:space="preserve">https://reqres.in/api/login</w:t>
            </w:r>
          </w:p>
        </w:tc>
      </w:tr>
      <w:tr>
        <w:tc>
          <w:tcPr>
            <w:tcW w:type="dxa" w:w="1800"/>
            <w:tcMar>
              <w:top w:type="dxa" w:w="100"/>
              <w:left w:type="dxa" w:w="120"/>
              <w:bottom w:type="dxa" w:w="100"/>
              <w:right w:type="dxa" w:w="120"/>
            </w:tcMar>
            <w:vAlign w:val="center"/>
          </w:tcPr>
          <w:p>
            <w:r>
              <w:rPr>
                <w:b/>
                <w:bCs/>
                <w:sz w:val="19"/>
                <w:szCs w:val="19"/>
              </w:rPr>
              <w:t xml:space="preserve">Method</w:t>
            </w:r>
          </w:p>
        </w:tc>
        <w:tc>
          <w:tcPr>
            <w:tcW w:type="dxa" w:w="8280"/>
            <w:tcMar>
              <w:top w:type="dxa" w:w="100"/>
              <w:left w:type="dxa" w:w="120"/>
              <w:bottom w:type="dxa" w:w="100"/>
              <w:right w:type="dxa" w:w="120"/>
            </w:tcMar>
            <w:vAlign w:val="center"/>
          </w:tcPr>
          <w:p>
            <w:r>
              <w:rPr>
                <w:b w:val="false"/>
                <w:bCs w:val="false"/>
                <w:sz w:val="19"/>
                <w:szCs w:val="19"/>
              </w:rPr>
              <w:t xml:space="preserve">POST</w:t>
            </w:r>
          </w:p>
        </w:tc>
      </w:tr>
      <w:tr>
        <w:tc>
          <w:tcPr>
            <w:tcW w:type="dxa" w:w="1800"/>
            <w:tcMar>
              <w:top w:type="dxa" w:w="100"/>
              <w:left w:type="dxa" w:w="120"/>
              <w:bottom w:type="dxa" w:w="100"/>
              <w:right w:type="dxa" w:w="120"/>
            </w:tcMar>
            <w:vAlign w:val="center"/>
          </w:tcPr>
          <w:p>
            <w:r>
              <w:rPr>
                <w:b/>
                <w:bCs/>
                <w:sz w:val="19"/>
                <w:szCs w:val="19"/>
              </w:rPr>
              <w:t xml:space="preserve">Evidence</w:t>
            </w:r>
          </w:p>
        </w:tc>
        <w:tc>
          <w:tcPr>
            <w:tcW w:type="dxa" w:w="8280"/>
            <w:tcMar>
              <w:top w:type="dxa" w:w="100"/>
              <w:left w:type="dxa" w:w="120"/>
              <w:bottom w:type="dxa" w:w="100"/>
              <w:right w:type="dxa" w:w="120"/>
            </w:tcMar>
            <w:vAlign w:val="center"/>
          </w:tcPr>
          <w:p>
            <w:r>
              <w:rPr>
                <w:b w:val="false"/>
                <w:bCs w:val="false"/>
                <w:sz w:val="19"/>
                <w:szCs w:val="19"/>
              </w:rPr>
              <w:t xml:space="preserve">Request: {"email": "eve.holt@reqres.in", "password": "wrongpass123"}  →  Response: 200 OK with a valid token</w:t>
            </w:r>
          </w:p>
        </w:tc>
      </w:tr>
    </w:tbl>
    <w:p>
      <w:pPr>
        <w:spacing w:after="80" w:before="200"/>
      </w:pPr>
      <w:r>
        <w:rPr>
          <w:b/>
          <w:bCs/>
          <w:color w:val="0f3460"/>
          <w:sz w:val="21"/>
          <w:szCs w:val="21"/>
        </w:rPr>
        <w:t xml:space="preserve">What This Means</w:t>
      </w:r>
    </w:p>
    <w:p>
      <w:pPr>
        <w:spacing w:after="160"/>
      </w:pPr>
      <w:r>
        <w:rPr>
          <w:sz w:val="20"/>
          <w:szCs w:val="20"/>
        </w:rPr>
        <w:t xml:space="preserve">A login request was sent using a known valid email address but a deliberately incorrect password. Instead of rejecting the request, the API returned a successful 200 OK response along with a valid authentication token — as if the password had been correct.</w:t>
      </w:r>
    </w:p>
    <w:p>
      <w:pPr>
        <w:spacing w:after="80"/>
      </w:pPr>
      <w:r>
        <w:rPr>
          <w:b/>
          <w:bCs/>
          <w:color w:val="0f3460"/>
          <w:sz w:val="21"/>
          <w:szCs w:val="21"/>
        </w:rPr>
        <w:t xml:space="preserve">Business Impact</w:t>
      </w:r>
    </w:p>
    <w:p>
      <w:pPr>
        <w:spacing w:after="160"/>
      </w:pPr>
      <w:r>
        <w:rPr>
          <w:sz w:val="20"/>
          <w:szCs w:val="20"/>
        </w:rPr>
        <w:t xml:space="preserve">If a production system behaved this way, an attacker would not need to know a user's actual password at all to obtain a valid session token — completely defeating the purpose of authentication. This would allow full account takeover for any known or guessed email address.</w:t>
      </w:r>
    </w:p>
    <w:p>
      <w:pPr>
        <w:spacing w:after="80"/>
      </w:pPr>
      <w:r>
        <w:rPr>
          <w:b/>
          <w:bCs/>
          <w:color w:val="0f3460"/>
          <w:sz w:val="21"/>
          <w:szCs w:val="21"/>
        </w:rPr>
        <w:t xml:space="preserve">Recommended Fix</w:t>
      </w:r>
    </w:p>
    <w:p>
      <w:pPr>
        <w:pStyle w:val="ListParagraph"/>
        <w:numPr>
          <w:ilvl w:val="0"/>
          <w:numId w:val="1"/>
        </w:numPr>
        <w:spacing w:after="70"/>
      </w:pPr>
      <w:r>
        <w:rPr>
          <w:sz w:val="20"/>
          <w:szCs w:val="20"/>
        </w:rPr>
        <w:t xml:space="preserve">Ensure the authentication service validates the password against the stored (hashed) credential before issuing any token.</w:t>
      </w:r>
    </w:p>
    <w:p>
      <w:pPr>
        <w:pStyle w:val="ListParagraph"/>
        <w:numPr>
          <w:ilvl w:val="0"/>
          <w:numId w:val="1"/>
        </w:numPr>
        <w:spacing w:after="70"/>
      </w:pPr>
      <w:r>
        <w:rPr>
          <w:sz w:val="20"/>
          <w:szCs w:val="20"/>
        </w:rPr>
        <w:t xml:space="preserve">Add automated tests that assert login fails with a 401/403 status for any incorrect password.</w:t>
      </w:r>
    </w:p>
    <w:p>
      <w:pPr>
        <w:pStyle w:val="ListParagraph"/>
        <w:numPr>
          <w:ilvl w:val="0"/>
          <w:numId w:val="1"/>
        </w:numPr>
        <w:spacing w:after="70"/>
      </w:pPr>
      <w:r>
        <w:rPr>
          <w:sz w:val="20"/>
          <w:szCs w:val="20"/>
        </w:rPr>
        <w:t xml:space="preserve">Log and alert on repeated failed login attempts as part of monitoring.</w:t>
      </w:r>
    </w:p>
    <w:p>
      <w:pPr>
        <w:spacing w:after="80" w:before="160"/>
      </w:pPr>
      <w:r>
        <w:rPr>
          <w:b/>
          <w:bCs/>
          <w:i/>
          <w:iCs/>
          <w:color w:val="5f6368"/>
          <w:sz w:val="18"/>
          <w:szCs w:val="18"/>
        </w:rPr>
        <w:t xml:space="preserve">Evidence Screenshot(s)</w:t>
      </w:r>
    </w:p>
    <w:p>
      <w:pPr>
        <w:spacing w:after="200" w:before="100"/>
      </w:pPr>
      <w:r>
        <w:drawing>
          <wp:inline distT="0" distB="0" distL="0" distR="0">
            <wp:extent cx="5334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00550"/>
                    </a:xfrm>
                    <a:prstGeom prst="rect">
                      <a:avLst/>
                    </a:prstGeom>
                  </pic:spPr>
                </pic:pic>
              </a:graphicData>
            </a:graphic>
          </wp:inline>
        </w:drawing>
      </w:r>
    </w:p>
    <w:p>
      <w:pPr>
        <w:pStyle w:val="Heading2"/>
        <w:spacing w:after="150" w:before="300"/>
      </w:pPr>
      <w:r>
        <w:rPr>
          <w:b/>
          <w:bCs/>
          <w:color w:val="16213e"/>
        </w:rPr>
        <w:t xml:space="preserve">2. User Enumeration via Login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Risk Level</w:t>
            </w:r>
          </w:p>
        </w:tc>
        <w:tc>
          <w:tcPr>
            <w:tcW w:type="dxa" w:w="8280"/>
            <w:shd w:fill="c0392b" w:val="clear"/>
            <w:tcMar>
              <w:top w:type="dxa" w:w="80"/>
              <w:left w:type="dxa" w:w="120"/>
              <w:bottom w:type="dxa" w:w="80"/>
              <w:right w:type="dxa" w:w="120"/>
            </w:tcMar>
            <w:vAlign w:val="center"/>
          </w:tcPr>
          <w:p>
            <w:r>
              <w:rPr>
                <w:b/>
                <w:bCs/>
                <w:color w:val="FFFFFF"/>
                <w:sz w:val="19"/>
                <w:szCs w:val="19"/>
              </w:rPr>
              <w:t xml:space="preserve">HIGH</w:t>
            </w:r>
          </w:p>
        </w:tc>
      </w:tr>
      <w:tr>
        <w:tc>
          <w:tcPr>
            <w:tcW w:type="dxa" w:w="1800"/>
            <w:tcMar>
              <w:top w:type="dxa" w:w="100"/>
              <w:left w:type="dxa" w:w="120"/>
              <w:bottom w:type="dxa" w:w="100"/>
              <w:right w:type="dxa" w:w="120"/>
            </w:tcMar>
            <w:vAlign w:val="center"/>
          </w:tcPr>
          <w:p>
            <w:r>
              <w:rPr>
                <w:b/>
                <w:bCs/>
                <w:sz w:val="19"/>
                <w:szCs w:val="19"/>
              </w:rPr>
              <w:t xml:space="preserve">Endpoint</w:t>
            </w:r>
          </w:p>
        </w:tc>
        <w:tc>
          <w:tcPr>
            <w:tcW w:type="dxa" w:w="8280"/>
            <w:tcMar>
              <w:top w:type="dxa" w:w="100"/>
              <w:left w:type="dxa" w:w="120"/>
              <w:bottom w:type="dxa" w:w="100"/>
              <w:right w:type="dxa" w:w="120"/>
            </w:tcMar>
            <w:vAlign w:val="center"/>
          </w:tcPr>
          <w:p>
            <w:r>
              <w:rPr>
                <w:b w:val="false"/>
                <w:bCs w:val="false"/>
                <w:sz w:val="19"/>
                <w:szCs w:val="19"/>
              </w:rPr>
              <w:t xml:space="preserve">https://reqres.in/api/login</w:t>
            </w:r>
          </w:p>
        </w:tc>
      </w:tr>
      <w:tr>
        <w:tc>
          <w:tcPr>
            <w:tcW w:type="dxa" w:w="1800"/>
            <w:tcMar>
              <w:top w:type="dxa" w:w="100"/>
              <w:left w:type="dxa" w:w="120"/>
              <w:bottom w:type="dxa" w:w="100"/>
              <w:right w:type="dxa" w:w="120"/>
            </w:tcMar>
            <w:vAlign w:val="center"/>
          </w:tcPr>
          <w:p>
            <w:r>
              <w:rPr>
                <w:b/>
                <w:bCs/>
                <w:sz w:val="19"/>
                <w:szCs w:val="19"/>
              </w:rPr>
              <w:t xml:space="preserve">Method</w:t>
            </w:r>
          </w:p>
        </w:tc>
        <w:tc>
          <w:tcPr>
            <w:tcW w:type="dxa" w:w="8280"/>
            <w:tcMar>
              <w:top w:type="dxa" w:w="100"/>
              <w:left w:type="dxa" w:w="120"/>
              <w:bottom w:type="dxa" w:w="100"/>
              <w:right w:type="dxa" w:w="120"/>
            </w:tcMar>
            <w:vAlign w:val="center"/>
          </w:tcPr>
          <w:p>
            <w:r>
              <w:rPr>
                <w:b w:val="false"/>
                <w:bCs w:val="false"/>
                <w:sz w:val="19"/>
                <w:szCs w:val="19"/>
              </w:rPr>
              <w:t xml:space="preserve">POST</w:t>
            </w:r>
          </w:p>
        </w:tc>
      </w:tr>
      <w:tr>
        <w:tc>
          <w:tcPr>
            <w:tcW w:type="dxa" w:w="1800"/>
            <w:tcMar>
              <w:top w:type="dxa" w:w="100"/>
              <w:left w:type="dxa" w:w="120"/>
              <w:bottom w:type="dxa" w:w="100"/>
              <w:right w:type="dxa" w:w="120"/>
            </w:tcMar>
            <w:vAlign w:val="center"/>
          </w:tcPr>
          <w:p>
            <w:r>
              <w:rPr>
                <w:b/>
                <w:bCs/>
                <w:sz w:val="19"/>
                <w:szCs w:val="19"/>
              </w:rPr>
              <w:t xml:space="preserve">Evidence</w:t>
            </w:r>
          </w:p>
        </w:tc>
        <w:tc>
          <w:tcPr>
            <w:tcW w:type="dxa" w:w="8280"/>
            <w:tcMar>
              <w:top w:type="dxa" w:w="100"/>
              <w:left w:type="dxa" w:w="120"/>
              <w:bottom w:type="dxa" w:w="100"/>
              <w:right w:type="dxa" w:w="120"/>
            </w:tcMar>
            <w:vAlign w:val="center"/>
          </w:tcPr>
          <w:p>
            <w:r>
              <w:rPr>
                <w:b w:val="false"/>
                <w:bCs w:val="false"/>
                <w:sz w:val="19"/>
                <w:szCs w:val="19"/>
              </w:rPr>
              <w:t xml:space="preserve">Registered email + wrong password → 200 OK with token.  Unregistered email → 400 Bad Request, "error": "user not found"</w:t>
            </w:r>
          </w:p>
        </w:tc>
      </w:tr>
    </w:tbl>
    <w:p>
      <w:pPr>
        <w:spacing w:after="80" w:before="200"/>
      </w:pPr>
      <w:r>
        <w:rPr>
          <w:b/>
          <w:bCs/>
          <w:color w:val="0f3460"/>
          <w:sz w:val="21"/>
          <w:szCs w:val="21"/>
        </w:rPr>
        <w:t xml:space="preserve">What This Means</w:t>
      </w:r>
    </w:p>
    <w:p>
      <w:pPr>
        <w:spacing w:after="160"/>
      </w:pPr>
      <w:r>
        <w:rPr>
          <w:sz w:val="20"/>
          <w:szCs w:val="20"/>
        </w:rPr>
        <w:t xml:space="preserve">The login endpoint returns two distinctly different responses depending on whether the submitted email exists in the system, regardless of the password supplied. A registered email always succeeds; an unregistered one is explicitly told "user not found."</w:t>
      </w:r>
    </w:p>
    <w:p>
      <w:pPr>
        <w:spacing w:after="80"/>
      </w:pPr>
      <w:r>
        <w:rPr>
          <w:b/>
          <w:bCs/>
          <w:color w:val="0f3460"/>
          <w:sz w:val="21"/>
          <w:szCs w:val="21"/>
        </w:rPr>
        <w:t xml:space="preserve">Business Impact</w:t>
      </w:r>
    </w:p>
    <w:p>
      <w:pPr>
        <w:spacing w:after="160"/>
      </w:pPr>
      <w:r>
        <w:rPr>
          <w:sz w:val="20"/>
          <w:szCs w:val="20"/>
        </w:rPr>
        <w:t xml:space="preserve">An attacker can use this difference to systematically test large lists of email addresses and build a confirmed list of valid, registered accounts — without ever needing a correct password. This list can then be used for targeted phishing or credential-stuffing attacks against confirmed real accounts.</w:t>
      </w:r>
    </w:p>
    <w:p>
      <w:pPr>
        <w:spacing w:after="80"/>
      </w:pPr>
      <w:r>
        <w:rPr>
          <w:b/>
          <w:bCs/>
          <w:color w:val="0f3460"/>
          <w:sz w:val="21"/>
          <w:szCs w:val="21"/>
        </w:rPr>
        <w:t xml:space="preserve">Recommended Fix</w:t>
      </w:r>
    </w:p>
    <w:p>
      <w:pPr>
        <w:pStyle w:val="ListParagraph"/>
        <w:numPr>
          <w:ilvl w:val="0"/>
          <w:numId w:val="1"/>
        </w:numPr>
        <w:spacing w:after="70"/>
      </w:pPr>
      <w:r>
        <w:rPr>
          <w:sz w:val="20"/>
          <w:szCs w:val="20"/>
        </w:rPr>
        <w:t xml:space="preserve">Return the same generic error message (e.g. "Invalid email or password") regardless of whether the email or the password was the issue.</w:t>
      </w:r>
    </w:p>
    <w:p>
      <w:pPr>
        <w:pStyle w:val="ListParagraph"/>
        <w:numPr>
          <w:ilvl w:val="0"/>
          <w:numId w:val="1"/>
        </w:numPr>
        <w:spacing w:after="70"/>
      </w:pPr>
      <w:r>
        <w:rPr>
          <w:sz w:val="20"/>
          <w:szCs w:val="20"/>
        </w:rPr>
        <w:t xml:space="preserve">Ensure response time is also consistent between the two cases, as timing differences can leak the same information.</w:t>
      </w:r>
    </w:p>
    <w:p>
      <w:pPr>
        <w:pStyle w:val="ListParagraph"/>
        <w:numPr>
          <w:ilvl w:val="0"/>
          <w:numId w:val="1"/>
        </w:numPr>
        <w:spacing w:after="70"/>
      </w:pPr>
      <w:r>
        <w:rPr>
          <w:sz w:val="20"/>
          <w:szCs w:val="20"/>
        </w:rPr>
        <w:t xml:space="preserve">Rate-limit and monitor login attempts per IP/account to slow down enumeration attempts.</w:t>
      </w:r>
    </w:p>
    <w:p>
      <w:pPr>
        <w:spacing w:after="80" w:before="160"/>
      </w:pPr>
      <w:r>
        <w:rPr>
          <w:b/>
          <w:bCs/>
          <w:i/>
          <w:iCs/>
          <w:color w:val="5f6368"/>
          <w:sz w:val="18"/>
          <w:szCs w:val="18"/>
        </w:rPr>
        <w:t xml:space="preserve">Evidence Screenshot(s)</w:t>
      </w:r>
    </w:p>
    <w:p>
      <w:pPr>
        <w:spacing w:after="200" w:before="100"/>
      </w:pPr>
      <w:r>
        <w:drawing>
          <wp:inline distT="0" distB="0" distL="0" distR="0">
            <wp:extent cx="5334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00550"/>
                    </a:xfrm>
                    <a:prstGeom prst="rect">
                      <a:avLst/>
                    </a:prstGeom>
                  </pic:spPr>
                </pic:pic>
              </a:graphicData>
            </a:graphic>
          </wp:inline>
        </w:drawing>
      </w:r>
    </w:p>
    <w:p>
      <w:pPr>
        <w:spacing w:after="200" w:before="100"/>
      </w:pPr>
      <w:r>
        <w:drawing>
          <wp:inline distT="0" distB="0" distL="0" distR="0">
            <wp:extent cx="5334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00550"/>
                    </a:xfrm>
                    <a:prstGeom prst="rect">
                      <a:avLst/>
                    </a:prstGeom>
                  </pic:spPr>
                </pic:pic>
              </a:graphicData>
            </a:graphic>
          </wp:inline>
        </w:drawing>
      </w:r>
    </w:p>
    <w:p>
      <w:pPr>
        <w:pStyle w:val="Heading2"/>
        <w:spacing w:after="150" w:before="300"/>
      </w:pPr>
      <w:r>
        <w:rPr>
          <w:b/>
          <w:bCs/>
          <w:color w:val="16213e"/>
        </w:rPr>
        <w:t xml:space="preserve">3. Permissive CORS Policy (Wildcard Origin)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Risk Level</w:t>
            </w:r>
          </w:p>
        </w:tc>
        <w:tc>
          <w:tcPr>
            <w:tcW w:type="dxa" w:w="8280"/>
            <w:shd w:fill="e67e22" w:val="clear"/>
            <w:tcMar>
              <w:top w:type="dxa" w:w="80"/>
              <w:left w:type="dxa" w:w="120"/>
              <w:bottom w:type="dxa" w:w="80"/>
              <w:right w:type="dxa" w:w="120"/>
            </w:tcMar>
            <w:vAlign w:val="center"/>
          </w:tcPr>
          <w:p>
            <w:r>
              <w:rPr>
                <w:b/>
                <w:bCs/>
                <w:color w:val="FFFFFF"/>
                <w:sz w:val="19"/>
                <w:szCs w:val="19"/>
              </w:rPr>
              <w:t xml:space="preserve">LOW</w:t>
            </w:r>
          </w:p>
        </w:tc>
      </w:tr>
      <w:tr>
        <w:tc>
          <w:tcPr>
            <w:tcW w:type="dxa" w:w="1800"/>
            <w:tcMar>
              <w:top w:type="dxa" w:w="100"/>
              <w:left w:type="dxa" w:w="120"/>
              <w:bottom w:type="dxa" w:w="100"/>
              <w:right w:type="dxa" w:w="120"/>
            </w:tcMar>
            <w:vAlign w:val="center"/>
          </w:tcPr>
          <w:p>
            <w:r>
              <w:rPr>
                <w:b/>
                <w:bCs/>
                <w:sz w:val="19"/>
                <w:szCs w:val="19"/>
              </w:rPr>
              <w:t xml:space="preserve">Endpoint</w:t>
            </w:r>
          </w:p>
        </w:tc>
        <w:tc>
          <w:tcPr>
            <w:tcW w:type="dxa" w:w="8280"/>
            <w:tcMar>
              <w:top w:type="dxa" w:w="100"/>
              <w:left w:type="dxa" w:w="120"/>
              <w:bottom w:type="dxa" w:w="100"/>
              <w:right w:type="dxa" w:w="120"/>
            </w:tcMar>
            <w:vAlign w:val="center"/>
          </w:tcPr>
          <w:p>
            <w:r>
              <w:rPr>
                <w:b w:val="false"/>
                <w:bCs w:val="false"/>
                <w:sz w:val="19"/>
                <w:szCs w:val="19"/>
              </w:rPr>
              <w:t xml:space="preserve">https://reqres.in/api/users (site-wide)</w:t>
            </w:r>
          </w:p>
        </w:tc>
      </w:tr>
      <w:tr>
        <w:tc>
          <w:tcPr>
            <w:tcW w:type="dxa" w:w="1800"/>
            <w:tcMar>
              <w:top w:type="dxa" w:w="100"/>
              <w:left w:type="dxa" w:w="120"/>
              <w:bottom w:type="dxa" w:w="100"/>
              <w:right w:type="dxa" w:w="120"/>
            </w:tcMar>
            <w:vAlign w:val="center"/>
          </w:tcPr>
          <w:p>
            <w:r>
              <w:rPr>
                <w:b/>
                <w:bCs/>
                <w:sz w:val="19"/>
                <w:szCs w:val="19"/>
              </w:rPr>
              <w:t xml:space="preserve">Method</w:t>
            </w:r>
          </w:p>
        </w:tc>
        <w:tc>
          <w:tcPr>
            <w:tcW w:type="dxa" w:w="8280"/>
            <w:tcMar>
              <w:top w:type="dxa" w:w="100"/>
              <w:left w:type="dxa" w:w="120"/>
              <w:bottom w:type="dxa" w:w="100"/>
              <w:right w:type="dxa" w:w="120"/>
            </w:tcMar>
            <w:vAlign w:val="center"/>
          </w:tcPr>
          <w:p>
            <w:r>
              <w:rPr>
                <w:b w:val="false"/>
                <w:bCs w:val="false"/>
                <w:sz w:val="19"/>
                <w:szCs w:val="19"/>
              </w:rPr>
              <w:t xml:space="preserve">GET</w:t>
            </w:r>
          </w:p>
        </w:tc>
      </w:tr>
      <w:tr>
        <w:tc>
          <w:tcPr>
            <w:tcW w:type="dxa" w:w="1800"/>
            <w:tcMar>
              <w:top w:type="dxa" w:w="100"/>
              <w:left w:type="dxa" w:w="120"/>
              <w:bottom w:type="dxa" w:w="100"/>
              <w:right w:type="dxa" w:w="120"/>
            </w:tcMar>
            <w:vAlign w:val="center"/>
          </w:tcPr>
          <w:p>
            <w:r>
              <w:rPr>
                <w:b/>
                <w:bCs/>
                <w:sz w:val="19"/>
                <w:szCs w:val="19"/>
              </w:rPr>
              <w:t xml:space="preserve">Evidence</w:t>
            </w:r>
          </w:p>
        </w:tc>
        <w:tc>
          <w:tcPr>
            <w:tcW w:type="dxa" w:w="8280"/>
            <w:tcMar>
              <w:top w:type="dxa" w:w="100"/>
              <w:left w:type="dxa" w:w="120"/>
              <w:bottom w:type="dxa" w:w="100"/>
              <w:right w:type="dxa" w:w="120"/>
            </w:tcMar>
            <w:vAlign w:val="center"/>
          </w:tcPr>
          <w:p>
            <w:r>
              <w:rPr>
                <w:b w:val="false"/>
                <w:bCs w:val="false"/>
                <w:sz w:val="19"/>
                <w:szCs w:val="19"/>
              </w:rPr>
              <w:t xml:space="preserve">Response header: access-control-allow-origin: *</w:t>
            </w:r>
          </w:p>
        </w:tc>
      </w:tr>
    </w:tbl>
    <w:p>
      <w:pPr>
        <w:spacing w:after="80" w:before="200"/>
      </w:pPr>
      <w:r>
        <w:rPr>
          <w:b/>
          <w:bCs/>
          <w:color w:val="0f3460"/>
          <w:sz w:val="21"/>
          <w:szCs w:val="21"/>
        </w:rPr>
        <w:t xml:space="preserve">What This Means</w:t>
      </w:r>
    </w:p>
    <w:p>
      <w:pPr>
        <w:spacing w:after="160"/>
      </w:pPr>
      <w:r>
        <w:rPr>
          <w:sz w:val="20"/>
          <w:szCs w:val="20"/>
        </w:rPr>
        <w:t xml:space="preserve">The API allows cross-origin requests from absolutely any website ("*"), rather than restricting access to a defined list of trusted domains.</w:t>
      </w:r>
    </w:p>
    <w:p>
      <w:pPr>
        <w:spacing w:after="80"/>
      </w:pPr>
      <w:r>
        <w:rPr>
          <w:b/>
          <w:bCs/>
          <w:color w:val="0f3460"/>
          <w:sz w:val="21"/>
          <w:szCs w:val="21"/>
        </w:rPr>
        <w:t xml:space="preserve">Business Impact</w:t>
      </w:r>
    </w:p>
    <w:p>
      <w:pPr>
        <w:spacing w:after="160"/>
      </w:pPr>
      <w:r>
        <w:rPr>
          <w:sz w:val="20"/>
          <w:szCs w:val="20"/>
        </w:rPr>
        <w:t xml:space="preserve">For an API returning non-sensitive public data, this is low risk. However, if this same configuration were applied to an API returning authenticated or personal data, any malicious website could read that data directly from a logged-in victim's browser.</w:t>
      </w:r>
    </w:p>
    <w:p>
      <w:pPr>
        <w:spacing w:after="80"/>
      </w:pPr>
      <w:r>
        <w:rPr>
          <w:b/>
          <w:bCs/>
          <w:color w:val="0f3460"/>
          <w:sz w:val="21"/>
          <w:szCs w:val="21"/>
        </w:rPr>
        <w:t xml:space="preserve">Recommended Fix</w:t>
      </w:r>
    </w:p>
    <w:p>
      <w:pPr>
        <w:pStyle w:val="ListParagraph"/>
        <w:numPr>
          <w:ilvl w:val="0"/>
          <w:numId w:val="1"/>
        </w:numPr>
        <w:spacing w:after="70"/>
      </w:pPr>
      <w:r>
        <w:rPr>
          <w:sz w:val="20"/>
          <w:szCs w:val="20"/>
        </w:rPr>
        <w:t xml:space="preserve">Restrict Access-Control-Allow-Origin to a specific allow-list of trusted domains, especially for any endpoint returning user-specific or sensitive data.</w:t>
      </w:r>
    </w:p>
    <w:p>
      <w:pPr>
        <w:pStyle w:val="ListParagraph"/>
        <w:numPr>
          <w:ilvl w:val="0"/>
          <w:numId w:val="1"/>
        </w:numPr>
        <w:spacing w:after="70"/>
      </w:pPr>
      <w:r>
        <w:rPr>
          <w:sz w:val="20"/>
          <w:szCs w:val="20"/>
        </w:rPr>
        <w:t xml:space="preserve">Never combine a wildcard origin with endpoints that rely on cookies or session credentials.</w:t>
      </w:r>
    </w:p>
    <w:p>
      <w:pPr>
        <w:spacing w:after="80" w:before="160"/>
      </w:pPr>
      <w:r>
        <w:rPr>
          <w:b/>
          <w:bCs/>
          <w:i/>
          <w:iCs/>
          <w:color w:val="5f6368"/>
          <w:sz w:val="18"/>
          <w:szCs w:val="18"/>
        </w:rPr>
        <w:t xml:space="preserve">Evidence Screenshot(s)</w:t>
      </w:r>
    </w:p>
    <w:p>
      <w:pPr>
        <w:spacing w:after="200" w:before="100"/>
      </w:pPr>
      <w:r>
        <w:drawing>
          <wp:inline distT="0" distB="0" distL="0" distR="0">
            <wp:extent cx="5334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895850"/>
                    </a:xfrm>
                    <a:prstGeom prst="rect">
                      <a:avLst/>
                    </a:prstGeom>
                  </pic:spPr>
                </pic:pic>
              </a:graphicData>
            </a:graphic>
          </wp:inline>
        </w:drawing>
      </w:r>
    </w:p>
    <w:p>
      <w:pPr>
        <w:pStyle w:val="Heading2"/>
        <w:spacing w:after="150" w:before="300"/>
      </w:pPr>
      <w:r>
        <w:rPr>
          <w:b/>
          <w:bCs/>
          <w:color w:val="16213e"/>
        </w:rPr>
        <w:t xml:space="preserve">4. Server/Framework Disclosure in Response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Risk Level</w:t>
            </w:r>
          </w:p>
        </w:tc>
        <w:tc>
          <w:tcPr>
            <w:tcW w:type="dxa" w:w="8280"/>
            <w:shd w:fill="e67e22" w:val="clear"/>
            <w:tcMar>
              <w:top w:type="dxa" w:w="80"/>
              <w:left w:type="dxa" w:w="120"/>
              <w:bottom w:type="dxa" w:w="80"/>
              <w:right w:type="dxa" w:w="120"/>
            </w:tcMar>
            <w:vAlign w:val="center"/>
          </w:tcPr>
          <w:p>
            <w:r>
              <w:rPr>
                <w:b/>
                <w:bCs/>
                <w:color w:val="FFFFFF"/>
                <w:sz w:val="19"/>
                <w:szCs w:val="19"/>
              </w:rPr>
              <w:t xml:space="preserve">LOW</w:t>
            </w:r>
          </w:p>
        </w:tc>
      </w:tr>
      <w:tr>
        <w:tc>
          <w:tcPr>
            <w:tcW w:type="dxa" w:w="1800"/>
            <w:tcMar>
              <w:top w:type="dxa" w:w="100"/>
              <w:left w:type="dxa" w:w="120"/>
              <w:bottom w:type="dxa" w:w="100"/>
              <w:right w:type="dxa" w:w="120"/>
            </w:tcMar>
            <w:vAlign w:val="center"/>
          </w:tcPr>
          <w:p>
            <w:r>
              <w:rPr>
                <w:b/>
                <w:bCs/>
                <w:sz w:val="19"/>
                <w:szCs w:val="19"/>
              </w:rPr>
              <w:t xml:space="preserve">Endpoint</w:t>
            </w:r>
          </w:p>
        </w:tc>
        <w:tc>
          <w:tcPr>
            <w:tcW w:type="dxa" w:w="8280"/>
            <w:tcMar>
              <w:top w:type="dxa" w:w="100"/>
              <w:left w:type="dxa" w:w="120"/>
              <w:bottom w:type="dxa" w:w="100"/>
              <w:right w:type="dxa" w:w="120"/>
            </w:tcMar>
            <w:vAlign w:val="center"/>
          </w:tcPr>
          <w:p>
            <w:r>
              <w:rPr>
                <w:b w:val="false"/>
                <w:bCs w:val="false"/>
                <w:sz w:val="19"/>
                <w:szCs w:val="19"/>
              </w:rPr>
              <w:t xml:space="preserve">https://reqres.in/api/users (site-wide)</w:t>
            </w:r>
          </w:p>
        </w:tc>
      </w:tr>
      <w:tr>
        <w:tc>
          <w:tcPr>
            <w:tcW w:type="dxa" w:w="1800"/>
            <w:tcMar>
              <w:top w:type="dxa" w:w="100"/>
              <w:left w:type="dxa" w:w="120"/>
              <w:bottom w:type="dxa" w:w="100"/>
              <w:right w:type="dxa" w:w="120"/>
            </w:tcMar>
            <w:vAlign w:val="center"/>
          </w:tcPr>
          <w:p>
            <w:r>
              <w:rPr>
                <w:b/>
                <w:bCs/>
                <w:sz w:val="19"/>
                <w:szCs w:val="19"/>
              </w:rPr>
              <w:t xml:space="preserve">Method</w:t>
            </w:r>
          </w:p>
        </w:tc>
        <w:tc>
          <w:tcPr>
            <w:tcW w:type="dxa" w:w="8280"/>
            <w:tcMar>
              <w:top w:type="dxa" w:w="100"/>
              <w:left w:type="dxa" w:w="120"/>
              <w:bottom w:type="dxa" w:w="100"/>
              <w:right w:type="dxa" w:w="120"/>
            </w:tcMar>
            <w:vAlign w:val="center"/>
          </w:tcPr>
          <w:p>
            <w:r>
              <w:rPr>
                <w:b w:val="false"/>
                <w:bCs w:val="false"/>
                <w:sz w:val="19"/>
                <w:szCs w:val="19"/>
              </w:rPr>
              <w:t xml:space="preserve">GET</w:t>
            </w:r>
          </w:p>
        </w:tc>
      </w:tr>
      <w:tr>
        <w:tc>
          <w:tcPr>
            <w:tcW w:type="dxa" w:w="1800"/>
            <w:tcMar>
              <w:top w:type="dxa" w:w="100"/>
              <w:left w:type="dxa" w:w="120"/>
              <w:bottom w:type="dxa" w:w="100"/>
              <w:right w:type="dxa" w:w="120"/>
            </w:tcMar>
            <w:vAlign w:val="center"/>
          </w:tcPr>
          <w:p>
            <w:r>
              <w:rPr>
                <w:b/>
                <w:bCs/>
                <w:sz w:val="19"/>
                <w:szCs w:val="19"/>
              </w:rPr>
              <w:t xml:space="preserve">Evidence</w:t>
            </w:r>
          </w:p>
        </w:tc>
        <w:tc>
          <w:tcPr>
            <w:tcW w:type="dxa" w:w="8280"/>
            <w:tcMar>
              <w:top w:type="dxa" w:w="100"/>
              <w:left w:type="dxa" w:w="120"/>
              <w:bottom w:type="dxa" w:w="100"/>
              <w:right w:type="dxa" w:w="120"/>
            </w:tcMar>
            <w:vAlign w:val="center"/>
          </w:tcPr>
          <w:p>
            <w:r>
              <w:rPr>
                <w:b w:val="false"/>
                <w:bCs w:val="false"/>
                <w:sz w:val="19"/>
                <w:szCs w:val="19"/>
              </w:rPr>
              <w:t xml:space="preserve">Response header: x-powered-by: "ReqRes.in - Deploy backends in 30 seconds"</w:t>
            </w:r>
          </w:p>
        </w:tc>
      </w:tr>
    </w:tbl>
    <w:p>
      <w:pPr>
        <w:spacing w:after="80" w:before="200"/>
      </w:pPr>
      <w:r>
        <w:rPr>
          <w:b/>
          <w:bCs/>
          <w:color w:val="0f3460"/>
          <w:sz w:val="21"/>
          <w:szCs w:val="21"/>
        </w:rPr>
        <w:t xml:space="preserve">What This Means</w:t>
      </w:r>
    </w:p>
    <w:p>
      <w:pPr>
        <w:spacing w:after="160"/>
      </w:pPr>
      <w:r>
        <w:rPr>
          <w:sz w:val="20"/>
          <w:szCs w:val="20"/>
        </w:rPr>
        <w:t xml:space="preserve">The API reveals details about the backend platform/service powering it directly in a response header.</w:t>
      </w:r>
    </w:p>
    <w:p>
      <w:pPr>
        <w:spacing w:after="80"/>
      </w:pPr>
      <w:r>
        <w:rPr>
          <w:b/>
          <w:bCs/>
          <w:color w:val="0f3460"/>
          <w:sz w:val="21"/>
          <w:szCs w:val="21"/>
        </w:rPr>
        <w:t xml:space="preserve">Business Impact</w:t>
      </w:r>
    </w:p>
    <w:p>
      <w:pPr>
        <w:spacing w:after="160"/>
      </w:pPr>
      <w:r>
        <w:rPr>
          <w:sz w:val="20"/>
          <w:szCs w:val="20"/>
        </w:rPr>
        <w:t xml:space="preserve">This gives an attacker a head start on reconnaissance — knowing the exact platform in use narrows down which known vulnerabilities or misconfigurations to try first.</w:t>
      </w:r>
    </w:p>
    <w:p>
      <w:pPr>
        <w:spacing w:after="80"/>
      </w:pPr>
      <w:r>
        <w:rPr>
          <w:b/>
          <w:bCs/>
          <w:color w:val="0f3460"/>
          <w:sz w:val="21"/>
          <w:szCs w:val="21"/>
        </w:rPr>
        <w:t xml:space="preserve">Recommended Fix</w:t>
      </w:r>
    </w:p>
    <w:p>
      <w:pPr>
        <w:pStyle w:val="ListParagraph"/>
        <w:numPr>
          <w:ilvl w:val="0"/>
          <w:numId w:val="1"/>
        </w:numPr>
        <w:spacing w:after="70"/>
      </w:pPr>
      <w:r>
        <w:rPr>
          <w:sz w:val="20"/>
          <w:szCs w:val="20"/>
        </w:rPr>
        <w:t xml:space="preserve">Remove or suppress the X-Powered-By header (and similar identifying headers) at the server/gateway level.</w:t>
      </w:r>
    </w:p>
    <w:p>
      <w:pPr>
        <w:pStyle w:val="ListParagraph"/>
        <w:numPr>
          <w:ilvl w:val="0"/>
          <w:numId w:val="1"/>
        </w:numPr>
        <w:spacing w:after="70"/>
      </w:pPr>
      <w:r>
        <w:rPr>
          <w:sz w:val="20"/>
          <w:szCs w:val="20"/>
        </w:rPr>
        <w:t xml:space="preserve">Periodically audit response headers for any other unintentional technology disclosures.</w:t>
      </w:r>
    </w:p>
    <w:p>
      <w:pPr>
        <w:spacing w:after="80" w:before="160"/>
      </w:pPr>
      <w:r>
        <w:rPr>
          <w:b/>
          <w:bCs/>
          <w:i/>
          <w:iCs/>
          <w:color w:val="5f6368"/>
          <w:sz w:val="18"/>
          <w:szCs w:val="18"/>
        </w:rPr>
        <w:t xml:space="preserve">Evidence Screenshot(s)</w:t>
      </w:r>
    </w:p>
    <w:p>
      <w:pPr>
        <w:spacing w:after="200" w:before="100"/>
      </w:pPr>
      <w:r>
        <w:drawing>
          <wp:inline distT="0" distB="0" distL="0" distR="0">
            <wp:extent cx="5334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62450"/>
                    </a:xfrm>
                    <a:prstGeom prst="rect">
                      <a:avLst/>
                    </a:prstGeom>
                  </pic:spPr>
                </pic:pic>
              </a:graphicData>
            </a:graphic>
          </wp:inline>
        </w:drawing>
      </w:r>
    </w:p>
    <w:p>
      <w:pPr>
        <w:pStyle w:val="Heading2"/>
        <w:spacing w:after="150" w:before="300"/>
      </w:pPr>
      <w:r>
        <w:rPr>
          <w:b/>
          <w:bCs/>
          <w:color w:val="16213e"/>
        </w:rPr>
        <w:t xml:space="preserve">5. Positive Findings</w:t>
      </w:r>
    </w:p>
    <w:p>
      <w:pPr>
        <w:spacing w:after="120"/>
      </w:pPr>
      <w:r>
        <w:rPr>
          <w:b/>
          <w:bCs/>
          <w:color w:val="0f3460"/>
          <w:sz w:val="21"/>
          <w:szCs w:val="21"/>
        </w:rPr>
        <w:t xml:space="preserve">Rate Limiting Enforced</w:t>
      </w:r>
    </w:p>
    <w:p>
      <w:pPr>
        <w:spacing w:after="160"/>
      </w:pPr>
      <w:r>
        <w:rPr>
          <w:sz w:val="20"/>
          <w:szCs w:val="20"/>
        </w:rPr>
        <w:t xml:space="preserve">Response headers consistently included ratelimit-limit, ratelimit-remaining, and ratelimit-reset values (e.g. 20 requests per 60-second window), confirming that basic rate limiting is enforced against this endpoint — a good defense against brute-force and scraping attempts.</w:t>
      </w:r>
    </w:p>
    <w:p>
      <w:pPr>
        <w:spacing w:after="200" w:before="100"/>
      </w:pPr>
      <w:r>
        <w:drawing>
          <wp:inline distT="0" distB="0" distL="0" distR="0">
            <wp:extent cx="5334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33925"/>
                    </a:xfrm>
                    <a:prstGeom prst="rect">
                      <a:avLst/>
                    </a:prstGeom>
                  </pic:spPr>
                </pic:pic>
              </a:graphicData>
            </a:graphic>
          </wp:inline>
        </w:drawing>
      </w:r>
    </w:p>
    <w:p>
      <w:pPr>
        <w:spacing w:after="120"/>
      </w:pPr>
      <w:r>
        <w:rPr>
          <w:b/>
          <w:bCs/>
          <w:color w:val="0f3460"/>
          <w:sz w:val="21"/>
          <w:szCs w:val="21"/>
        </w:rPr>
        <w:t xml:space="preserve">Clean, Non-Verbose Error Handling</w:t>
      </w:r>
    </w:p>
    <w:p>
      <w:pPr>
        <w:spacing w:after="160"/>
      </w:pPr>
      <w:r>
        <w:rPr>
          <w:sz w:val="20"/>
          <w:szCs w:val="20"/>
        </w:rPr>
        <w:t xml:space="preserve">Requesting a non-existent resource (GET /api/users/23) returned a clean 404 Not Found with an empty body — no stack traces, internal file paths, or database error details were leaked, which is the correct, secure behavior.</w:t>
      </w:r>
    </w:p>
    <w:p>
      <w:pPr>
        <w:spacing w:after="200" w:before="100"/>
      </w:pPr>
      <w:r>
        <w:drawing>
          <wp:inline distT="0" distB="0" distL="0" distR="0">
            <wp:extent cx="5334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81525"/>
                    </a:xfrm>
                    <a:prstGeom prst="rect">
                      <a:avLst/>
                    </a:prstGeom>
                  </pic:spPr>
                </pic:pic>
              </a:graphicData>
            </a:graphic>
          </wp:inline>
        </w:drawing>
      </w:r>
    </w:p>
    <w:p>
      <w:r>
        <w:br w:type="page"/>
      </w:r>
    </w:p>
    <w:p>
      <w:pPr>
        <w:pStyle w:val="Heading1"/>
        <w:spacing w:after="200"/>
      </w:pPr>
      <w:r>
        <w:rPr>
          <w:b/>
          <w:bCs/>
          <w:color w:val="16213e"/>
        </w:rPr>
        <w:t xml:space="preserve">Remediation Priorities</w:t>
      </w:r>
    </w:p>
    <w:p>
      <w:pPr>
        <w:spacing w:after="140"/>
      </w:pPr>
      <w:r>
        <w:rPr>
          <w:b/>
          <w:bCs/>
          <w:sz w:val="21"/>
          <w:szCs w:val="21"/>
        </w:rPr>
        <w:t xml:space="preserve">1. Fix password validation on the login endpoint immediately: </w:t>
      </w:r>
      <w:r>
        <w:rPr>
          <w:sz w:val="21"/>
          <w:szCs w:val="21"/>
        </w:rPr>
        <w:t xml:space="preserve">This is the most critical issue — it undermines the entire authentication system.</w:t>
      </w:r>
    </w:p>
    <w:p>
      <w:pPr>
        <w:spacing w:after="140"/>
      </w:pPr>
      <w:r>
        <w:rPr>
          <w:b/>
          <w:bCs/>
          <w:sz w:val="21"/>
          <w:szCs w:val="21"/>
        </w:rPr>
        <w:t xml:space="preserve">2. Standardize authentication error messages: </w:t>
      </w:r>
      <w:r>
        <w:rPr>
          <w:sz w:val="21"/>
          <w:szCs w:val="21"/>
        </w:rPr>
        <w:t xml:space="preserve">Eliminate the ability to distinguish valid from invalid accounts via error responses.</w:t>
      </w:r>
    </w:p>
    <w:p>
      <w:pPr>
        <w:spacing w:after="140"/>
      </w:pPr>
      <w:r>
        <w:rPr>
          <w:b/>
          <w:bCs/>
          <w:sz w:val="21"/>
          <w:szCs w:val="21"/>
        </w:rPr>
        <w:t xml:space="preserve">3. Tighten CORS policy for any endpoint handling sensitive or authenticated data: </w:t>
      </w:r>
      <w:r>
        <w:rPr>
          <w:sz w:val="21"/>
          <w:szCs w:val="21"/>
        </w:rPr>
        <w:t xml:space="preserve">Replace wildcard origins with an explicit allow-list.</w:t>
      </w:r>
    </w:p>
    <w:p>
      <w:pPr>
        <w:spacing w:after="140"/>
      </w:pPr>
      <w:r>
        <w:rPr>
          <w:b/>
          <w:bCs/>
          <w:sz w:val="21"/>
          <w:szCs w:val="21"/>
        </w:rPr>
        <w:t xml:space="preserve">4. Strip identifying technology headers: </w:t>
      </w:r>
      <w:r>
        <w:rPr>
          <w:sz w:val="21"/>
          <w:szCs w:val="21"/>
        </w:rPr>
        <w:t xml:space="preserve">Reduces reconnaissance value for attackers with minimal engineering effort.</w:t>
      </w:r>
    </w:p>
    <w:p>
      <w:pPr>
        <w:pStyle w:val="Heading1"/>
        <w:spacing w:after="200" w:before="400"/>
      </w:pPr>
      <w:r>
        <w:rPr>
          <w:b/>
          <w:bCs/>
          <w:color w:val="16213e"/>
        </w:rPr>
        <w:t xml:space="preserve">Conclusion</w:t>
      </w:r>
    </w:p>
    <w:p>
      <w:pPr>
        <w:spacing w:after="200"/>
      </w:pPr>
      <w:r>
        <w:rPr>
          <w:sz w:val="21"/>
          <w:szCs w:val="21"/>
        </w:rPr>
        <w:t xml:space="preserve">Testing of the reqres.in API surfaced two High-risk authentication weaknesses that, in a real production system, would allow attackers to bypass login security and identify valid user accounts. Two additional Low-risk information-disclosure issues were also found in response headers. On the positive side, the API demonstrated solid rate-limiting and clean error handling, showing that not every aspect of API security needs to be built from scratch — these controls can serve as a model for the areas that need improvement. Addressing the authentication findings should be the top priority for any team maintaining a similar API.</w:t>
      </w:r>
    </w:p>
    <w:p>
      <w:pPr>
        <w:spacing w:after="100"/>
      </w:pPr>
      <w:r>
        <w:rPr>
          <w:i/>
          <w:iCs/>
          <w:color w:val="5f6368"/>
          <w:sz w:val="19"/>
          <w:szCs w:val="19"/>
        </w:rPr>
        <w:t xml:space="preserve">Prepared as part of Task 3 — Future Interns Cyber Security Internship.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FUTURE_CS_03 | API Security Risk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affbb9f9ee4de5e8a81d6a3ae7c84b7b1d5163.png"/><Relationship Id="rId10" Type="http://schemas.openxmlformats.org/officeDocument/2006/relationships/image" Target="media/2bb9191460bdc24571446633faa46d2663f81002.png"/><Relationship Id="rId11" Type="http://schemas.openxmlformats.org/officeDocument/2006/relationships/image" Target="media/2d219e67b18946b4ef43b33a87c3c9390af4b08f.png"/><Relationship Id="rId12" Type="http://schemas.openxmlformats.org/officeDocument/2006/relationships/image" Target="media/f0ae593451ab1d1f0e4700279275346153f9c6b8.png"/><Relationship Id="rId13" Type="http://schemas.openxmlformats.org/officeDocument/2006/relationships/image" Target="media/475cfa0b355b2f78043ec79c2db0a4c6dc5892c4.png"/><Relationship Id="rId14" Type="http://schemas.openxmlformats.org/officeDocument/2006/relationships/image" Target="media/0c2aaed83bc082a813617aba71f17e25801cb8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2026-09-07T10:14:08.719Z</dcterms:created>
  <dcterms:modified xsi:type="dcterms:W3CDTF">2026-09-07T10:14:08.719Z</dcterms:modified>
</cp:coreProperties>
</file>

<file path=docProps/custom.xml><?xml version="1.0" encoding="utf-8"?>
<Properties xmlns="http://schemas.openxmlformats.org/officeDocument/2006/custom-properties" xmlns:vt="http://schemas.openxmlformats.org/officeDocument/2006/docPropsVTypes"/>
</file>