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068" w:right="1069" w:firstLine="0"/>
        <w:jc w:val="center"/>
        <w:rPr>
          <w:b/>
          <w:sz w:val="24"/>
        </w:rPr>
      </w:pPr>
      <w:r>
        <w:rPr>
          <w:b/>
          <w:sz w:val="24"/>
        </w:rPr>
        <w:t>Gender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Audit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Persons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Mati, Davao Oriental, Philippines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w:t>ABSTRACT</w:t>
      </w:r>
    </w:p>
    <w:p>
      <w:pPr>
        <w:pStyle w:val="BodyText"/>
        <w:rPr>
          <w:b/>
        </w:rPr>
      </w:pPr>
    </w:p>
    <w:p>
      <w:pPr>
        <w:pStyle w:val="BodyText"/>
        <w:ind w:left="120" w:right="138" w:firstLine="719"/>
        <w:jc w:val="both"/>
      </w:pPr>
      <w:r>
        <w:rPr/>
        <w:t>Many countries across the globe, including the Philippines, have implemented Gender</w:t>
      </w:r>
      <w:r>
        <w:rPr>
          <w:spacing w:val="-57"/>
        </w:rPr>
        <w:t> </w:t>
      </w:r>
      <w:r>
        <w:rPr/>
        <w:t>and Development (GAD) policies to reduce gender biases and promote equality. However,</w:t>
      </w:r>
      <w:r>
        <w:rPr>
          <w:spacing w:val="1"/>
        </w:rPr>
        <w:t> </w:t>
      </w:r>
      <w:r>
        <w:rPr/>
        <w:t>mainstreaming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scarce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resources in the local context. This study is an initiative to provide the GAD Focal Point</w:t>
      </w:r>
      <w:r>
        <w:rPr>
          <w:spacing w:val="1"/>
        </w:rPr>
        <w:t> </w:t>
      </w:r>
      <w:r>
        <w:rPr/>
        <w:t>System (GFPS) in the Department of Education – City of Mati with a primary reference in</w:t>
      </w:r>
      <w:r>
        <w:rPr>
          <w:spacing w:val="1"/>
        </w:rPr>
        <w:t> </w:t>
      </w:r>
      <w:r>
        <w:rPr/>
        <w:t>training their GAD Focal Persons on Gender Sensitivity, GAD Planning, and Budgeting</w:t>
      </w:r>
      <w:r>
        <w:rPr>
          <w:spacing w:val="1"/>
        </w:rPr>
        <w:t> </w:t>
      </w:r>
      <w:r>
        <w:rPr/>
        <w:t>(GPB).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gaps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participatory strategies involving the school administrators, teachers, students, and parents.</w:t>
      </w:r>
      <w:r>
        <w:rPr>
          <w:spacing w:val="1"/>
        </w:rPr>
        <w:t> </w:t>
      </w:r>
      <w:r>
        <w:rPr/>
        <w:t>Also, the results of the gender audit using the Gender Mainstreaming Evaluation Framework</w:t>
      </w:r>
      <w:r>
        <w:rPr>
          <w:spacing w:val="1"/>
        </w:rPr>
        <w:t> </w:t>
      </w:r>
      <w:r>
        <w:rPr/>
        <w:t>(GMEF) are used as a baseline in module development. The framework presents strategic</w:t>
      </w:r>
      <w:r>
        <w:rPr>
          <w:spacing w:val="1"/>
        </w:rPr>
        <w:t> </w:t>
      </w:r>
      <w:r>
        <w:rPr/>
        <w:t>directions that agencies need to follow to advance across stages. It was found that Mati’s</w:t>
      </w:r>
      <w:r>
        <w:rPr>
          <w:spacing w:val="1"/>
        </w:rPr>
        <w:t> </w:t>
      </w:r>
      <w:r>
        <w:rPr/>
        <w:t>primary and secondary schools are in the initial stages of gender mainstreaming. As such,</w:t>
      </w:r>
      <w:r>
        <w:rPr>
          <w:spacing w:val="1"/>
        </w:rPr>
        <w:t> </w:t>
      </w:r>
      <w:r>
        <w:rPr/>
        <w:t>GAD’s basic concepts and definitions are introduced, along with various forms of gender-</w:t>
      </w:r>
      <w:r>
        <w:rPr>
          <w:spacing w:val="1"/>
        </w:rPr>
        <w:t> </w:t>
      </w:r>
      <w:r>
        <w:rPr/>
        <w:t>based violence and the appropriate mechanisms to address them aptly. The essential steps in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budgeting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detailed,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participants. It is imperative to sustain GAD capacity-building initiatives to catalyze a more</w:t>
      </w:r>
      <w:r>
        <w:rPr>
          <w:spacing w:val="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engaged policy framework.</w:t>
      </w:r>
    </w:p>
    <w:p>
      <w:pPr>
        <w:pStyle w:val="BodyText"/>
        <w:spacing w:before="2"/>
      </w:pPr>
    </w:p>
    <w:p>
      <w:pPr>
        <w:pStyle w:val="BodyText"/>
        <w:ind w:left="120"/>
      </w:pPr>
      <w:r>
        <w:rPr>
          <w:i/>
        </w:rPr>
        <w:t>Keywords:</w:t>
      </w:r>
      <w:r>
        <w:rPr>
          <w:i/>
          <w:spacing w:val="-2"/>
        </w:rPr>
        <w:t> </w:t>
      </w:r>
      <w:r>
        <w:rPr/>
        <w:t>Gender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Module,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Mati</w:t>
      </w:r>
    </w:p>
    <w:p>
      <w:pPr>
        <w:pStyle w:val="BodyText"/>
      </w:pPr>
    </w:p>
    <w:p>
      <w:pPr>
        <w:pStyle w:val="Heading1"/>
        <w:ind w:right="3019"/>
      </w:pPr>
      <w:r>
        <w:rPr/>
        <w:t>INTRODUCTION</w:t>
      </w:r>
    </w:p>
    <w:p>
      <w:pPr>
        <w:pStyle w:val="BodyText"/>
        <w:rPr>
          <w:b/>
        </w:rPr>
      </w:pPr>
    </w:p>
    <w:p>
      <w:pPr>
        <w:pStyle w:val="BodyText"/>
        <w:ind w:left="120" w:right="117" w:firstLine="719"/>
        <w:jc w:val="both"/>
      </w:pPr>
      <w:r>
        <w:rPr/>
        <w:t>The Philippines is at the forefront in closing gender gaps compared to other Asian</w:t>
      </w:r>
      <w:r>
        <w:rPr>
          <w:spacing w:val="1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(Philippine</w:t>
      </w:r>
      <w:r>
        <w:rPr>
          <w:spacing w:val="-3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Women,</w:t>
      </w:r>
      <w:r>
        <w:rPr>
          <w:spacing w:val="-6"/>
        </w:rPr>
        <w:t> </w:t>
      </w:r>
      <w:r>
        <w:rPr/>
        <w:t>2021).</w:t>
      </w:r>
      <w:r>
        <w:rPr>
          <w:spacing w:val="-4"/>
        </w:rPr>
        <w:t> </w:t>
      </w:r>
      <w:r>
        <w:rPr/>
        <w:t>Attaining</w:t>
      </w:r>
      <w:r>
        <w:rPr>
          <w:spacing w:val="-6"/>
        </w:rPr>
        <w:t> </w:t>
      </w:r>
      <w:r>
        <w:rPr/>
        <w:t>gender</w:t>
      </w:r>
      <w:r>
        <w:rPr>
          <w:spacing w:val="-4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women’s</w:t>
      </w:r>
      <w:r>
        <w:rPr>
          <w:spacing w:val="-58"/>
        </w:rPr>
        <w:t> </w:t>
      </w:r>
      <w:r>
        <w:rPr/>
        <w:t>empowerment has become more deliberate through apt gender mainstreaming initiatives in</w:t>
      </w:r>
      <w:r>
        <w:rPr>
          <w:spacing w:val="1"/>
        </w:rPr>
        <w:t> </w:t>
      </w:r>
      <w:r>
        <w:rPr/>
        <w:t>various human agencies. However, there remains a need to enhance support and monitoring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normalize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sub-national</w:t>
      </w:r>
      <w:r>
        <w:rPr>
          <w:spacing w:val="1"/>
        </w:rPr>
        <w:t> </w:t>
      </w:r>
      <w:r>
        <w:rPr/>
        <w:t>settings,</w:t>
      </w:r>
      <w:r>
        <w:rPr>
          <w:spacing w:val="1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sector</w:t>
      </w:r>
      <w:r>
        <w:rPr>
          <w:spacing w:val="-1"/>
        </w:rPr>
        <w:t> </w:t>
      </w:r>
      <w:r>
        <w:rPr/>
        <w:t>(Sumadsad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Tuazon,</w:t>
      </w:r>
      <w:r>
        <w:rPr>
          <w:spacing w:val="-1"/>
        </w:rPr>
        <w:t> </w:t>
      </w:r>
      <w:r>
        <w:rPr/>
        <w:t>2016;</w:t>
      </w:r>
      <w:r>
        <w:rPr>
          <w:spacing w:val="-1"/>
        </w:rPr>
        <w:t> </w:t>
      </w:r>
      <w:r>
        <w:rPr/>
        <w:t>Villegas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al., 2021).</w:t>
      </w:r>
    </w:p>
    <w:p>
      <w:pPr>
        <w:pStyle w:val="BodyText"/>
        <w:spacing w:before="1"/>
        <w:ind w:left="120" w:right="110" w:firstLine="719"/>
        <w:jc w:val="both"/>
      </w:pPr>
      <w:r>
        <w:rPr/>
        <w:t>Gender and Development (GAD) is an integral part of the basic education system. It is</w:t>
      </w:r>
      <w:r>
        <w:rPr>
          <w:spacing w:val="-57"/>
        </w:rPr>
        <w:t> </w:t>
      </w:r>
      <w:r>
        <w:rPr/>
        <w:t>mainstreamed through the focal persons placed in various bureaucratic stances at the school,</w:t>
      </w:r>
      <w:r>
        <w:rPr>
          <w:spacing w:val="1"/>
        </w:rPr>
        <w:t> </w:t>
      </w:r>
      <w:r>
        <w:rPr/>
        <w:t>regional, and national levels (Department of Education, 2017; Sacro et al., 2021). The schools</w:t>
      </w:r>
      <w:r>
        <w:rPr>
          <w:spacing w:val="-57"/>
        </w:rPr>
        <w:t> </w:t>
      </w:r>
      <w:r>
        <w:rPr/>
        <w:t>are</w:t>
      </w:r>
      <w:r>
        <w:rPr>
          <w:spacing w:val="-10"/>
        </w:rPr>
        <w:t> </w:t>
      </w:r>
      <w:r>
        <w:rPr/>
        <w:t>mandated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assign</w:t>
      </w:r>
      <w:r>
        <w:rPr>
          <w:spacing w:val="-7"/>
        </w:rPr>
        <w:t> </w:t>
      </w:r>
      <w:r>
        <w:rPr/>
        <w:t>people,</w:t>
      </w:r>
      <w:r>
        <w:rPr>
          <w:spacing w:val="-7"/>
        </w:rPr>
        <w:t> </w:t>
      </w:r>
      <w:r>
        <w:rPr/>
        <w:t>formulate</w:t>
      </w:r>
      <w:r>
        <w:rPr>
          <w:spacing w:val="-5"/>
        </w:rPr>
        <w:t> </w:t>
      </w:r>
      <w:r>
        <w:rPr/>
        <w:t>policies,</w:t>
      </w:r>
      <w:r>
        <w:rPr>
          <w:spacing w:val="-8"/>
        </w:rPr>
        <w:t> </w:t>
      </w:r>
      <w:r>
        <w:rPr/>
        <w:t>enable</w:t>
      </w:r>
      <w:r>
        <w:rPr>
          <w:spacing w:val="-9"/>
        </w:rPr>
        <w:t> </w:t>
      </w:r>
      <w:r>
        <w:rPr/>
        <w:t>mechanisms,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gender-</w:t>
      </w:r>
      <w:r>
        <w:rPr>
          <w:spacing w:val="-58"/>
        </w:rPr>
        <w:t> </w:t>
      </w:r>
      <w:r>
        <w:rPr/>
        <w:t>related</w:t>
      </w:r>
      <w:r>
        <w:rPr>
          <w:spacing w:val="-1"/>
        </w:rPr>
        <w:t> </w:t>
      </w:r>
      <w:r>
        <w:rPr/>
        <w:t>PPAs.</w:t>
      </w:r>
    </w:p>
    <w:p>
      <w:pPr>
        <w:pStyle w:val="BodyText"/>
      </w:pPr>
    </w:p>
    <w:p>
      <w:pPr>
        <w:pStyle w:val="BodyText"/>
        <w:spacing w:before="1"/>
        <w:ind w:left="120" w:right="114" w:firstLine="719"/>
        <w:jc w:val="both"/>
      </w:pPr>
      <w:r>
        <w:rPr/>
        <w:t>However, a significant gap necessitates translating gender policies into actions to</w:t>
      </w:r>
      <w:r>
        <w:rPr>
          <w:spacing w:val="1"/>
        </w:rPr>
        <w:t> </w:t>
      </w:r>
      <w:r>
        <w:rPr/>
        <w:t>catalyze visible impacts to the community. Gender responsiveness must be embedded in the</w:t>
      </w:r>
      <w:r>
        <w:rPr>
          <w:spacing w:val="1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widen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gender</w:t>
      </w:r>
      <w:r>
        <w:rPr>
          <w:spacing w:val="-2"/>
        </w:rPr>
        <w:t> </w:t>
      </w:r>
      <w:r>
        <w:rPr/>
        <w:t>groups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</w:t>
      </w:r>
      <w:r>
        <w:rPr>
          <w:spacing w:val="-4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performance</w:t>
      </w:r>
      <w:r>
        <w:rPr>
          <w:spacing w:val="-57"/>
        </w:rPr>
        <w:t> </w:t>
      </w:r>
      <w:r>
        <w:rPr/>
        <w:t>(Hernandez &amp; Cudiamat, 2018). Organizational support is also fundamental to the success of</w:t>
      </w:r>
      <w:r>
        <w:rPr>
          <w:spacing w:val="1"/>
        </w:rPr>
        <w:t> </w:t>
      </w:r>
      <w:r>
        <w:rPr/>
        <w:t>GAD implementation (Valencia, 2017; Sumasad &amp; Tuazon, 2016). As such, a</w:t>
      </w:r>
      <w:r>
        <w:rPr>
          <w:spacing w:val="1"/>
        </w:rPr>
        <w:t> </w:t>
      </w:r>
      <w:r>
        <w:rPr/>
        <w:t>systemic</w:t>
      </w:r>
      <w:r>
        <w:rPr>
          <w:spacing w:val="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 GAD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deemed urgent and compulsory.</w:t>
      </w:r>
    </w:p>
    <w:p>
      <w:pPr>
        <w:pStyle w:val="BodyText"/>
      </w:pPr>
    </w:p>
    <w:p>
      <w:pPr>
        <w:pStyle w:val="BodyText"/>
        <w:ind w:left="120" w:right="128" w:firstLine="719"/>
        <w:jc w:val="both"/>
      </w:pPr>
      <w:r>
        <w:rPr/>
        <w:t>In the City of Mati, devolving GAD programs remain a challenge. The focal persons</w:t>
      </w:r>
      <w:r>
        <w:rPr>
          <w:spacing w:val="1"/>
        </w:rPr>
        <w:t> </w:t>
      </w:r>
      <w:r>
        <w:rPr/>
        <w:t>have insufficient theoretical and experiential training, making it difficult to identify issues,</w:t>
      </w:r>
      <w:r>
        <w:rPr>
          <w:spacing w:val="1"/>
        </w:rPr>
        <w:t> </w:t>
      </w:r>
      <w:r>
        <w:rPr/>
        <w:t>plans,</w:t>
      </w:r>
      <w:r>
        <w:rPr>
          <w:spacing w:val="3"/>
        </w:rPr>
        <w:t> </w:t>
      </w:r>
      <w:r>
        <w:rPr/>
        <w:t>and implementation</w:t>
      </w:r>
      <w:r>
        <w:rPr>
          <w:spacing w:val="3"/>
        </w:rPr>
        <w:t> </w:t>
      </w:r>
      <w:r>
        <w:rPr/>
        <w:t>strategies.</w:t>
      </w:r>
      <w:r>
        <w:rPr>
          <w:spacing w:val="4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3"/>
        </w:rPr>
        <w:t> </w:t>
      </w:r>
      <w:r>
        <w:rPr/>
        <w:t>attempts</w:t>
      </w:r>
      <w:r>
        <w:rPr>
          <w:spacing w:val="3"/>
        </w:rPr>
        <w:t> </w:t>
      </w:r>
      <w:r>
        <w:rPr/>
        <w:t>to assess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gender</w:t>
      </w:r>
      <w:r>
        <w:rPr>
          <w:spacing w:val="3"/>
        </w:rPr>
        <w:t> </w:t>
      </w:r>
      <w:r>
        <w:rPr/>
        <w:t>mainstreaming</w:t>
      </w:r>
    </w:p>
    <w:p>
      <w:pPr>
        <w:spacing w:after="0"/>
        <w:jc w:val="both"/>
        <w:sectPr>
          <w:type w:val="continuous"/>
          <w:pgSz w:w="11910" w:h="16840"/>
          <w:pgMar w:top="1360" w:bottom="280" w:left="1320" w:right="1320"/>
        </w:sectPr>
      </w:pPr>
    </w:p>
    <w:p>
      <w:pPr>
        <w:pStyle w:val="BodyText"/>
        <w:spacing w:before="64"/>
        <w:ind w:left="120"/>
      </w:pPr>
      <w:r>
        <w:rPr/>
        <w:t>efforts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basic</w:t>
      </w:r>
      <w:r>
        <w:rPr>
          <w:spacing w:val="11"/>
        </w:rPr>
        <w:t> </w:t>
      </w:r>
      <w:r>
        <w:rPr/>
        <w:t>education</w:t>
      </w:r>
      <w:r>
        <w:rPr>
          <w:spacing w:val="5"/>
        </w:rPr>
        <w:t> </w:t>
      </w:r>
      <w:r>
        <w:rPr/>
        <w:t>institutions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consequently</w:t>
      </w:r>
      <w:r>
        <w:rPr>
          <w:spacing w:val="5"/>
        </w:rPr>
        <w:t> </w:t>
      </w:r>
      <w:r>
        <w:rPr/>
        <w:t>develop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training</w:t>
      </w:r>
      <w:r>
        <w:rPr>
          <w:spacing w:val="9"/>
        </w:rPr>
        <w:t> </w:t>
      </w:r>
      <w:r>
        <w:rPr/>
        <w:t>module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address</w:t>
      </w:r>
      <w:r>
        <w:rPr>
          <w:spacing w:val="-57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gaps</w:t>
      </w:r>
      <w:r>
        <w:rPr>
          <w:spacing w:val="-2"/>
        </w:rPr>
        <w:t> </w:t>
      </w:r>
      <w:r>
        <w:rPr/>
        <w:t>in gender</w:t>
      </w:r>
      <w:r>
        <w:rPr>
          <w:spacing w:val="-1"/>
        </w:rPr>
        <w:t> </w:t>
      </w:r>
      <w:r>
        <w:rPr/>
        <w:t>sensitivity, planning,</w:t>
      </w:r>
      <w:r>
        <w:rPr>
          <w:spacing w:val="-1"/>
        </w:rPr>
        <w:t> </w:t>
      </w:r>
      <w:r>
        <w:rPr/>
        <w:t>and budgeting.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  <w:ind w:right="3015"/>
      </w:pPr>
      <w:r>
        <w:rPr/>
        <w:t>METHODOLOGY</w:t>
      </w:r>
    </w:p>
    <w:p>
      <w:pPr>
        <w:pStyle w:val="Heading2"/>
      </w:pPr>
      <w:r>
        <w:rPr/>
        <w:t>Research</w:t>
      </w:r>
      <w:r>
        <w:rPr>
          <w:spacing w:val="-2"/>
        </w:rPr>
        <w:t> </w:t>
      </w:r>
      <w:r>
        <w:rPr/>
        <w:t>Locale</w:t>
      </w:r>
    </w:p>
    <w:p>
      <w:pPr>
        <w:pStyle w:val="BodyText"/>
        <w:spacing w:before="5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2030325</wp:posOffset>
            </wp:positionH>
            <wp:positionV relativeFrom="paragraph">
              <wp:posOffset>208579</wp:posOffset>
            </wp:positionV>
            <wp:extent cx="3520562" cy="36210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56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120"/>
      </w:pPr>
      <w:r>
        <w:rPr>
          <w:b/>
        </w:rPr>
        <w:t>Figure</w:t>
      </w:r>
      <w:r>
        <w:rPr>
          <w:b/>
          <w:spacing w:val="4"/>
        </w:rPr>
        <w:t> </w:t>
      </w:r>
      <w:r>
        <w:rPr>
          <w:b/>
        </w:rPr>
        <w:t>1.</w:t>
      </w:r>
      <w:r>
        <w:rPr>
          <w:b/>
          <w:spacing w:val="4"/>
        </w:rPr>
        <w:t> </w:t>
      </w:r>
      <w:r>
        <w:rPr/>
        <w:t>Coordinates</w:t>
      </w:r>
      <w:r>
        <w:rPr>
          <w:spacing w:val="1"/>
        </w:rPr>
        <w:t> </w:t>
      </w:r>
      <w:r>
        <w:rPr/>
        <w:t>map</w:t>
      </w:r>
      <w:r>
        <w:rPr>
          <w:spacing w:val="2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4"/>
        </w:rPr>
        <w:t> </w:t>
      </w:r>
      <w:r>
        <w:rPr/>
        <w:t>surveyed</w:t>
      </w:r>
      <w:r>
        <w:rPr>
          <w:spacing w:val="2"/>
        </w:rPr>
        <w:t> </w:t>
      </w:r>
      <w:r>
        <w:rPr/>
        <w:t>sites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City</w:t>
      </w:r>
      <w:r>
        <w:rPr>
          <w:spacing w:val="2"/>
        </w:rPr>
        <w:t> </w:t>
      </w:r>
      <w:r>
        <w:rPr/>
        <w:t>of</w:t>
      </w:r>
      <w:r>
        <w:rPr>
          <w:spacing w:val="58"/>
        </w:rPr>
        <w:t> </w:t>
      </w:r>
      <w:r>
        <w:rPr/>
        <w:t>Mati,</w:t>
      </w:r>
      <w:r>
        <w:rPr>
          <w:spacing w:val="2"/>
        </w:rPr>
        <w:t> </w:t>
      </w:r>
      <w:r>
        <w:rPr/>
        <w:t>Davao</w:t>
      </w:r>
      <w:r>
        <w:rPr>
          <w:spacing w:val="57"/>
        </w:rPr>
        <w:t> </w:t>
      </w:r>
      <w:r>
        <w:rPr/>
        <w:t>Oriental,</w:t>
      </w:r>
      <w:r>
        <w:rPr>
          <w:spacing w:val="-57"/>
        </w:rPr>
        <w:t> </w:t>
      </w:r>
      <w:r>
        <w:rPr/>
        <w:t>Philippines.</w:t>
      </w:r>
      <w:r>
        <w:rPr>
          <w:spacing w:val="-1"/>
        </w:rPr>
        <w:t> </w:t>
      </w:r>
      <w:r>
        <w:rPr/>
        <w:t>(Cartographer: Verzosa, 2021).</w:t>
      </w:r>
    </w:p>
    <w:p>
      <w:pPr>
        <w:pStyle w:val="BodyText"/>
      </w:pPr>
    </w:p>
    <w:p>
      <w:pPr>
        <w:pStyle w:val="BodyText"/>
        <w:ind w:left="120" w:right="116" w:firstLine="719"/>
        <w:jc w:val="both"/>
      </w:pPr>
      <w:r>
        <w:rPr/>
        <w:t>The study was conducted in Mati, Davao Oriental, Philippines (6.9522° N, 126.2173°</w:t>
      </w:r>
      <w:r>
        <w:rPr>
          <w:spacing w:val="1"/>
        </w:rPr>
        <w:t> </w:t>
      </w:r>
      <w:r>
        <w:rPr/>
        <w:t>E),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43</w:t>
      </w:r>
      <w:r>
        <w:rPr>
          <w:spacing w:val="1"/>
        </w:rPr>
        <w:t> </w:t>
      </w:r>
      <w:r>
        <w:rPr/>
        <w:t>basic education institutions under the</w:t>
      </w:r>
      <w:r>
        <w:rPr>
          <w:spacing w:val="1"/>
        </w:rPr>
        <w:t> </w:t>
      </w:r>
      <w:r>
        <w:rPr/>
        <w:t>Schools Division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Mati.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specifically,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5"/>
        </w:rPr>
        <w:t> </w:t>
      </w:r>
      <w:r>
        <w:rPr/>
        <w:t>surveyed</w:t>
      </w:r>
      <w:r>
        <w:rPr>
          <w:spacing w:val="-6"/>
        </w:rPr>
        <w:t> </w:t>
      </w:r>
      <w:r>
        <w:rPr/>
        <w:t>29</w:t>
      </w:r>
      <w:r>
        <w:rPr>
          <w:spacing w:val="-10"/>
        </w:rPr>
        <w:t> </w:t>
      </w:r>
      <w:r>
        <w:rPr/>
        <w:t>primary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15</w:t>
      </w:r>
      <w:r>
        <w:rPr>
          <w:spacing w:val="-6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schools.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6"/>
        </w:rPr>
        <w:t> </w:t>
      </w:r>
      <w:r>
        <w:rPr/>
        <w:t>for</w:t>
      </w:r>
      <w:r>
        <w:rPr>
          <w:spacing w:val="-57"/>
        </w:rPr>
        <w:t> </w:t>
      </w:r>
      <w:r>
        <w:rPr/>
        <w:t>its</w:t>
      </w:r>
      <w:r>
        <w:rPr>
          <w:spacing w:val="1"/>
        </w:rPr>
        <w:t> </w:t>
      </w:r>
      <w:r>
        <w:rPr/>
        <w:t>agritourism</w:t>
      </w:r>
      <w:r>
        <w:rPr>
          <w:spacing w:val="1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Mt.</w:t>
      </w:r>
      <w:r>
        <w:rPr>
          <w:spacing w:val="1"/>
        </w:rPr>
        <w:t> </w:t>
      </w:r>
      <w:r>
        <w:rPr/>
        <w:t>Hamiguitan</w:t>
      </w:r>
      <w:r>
        <w:rPr>
          <w:spacing w:val="1"/>
        </w:rPr>
        <w:t> </w:t>
      </w:r>
      <w:r>
        <w:rPr/>
        <w:t>Wildlife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Sanctuary</w:t>
      </w:r>
      <w:r>
        <w:rPr>
          <w:spacing w:val="1"/>
        </w:rPr>
        <w:t> </w:t>
      </w:r>
      <w:r>
        <w:rPr>
          <w:spacing w:val="-1"/>
        </w:rPr>
        <w:t>(MHWRS),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UNESCO</w:t>
      </w:r>
      <w:r>
        <w:rPr>
          <w:spacing w:val="-14"/>
        </w:rPr>
        <w:t> </w:t>
      </w:r>
      <w:r>
        <w:rPr>
          <w:spacing w:val="-1"/>
        </w:rPr>
        <w:t>World</w:t>
      </w:r>
      <w:r>
        <w:rPr>
          <w:spacing w:val="-11"/>
        </w:rPr>
        <w:t> </w:t>
      </w:r>
      <w:r>
        <w:rPr>
          <w:spacing w:val="-1"/>
        </w:rPr>
        <w:t>Heritage</w:t>
      </w:r>
      <w:r>
        <w:rPr>
          <w:spacing w:val="-11"/>
        </w:rPr>
        <w:t> </w:t>
      </w:r>
      <w:r>
        <w:rPr/>
        <w:t>Site,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Dahican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Pujada</w:t>
      </w:r>
      <w:r>
        <w:rPr>
          <w:spacing w:val="-14"/>
        </w:rPr>
        <w:t> </w:t>
      </w:r>
      <w:r>
        <w:rPr/>
        <w:t>Bay,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5"/>
        </w:rPr>
        <w:t> </w:t>
      </w:r>
      <w:r>
        <w:rPr/>
        <w:t>Beautiful</w:t>
      </w:r>
      <w:r>
        <w:rPr>
          <w:spacing w:val="-58"/>
        </w:rPr>
        <w:t> </w:t>
      </w:r>
      <w:r>
        <w:rPr/>
        <w:t>Bays</w:t>
      </w:r>
      <w:r>
        <w:rPr>
          <w:spacing w:val="-3"/>
        </w:rPr>
        <w:t> </w:t>
      </w:r>
      <w:r>
        <w:rPr/>
        <w:t>in the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spacing w:before="1"/>
      </w:pPr>
    </w:p>
    <w:p>
      <w:pPr>
        <w:pStyle w:val="Heading2"/>
      </w:pPr>
      <w:r>
        <w:rPr/>
        <w:t>Entry Protocol</w:t>
      </w:r>
    </w:p>
    <w:p>
      <w:pPr>
        <w:pStyle w:val="BodyText"/>
        <w:rPr>
          <w:b/>
        </w:rPr>
      </w:pPr>
    </w:p>
    <w:p>
      <w:pPr>
        <w:pStyle w:val="BodyText"/>
        <w:ind w:left="120" w:right="114" w:firstLine="719"/>
        <w:jc w:val="both"/>
      </w:pPr>
      <w:r>
        <w:rPr/>
        <w:t>The Davao Oriental State University (DOrSU) is home to Davao Oriental’s only</w:t>
      </w:r>
      <w:r>
        <w:rPr>
          <w:spacing w:val="1"/>
        </w:rPr>
        <w:t> </w:t>
      </w:r>
      <w:r>
        <w:rPr/>
        <w:t>Gender and Development (GAD) Center. Its primary mandates include integrating gender in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university’s</w:t>
      </w:r>
      <w:r>
        <w:rPr>
          <w:spacing w:val="-8"/>
        </w:rPr>
        <w:t> </w:t>
      </w:r>
      <w:r>
        <w:rPr/>
        <w:t>curriculum,</w:t>
      </w:r>
      <w:r>
        <w:rPr>
          <w:spacing w:val="-7"/>
        </w:rPr>
        <w:t> </w:t>
      </w:r>
      <w:r>
        <w:rPr/>
        <w:t>research,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initiatives.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premise,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Center</w:t>
      </w:r>
      <w:r>
        <w:rPr>
          <w:spacing w:val="-5"/>
        </w:rPr>
        <w:t> </w:t>
      </w:r>
      <w:r>
        <w:rPr/>
        <w:t>led</w:t>
      </w:r>
      <w:r>
        <w:rPr>
          <w:spacing w:val="-58"/>
        </w:rPr>
        <w:t> </w:t>
      </w:r>
      <w:r>
        <w:rPr/>
        <w:t>a research and extension project to assess and assist the Department of Education (DepEd)</w:t>
      </w:r>
      <w:r>
        <w:rPr>
          <w:spacing w:val="1"/>
        </w:rPr>
        <w:t> </w:t>
      </w:r>
      <w:r>
        <w:rPr/>
        <w:t>Schools</w:t>
      </w:r>
      <w:r>
        <w:rPr>
          <w:spacing w:val="-15"/>
        </w:rPr>
        <w:t> </w:t>
      </w:r>
      <w:r>
        <w:rPr/>
        <w:t>Division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Mati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gender</w:t>
      </w:r>
      <w:r>
        <w:rPr>
          <w:spacing w:val="-13"/>
        </w:rPr>
        <w:t> </w:t>
      </w:r>
      <w:r>
        <w:rPr/>
        <w:t>mainstreaming</w:t>
      </w:r>
      <w:r>
        <w:rPr>
          <w:spacing w:val="-13"/>
        </w:rPr>
        <w:t> </w:t>
      </w:r>
      <w:r>
        <w:rPr/>
        <w:t>efforts.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Memorandum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Agreement</w:t>
      </w:r>
      <w:r>
        <w:rPr>
          <w:spacing w:val="-57"/>
        </w:rPr>
        <w:t> </w:t>
      </w:r>
      <w:r>
        <w:rPr/>
        <w:t>(MOA)</w:t>
      </w:r>
      <w:r>
        <w:rPr>
          <w:spacing w:val="-1"/>
        </w:rPr>
        <w:t> </w:t>
      </w:r>
      <w:r>
        <w:rPr/>
        <w:t>was</w:t>
      </w:r>
      <w:r>
        <w:rPr>
          <w:spacing w:val="-7"/>
        </w:rPr>
        <w:t> </w:t>
      </w:r>
      <w:r>
        <w:rPr/>
        <w:t>inked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agencies,</w:t>
      </w:r>
      <w:r>
        <w:rPr>
          <w:spacing w:val="-6"/>
        </w:rPr>
        <w:t> </w:t>
      </w:r>
      <w:r>
        <w:rPr/>
        <w:t>stipulating</w:t>
      </w:r>
      <w:r>
        <w:rPr>
          <w:spacing w:val="-9"/>
        </w:rPr>
        <w:t> </w:t>
      </w:r>
      <w:r>
        <w:rPr/>
        <w:t>research-</w:t>
      </w:r>
      <w:r>
        <w:rPr>
          <w:spacing w:val="-58"/>
        </w:rPr>
        <w:t> </w:t>
      </w:r>
      <w:r>
        <w:rPr/>
        <w:t>based</w:t>
      </w:r>
      <w:r>
        <w:rPr>
          <w:spacing w:val="-1"/>
        </w:rPr>
        <w:t> </w:t>
      </w:r>
      <w:r>
        <w:rPr/>
        <w:t>technical assistance.</w:t>
      </w:r>
    </w:p>
    <w:p>
      <w:pPr>
        <w:spacing w:after="0"/>
        <w:jc w:val="both"/>
        <w:sectPr>
          <w:pgSz w:w="11910" w:h="16840"/>
          <w:pgMar w:top="1360" w:bottom="280" w:left="1320" w:right="1320"/>
        </w:sectPr>
      </w:pPr>
    </w:p>
    <w:p>
      <w:pPr>
        <w:pStyle w:val="Heading2"/>
        <w:spacing w:before="64"/>
      </w:pPr>
      <w:r>
        <w:rPr/>
        <w:t>Gender</w:t>
      </w:r>
      <w:r>
        <w:rPr>
          <w:spacing w:val="-3"/>
        </w:rPr>
        <w:t> </w:t>
      </w:r>
      <w:r>
        <w:rPr/>
        <w:t>Audit</w:t>
      </w:r>
    </w:p>
    <w:p>
      <w:pPr>
        <w:pStyle w:val="BodyText"/>
        <w:rPr>
          <w:b/>
        </w:rPr>
      </w:pPr>
    </w:p>
    <w:p>
      <w:pPr>
        <w:pStyle w:val="BodyText"/>
        <w:ind w:left="120" w:right="116" w:firstLine="719"/>
        <w:jc w:val="both"/>
      </w:pPr>
      <w:r>
        <w:rPr/>
        <w:t>The Philippine Commission on Women’s (PCW) (2016) Gender Mainstreaming and</w:t>
      </w:r>
      <w:r>
        <w:rPr>
          <w:spacing w:val="1"/>
        </w:rPr>
        <w:t> </w:t>
      </w:r>
      <w:r>
        <w:rPr/>
        <w:t>Evaluation Framework (GMEF) was utilized in determining the significant milestones and</w:t>
      </w:r>
      <w:r>
        <w:rPr>
          <w:spacing w:val="1"/>
        </w:rPr>
        <w:t> </w:t>
      </w:r>
      <w:r>
        <w:rPr/>
        <w:t>gaps in GAD implementation among 43 primary and secondary schools in the City of Mati,</w:t>
      </w:r>
      <w:r>
        <w:rPr>
          <w:spacing w:val="1"/>
        </w:rPr>
        <w:t> </w:t>
      </w:r>
      <w:r>
        <w:rPr/>
        <w:t>Davao Oriental. It is a tool to evaluate the gender mainstreaming efforts of an organization in</w:t>
      </w:r>
      <w:r>
        <w:rPr>
          <w:spacing w:val="1"/>
        </w:rPr>
        <w:t> </w:t>
      </w:r>
      <w:r>
        <w:rPr/>
        <w:t>an attempt to assess the GAD Focal Point Systems (GFPS) in the</w:t>
      </w:r>
      <w:r>
        <w:rPr>
          <w:spacing w:val="1"/>
        </w:rPr>
        <w:t> </w:t>
      </w:r>
      <w:r>
        <w:rPr/>
        <w:t>improvement of their</w:t>
      </w:r>
      <w:r>
        <w:rPr>
          <w:spacing w:val="1"/>
        </w:rPr>
        <w:t> </w:t>
      </w:r>
      <w:r>
        <w:rPr/>
        <w:t>initiatives.</w:t>
      </w:r>
    </w:p>
    <w:p>
      <w:pPr>
        <w:pStyle w:val="BodyText"/>
        <w:spacing w:before="1"/>
      </w:pPr>
    </w:p>
    <w:p>
      <w:pPr>
        <w:pStyle w:val="BodyText"/>
        <w:ind w:left="120" w:right="120" w:firstLine="719"/>
        <w:jc w:val="both"/>
      </w:pPr>
      <w:r>
        <w:rPr/>
        <w:t>Four key result areas (KRAs) were examined, including the people, policy, enabling</w:t>
      </w:r>
      <w:r>
        <w:rPr>
          <w:spacing w:val="1"/>
        </w:rPr>
        <w:t> </w:t>
      </w:r>
      <w:r>
        <w:rPr/>
        <w:t>mechanisms, and programs, projects, and activities (PPAs). The first KRA necessitates the</w:t>
      </w:r>
      <w:r>
        <w:rPr>
          <w:spacing w:val="1"/>
        </w:rPr>
        <w:t> </w:t>
      </w:r>
      <w:r>
        <w:rPr/>
        <w:t>designation and capacitation of GAD</w:t>
      </w:r>
      <w:r>
        <w:rPr>
          <w:spacing w:val="1"/>
        </w:rPr>
        <w:t> </w:t>
      </w:r>
      <w:r>
        <w:rPr/>
        <w:t>champions,</w:t>
      </w:r>
      <w:r>
        <w:rPr>
          <w:spacing w:val="1"/>
        </w:rPr>
        <w:t> </w:t>
      </w:r>
      <w:r>
        <w:rPr/>
        <w:t>advocates, program implementers, and</w:t>
      </w:r>
      <w:r>
        <w:rPr>
          <w:spacing w:val="1"/>
        </w:rPr>
        <w:t> </w:t>
      </w:r>
      <w:r>
        <w:rPr/>
        <w:t>experts to lead various GAD initiatives. Meanwhile, the issuance of GAD policies and their</w:t>
      </w:r>
      <w:r>
        <w:rPr>
          <w:spacing w:val="1"/>
        </w:rPr>
        <w:t> </w:t>
      </w:r>
      <w:r>
        <w:rPr/>
        <w:t>integration and continuous enhancement in school mandates is another critical aspect that the</w:t>
      </w:r>
      <w:r>
        <w:rPr>
          <w:spacing w:val="1"/>
        </w:rPr>
        <w:t> </w:t>
      </w:r>
      <w:r>
        <w:rPr/>
        <w:t>tool evaluates. The schools are expected to set up essential GAD mechanisms, structures, and</w:t>
      </w:r>
      <w:r>
        <w:rPr>
          <w:spacing w:val="-57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enabling</w:t>
      </w:r>
      <w:r>
        <w:rPr>
          <w:spacing w:val="-14"/>
        </w:rPr>
        <w:t> </w:t>
      </w:r>
      <w:r>
        <w:rPr/>
        <w:t>mechanisms.</w:t>
      </w:r>
      <w:r>
        <w:rPr>
          <w:spacing w:val="-12"/>
        </w:rPr>
        <w:t> </w:t>
      </w:r>
      <w:r>
        <w:rPr/>
        <w:t>Lastly,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PPAs</w:t>
      </w:r>
      <w:r>
        <w:rPr>
          <w:spacing w:val="-13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initiatives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facilitate,</w:t>
      </w:r>
      <w:r>
        <w:rPr>
          <w:spacing w:val="-15"/>
        </w:rPr>
        <w:t> </w:t>
      </w:r>
      <w:r>
        <w:rPr/>
        <w:t>establish</w:t>
      </w:r>
      <w:r>
        <w:rPr>
          <w:spacing w:val="-57"/>
        </w:rPr>
        <w:t> </w:t>
      </w:r>
      <w:r>
        <w:rPr/>
        <w:t>commitment,</w:t>
      </w:r>
      <w:r>
        <w:rPr>
          <w:spacing w:val="-1"/>
        </w:rPr>
        <w:t> </w:t>
      </w:r>
      <w:r>
        <w:rPr/>
        <w:t>apply,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institutionalize</w:t>
      </w:r>
      <w:r>
        <w:rPr>
          <w:spacing w:val="1"/>
        </w:rPr>
        <w:t> </w:t>
      </w:r>
      <w:r>
        <w:rPr/>
        <w:t>GAD</w:t>
      </w:r>
      <w:r>
        <w:rPr>
          <w:spacing w:val="-3"/>
        </w:rPr>
        <w:t> </w:t>
      </w:r>
      <w:r>
        <w:rPr/>
        <w:t>mainstreaming.</w:t>
      </w:r>
    </w:p>
    <w:p>
      <w:pPr>
        <w:pStyle w:val="BodyText"/>
      </w:pPr>
    </w:p>
    <w:p>
      <w:pPr>
        <w:pStyle w:val="Heading2"/>
        <w:spacing w:before="1"/>
      </w:pPr>
      <w:r>
        <w:rPr/>
        <w:t>Module</w:t>
      </w:r>
      <w:r>
        <w:rPr>
          <w:spacing w:val="-2"/>
        </w:rPr>
        <w:t> </w:t>
      </w:r>
      <w:r>
        <w:rPr/>
        <w:t>Development</w:t>
      </w:r>
    </w:p>
    <w:p>
      <w:pPr>
        <w:pStyle w:val="BodyText"/>
        <w:rPr>
          <w:b/>
        </w:rPr>
      </w:pPr>
    </w:p>
    <w:p>
      <w:pPr>
        <w:pStyle w:val="BodyText"/>
        <w:ind w:left="120" w:right="114" w:firstLine="719"/>
        <w:jc w:val="both"/>
      </w:pPr>
      <w:r>
        <w:rPr/>
        <w:t>Expert resource persons in biology, psychology, and criminology were pooled to</w:t>
      </w:r>
      <w:r>
        <w:rPr>
          <w:spacing w:val="1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modules.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varied</w:t>
      </w:r>
      <w:r>
        <w:rPr>
          <w:spacing w:val="-11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expertise</w:t>
      </w:r>
      <w:r>
        <w:rPr>
          <w:spacing w:val="-9"/>
        </w:rPr>
        <w:t> </w:t>
      </w:r>
      <w:r>
        <w:rPr/>
        <w:t>encompasses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interdisciplinary</w:t>
      </w:r>
      <w:r>
        <w:rPr>
          <w:spacing w:val="-58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GAD,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fundamental concepts and normative practices in the Philippines. Based on the previously</w:t>
      </w:r>
      <w:r>
        <w:rPr>
          <w:spacing w:val="1"/>
        </w:rPr>
        <w:t> </w:t>
      </w:r>
      <w:r>
        <w:rPr/>
        <w:t>mentioned specializations, the module tackles the nexus among the biological, environmental,</w:t>
      </w:r>
      <w:r>
        <w:rPr>
          <w:spacing w:val="-57"/>
        </w:rPr>
        <w:t> </w:t>
      </w:r>
      <w:r>
        <w:rPr/>
        <w:t>social influences on gender. It also emphasizes the legal perspectives, rationalizing gender-</w:t>
      </w:r>
      <w:r>
        <w:rPr>
          <w:spacing w:val="1"/>
        </w:rPr>
        <w:t> </w:t>
      </w:r>
      <w:r>
        <w:rPr>
          <w:spacing w:val="-1"/>
        </w:rPr>
        <w:t>based</w:t>
      </w:r>
      <w:r>
        <w:rPr>
          <w:spacing w:val="-13"/>
        </w:rPr>
        <w:t> </w:t>
      </w:r>
      <w:r>
        <w:rPr/>
        <w:t>violence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penalties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Philippine</w:t>
      </w:r>
      <w:r>
        <w:rPr>
          <w:spacing w:val="-12"/>
        </w:rPr>
        <w:t> </w:t>
      </w:r>
      <w:r>
        <w:rPr/>
        <w:t>context.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such,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module</w:t>
      </w:r>
      <w:r>
        <w:rPr>
          <w:spacing w:val="-58"/>
        </w:rPr>
        <w:t> </w:t>
      </w:r>
      <w:r>
        <w:rPr/>
        <w:t>presents a multi-faceted comprehension of gender beyond the traditional notions through a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lens.</w:t>
      </w:r>
    </w:p>
    <w:p>
      <w:pPr>
        <w:pStyle w:val="BodyText"/>
      </w:pPr>
    </w:p>
    <w:p>
      <w:pPr>
        <w:pStyle w:val="Heading2"/>
      </w:pPr>
      <w:r>
        <w:rPr/>
        <w:t>GAD</w:t>
      </w:r>
      <w:r>
        <w:rPr>
          <w:spacing w:val="-4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Series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20" w:right="114" w:firstLine="719"/>
        <w:jc w:val="both"/>
      </w:pPr>
      <w:r>
        <w:rPr/>
        <w:t>Numerous training on gender sensitivity, planning, and budgeting among the primary</w:t>
      </w:r>
      <w:r>
        <w:rPr>
          <w:spacing w:val="1"/>
        </w:rPr>
        <w:t> </w:t>
      </w:r>
      <w:r>
        <w:rPr/>
        <w:t>and secondary schools under the DepEd Mati was conducted from 2018 until 2021. The</w:t>
      </w:r>
      <w:r>
        <w:rPr>
          <w:spacing w:val="1"/>
        </w:rPr>
        <w:t> </w:t>
      </w:r>
      <w:r>
        <w:rPr/>
        <w:t>participants were school administrators, teachers, students, parents, and other stakeholders.</w:t>
      </w:r>
      <w:r>
        <w:rPr>
          <w:spacing w:val="1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sessions</w:t>
      </w:r>
      <w:r>
        <w:rPr>
          <w:spacing w:val="-12"/>
        </w:rPr>
        <w:t> </w:t>
      </w:r>
      <w:r>
        <w:rPr/>
        <w:t>were</w:t>
      </w:r>
      <w:r>
        <w:rPr>
          <w:spacing w:val="-9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face-to-face,</w:t>
      </w:r>
      <w:r>
        <w:rPr>
          <w:spacing w:val="-10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some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held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using</w:t>
      </w:r>
      <w:r>
        <w:rPr>
          <w:spacing w:val="-58"/>
        </w:rPr>
        <w:t> </w:t>
      </w:r>
      <w:r>
        <w:rPr/>
        <w:t>Zoom</w:t>
      </w:r>
      <w:r>
        <w:rPr>
          <w:spacing w:val="-1"/>
        </w:rPr>
        <w:t> </w:t>
      </w:r>
      <w:r>
        <w:rPr/>
        <w:t>or Google Meet given</w:t>
      </w:r>
      <w:r>
        <w:rPr>
          <w:spacing w:val="-5"/>
        </w:rPr>
        <w:t> </w:t>
      </w:r>
      <w:r>
        <w:rPr/>
        <w:t>the physical</w:t>
      </w:r>
      <w:r>
        <w:rPr>
          <w:spacing w:val="-4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ind w:left="120" w:right="114" w:firstLine="719"/>
        <w:jc w:val="both"/>
      </w:pPr>
      <w:r>
        <w:rPr/>
        <w:t>Through a participatory training approach, the contents were purposefully developed</w:t>
      </w:r>
      <w:r>
        <w:rPr>
          <w:spacing w:val="1"/>
        </w:rPr>
        <w:t> </w:t>
      </w:r>
      <w:r>
        <w:rPr/>
        <w:t>by a pool of experts, incorporating the knowledge gaps, frequently asked questions, and least</w:t>
      </w:r>
      <w:r>
        <w:rPr>
          <w:spacing w:val="1"/>
        </w:rPr>
        <w:t> </w:t>
      </w:r>
      <w:r>
        <w:rPr/>
        <w:t>learned competencies in GAD. The long-standing partnership between DOrSU and DepEd</w:t>
      </w:r>
      <w:r>
        <w:rPr>
          <w:spacing w:val="1"/>
        </w:rPr>
        <w:t> </w:t>
      </w:r>
      <w:r>
        <w:rPr/>
        <w:t>Mati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experts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participants.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development, the user-centered usability test, contextualizes the learning needs of the target</w:t>
      </w:r>
      <w:r>
        <w:rPr>
          <w:spacing w:val="1"/>
        </w:rPr>
        <w:t> </w:t>
      </w:r>
      <w:r>
        <w:rPr/>
        <w:t>communities.</w:t>
      </w:r>
    </w:p>
    <w:p>
      <w:pPr>
        <w:pStyle w:val="BodyText"/>
      </w:pPr>
    </w:p>
    <w:p>
      <w:pPr>
        <w:pStyle w:val="Heading2"/>
        <w:spacing w:before="1"/>
      </w:pPr>
      <w:r>
        <w:rPr/>
        <w:t>Expert</w:t>
      </w:r>
      <w:r>
        <w:rPr>
          <w:spacing w:val="-1"/>
        </w:rPr>
        <w:t> </w:t>
      </w:r>
      <w:r>
        <w:rPr/>
        <w:t>Review</w:t>
      </w:r>
    </w:p>
    <w:p>
      <w:pPr>
        <w:pStyle w:val="BodyText"/>
        <w:rPr>
          <w:b/>
        </w:rPr>
      </w:pPr>
    </w:p>
    <w:p>
      <w:pPr>
        <w:pStyle w:val="BodyText"/>
        <w:ind w:left="120" w:right="111" w:firstLine="719"/>
        <w:jc w:val="both"/>
      </w:pPr>
      <w:r>
        <w:rPr/>
        <w:t>Expert</w:t>
      </w:r>
      <w:r>
        <w:rPr>
          <w:spacing w:val="-9"/>
        </w:rPr>
        <w:t> </w:t>
      </w:r>
      <w:r>
        <w:rPr/>
        <w:t>review,</w:t>
      </w:r>
      <w:r>
        <w:rPr>
          <w:spacing w:val="-9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expert</w:t>
      </w:r>
      <w:r>
        <w:rPr>
          <w:spacing w:val="-8"/>
        </w:rPr>
        <w:t> </w:t>
      </w:r>
      <w:r>
        <w:rPr/>
        <w:t>analysis,</w:t>
      </w:r>
      <w:r>
        <w:rPr>
          <w:spacing w:val="-9"/>
        </w:rPr>
        <w:t> </w:t>
      </w:r>
      <w:r>
        <w:rPr/>
        <w:t>employs</w:t>
      </w:r>
      <w:r>
        <w:rPr>
          <w:spacing w:val="-11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experts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review</w:t>
      </w:r>
      <w:r>
        <w:rPr>
          <w:spacing w:val="-58"/>
        </w:rPr>
        <w:t> </w:t>
      </w:r>
      <w:r>
        <w:rPr/>
        <w:t>the module independently. Three content experts were invited from DOrSU and DepEd Mati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examine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heuristic</w:t>
      </w:r>
      <w:r>
        <w:rPr>
          <w:spacing w:val="-5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techniques.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1"/>
        </w:rPr>
        <w:t> </w:t>
      </w:r>
      <w:r>
        <w:rPr/>
        <w:t>in-depth</w:t>
      </w:r>
      <w:r>
        <w:rPr>
          <w:spacing w:val="-58"/>
        </w:rPr>
        <w:t> </w:t>
      </w:r>
      <w:r>
        <w:rPr/>
        <w:t>content</w:t>
      </w:r>
      <w:r>
        <w:rPr>
          <w:spacing w:val="17"/>
        </w:rPr>
        <w:t> </w:t>
      </w:r>
      <w:r>
        <w:rPr/>
        <w:t>assessment</w:t>
      </w:r>
      <w:r>
        <w:rPr>
          <w:spacing w:val="18"/>
        </w:rPr>
        <w:t> </w:t>
      </w:r>
      <w:r>
        <w:rPr/>
        <w:t>was</w:t>
      </w:r>
      <w:r>
        <w:rPr>
          <w:spacing w:val="16"/>
        </w:rPr>
        <w:t> </w:t>
      </w:r>
      <w:r>
        <w:rPr/>
        <w:t>also</w:t>
      </w:r>
      <w:r>
        <w:rPr>
          <w:spacing w:val="17"/>
        </w:rPr>
        <w:t> </w:t>
      </w:r>
      <w:r>
        <w:rPr/>
        <w:t>conducted</w:t>
      </w:r>
      <w:r>
        <w:rPr>
          <w:spacing w:val="17"/>
        </w:rPr>
        <w:t> </w:t>
      </w:r>
      <w:r>
        <w:rPr/>
        <w:t>through</w:t>
      </w:r>
      <w:r>
        <w:rPr>
          <w:spacing w:val="17"/>
        </w:rPr>
        <w:t> </w:t>
      </w:r>
      <w:r>
        <w:rPr/>
        <w:t>qualitative</w:t>
      </w:r>
      <w:r>
        <w:rPr>
          <w:spacing w:val="18"/>
        </w:rPr>
        <w:t> </w:t>
      </w:r>
      <w:r>
        <w:rPr/>
        <w:t>interactions</w:t>
      </w:r>
      <w:r>
        <w:rPr>
          <w:spacing w:val="16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module</w:t>
      </w:r>
    </w:p>
    <w:p>
      <w:pPr>
        <w:spacing w:after="0"/>
        <w:jc w:val="both"/>
        <w:sectPr>
          <w:pgSz w:w="11910" w:h="16840"/>
          <w:pgMar w:top="1360" w:bottom="280" w:left="1320" w:right="1320"/>
        </w:sectPr>
      </w:pPr>
    </w:p>
    <w:p>
      <w:pPr>
        <w:pStyle w:val="BodyText"/>
        <w:spacing w:before="64"/>
        <w:ind w:left="120"/>
      </w:pPr>
      <w:r>
        <w:rPr/>
        <w:t>developer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reviewer.</w:t>
      </w:r>
      <w:r>
        <w:rPr>
          <w:spacing w:val="-6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review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were</w:t>
      </w:r>
      <w:r>
        <w:rPr>
          <w:spacing w:val="-5"/>
        </w:rPr>
        <w:t> </w:t>
      </w:r>
      <w:r>
        <w:rPr/>
        <w:t>incorporated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13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the training module.</w:t>
      </w:r>
    </w:p>
    <w:p>
      <w:pPr>
        <w:pStyle w:val="BodyText"/>
      </w:pPr>
    </w:p>
    <w:p>
      <w:pPr>
        <w:pStyle w:val="Heading1"/>
        <w:ind w:right="3019"/>
      </w:pP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rPr>
          <w:b/>
        </w:rPr>
      </w:pPr>
    </w:p>
    <w:p>
      <w:pPr>
        <w:pStyle w:val="Heading2"/>
      </w:pPr>
      <w:r>
        <w:rPr/>
        <w:t>Gender</w:t>
      </w:r>
      <w:r>
        <w:rPr>
          <w:spacing w:val="-3"/>
        </w:rPr>
        <w:t> </w:t>
      </w:r>
      <w:r>
        <w:rPr/>
        <w:t>Mainstreaming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20"/>
      </w:pPr>
      <w:r>
        <w:rPr/>
        <w:t>Table</w:t>
      </w:r>
      <w:r>
        <w:rPr>
          <w:spacing w:val="7"/>
        </w:rPr>
        <w:t> </w:t>
      </w:r>
      <w:r>
        <w:rPr/>
        <w:t>1.</w:t>
      </w:r>
      <w:r>
        <w:rPr>
          <w:spacing w:val="5"/>
        </w:rPr>
        <w:t> </w:t>
      </w:r>
      <w:r>
        <w:rPr/>
        <w:t>Levels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Gender</w:t>
      </w:r>
      <w:r>
        <w:rPr>
          <w:spacing w:val="10"/>
        </w:rPr>
        <w:t> </w:t>
      </w:r>
      <w:r>
        <w:rPr/>
        <w:t>Mainstreaming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Primary</w:t>
      </w:r>
      <w:r>
        <w:rPr>
          <w:spacing w:val="10"/>
        </w:rPr>
        <w:t> </w:t>
      </w:r>
      <w:r>
        <w:rPr/>
        <w:t>Schools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City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Mati,</w:t>
      </w:r>
      <w:r>
        <w:rPr>
          <w:spacing w:val="9"/>
        </w:rPr>
        <w:t> </w:t>
      </w:r>
      <w:r>
        <w:rPr/>
        <w:t>Davao</w:t>
      </w:r>
      <w:r>
        <w:rPr>
          <w:spacing w:val="-57"/>
        </w:rPr>
        <w:t> </w:t>
      </w:r>
      <w:r>
        <w:rPr/>
        <w:t>Oriental</w:t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335"/>
        <w:gridCol w:w="1217"/>
        <w:gridCol w:w="3946"/>
      </w:tblGrid>
      <w:tr>
        <w:trPr>
          <w:trHeight w:val="306" w:hRule="atLeast"/>
        </w:trPr>
        <w:tc>
          <w:tcPr>
            <w:tcW w:w="2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Areas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7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Stage</w:t>
            </w:r>
          </w:p>
        </w:tc>
        <w:tc>
          <w:tcPr>
            <w:tcW w:w="3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67" w:right="14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294" w:hRule="atLeast"/>
        </w:trPr>
        <w:tc>
          <w:tcPr>
            <w:tcW w:w="2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/>
              <w:ind w:left="281"/>
              <w:rPr>
                <w:sz w:val="24"/>
              </w:rPr>
            </w:pPr>
            <w:r>
              <w:rPr>
                <w:sz w:val="24"/>
              </w:rPr>
              <w:t>1.5431</w:t>
            </w:r>
          </w:p>
        </w:tc>
        <w:tc>
          <w:tcPr>
            <w:tcW w:w="1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/>
              <w:ind w:left="1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/>
              <w:ind w:left="265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mechanisms</w:t>
            </w:r>
          </w:p>
        </w:tc>
      </w:tr>
      <w:tr>
        <w:trPr>
          <w:trHeight w:val="305" w:hRule="atLeast"/>
        </w:trPr>
        <w:tc>
          <w:tcPr>
            <w:tcW w:w="2544" w:type="dxa"/>
          </w:tcPr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sz w:val="24"/>
              </w:rPr>
              <w:t>Policy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uto" w:before="9"/>
              <w:ind w:left="281"/>
              <w:rPr>
                <w:sz w:val="24"/>
              </w:rPr>
            </w:pPr>
            <w:r>
              <w:rPr>
                <w:sz w:val="24"/>
              </w:rPr>
              <w:t>0.8966</w:t>
            </w:r>
          </w:p>
        </w:tc>
        <w:tc>
          <w:tcPr>
            <w:tcW w:w="1217" w:type="dxa"/>
          </w:tcPr>
          <w:p>
            <w:pPr>
              <w:pStyle w:val="TableParagraph"/>
              <w:spacing w:line="240" w:lineRule="auto" w:before="9"/>
              <w:ind w:left="1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46" w:type="dxa"/>
          </w:tcPr>
          <w:p>
            <w:pPr>
              <w:pStyle w:val="TableParagraph"/>
              <w:spacing w:line="240" w:lineRule="auto" w:before="9"/>
              <w:ind w:left="265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</w:tr>
      <w:tr>
        <w:trPr>
          <w:trHeight w:val="305" w:hRule="atLeast"/>
        </w:trPr>
        <w:tc>
          <w:tcPr>
            <w:tcW w:w="2544" w:type="dxa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Enabling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Mechanisms</w:t>
            </w:r>
          </w:p>
        </w:tc>
        <w:tc>
          <w:tcPr>
            <w:tcW w:w="1335" w:type="dxa"/>
          </w:tcPr>
          <w:p>
            <w:pPr>
              <w:pStyle w:val="TableParagraph"/>
              <w:spacing w:before="11"/>
              <w:ind w:left="281"/>
              <w:rPr>
                <w:sz w:val="24"/>
              </w:rPr>
            </w:pPr>
            <w:r>
              <w:rPr>
                <w:sz w:val="24"/>
              </w:rPr>
              <w:t>0.2897</w:t>
            </w:r>
          </w:p>
        </w:tc>
        <w:tc>
          <w:tcPr>
            <w:tcW w:w="1217" w:type="dxa"/>
          </w:tcPr>
          <w:p>
            <w:pPr>
              <w:pStyle w:val="TableParagraph"/>
              <w:spacing w:before="11"/>
              <w:ind w:left="1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46" w:type="dxa"/>
          </w:tcPr>
          <w:p>
            <w:pPr>
              <w:pStyle w:val="TableParagraph"/>
              <w:spacing w:before="11"/>
              <w:ind w:left="265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</w:tr>
      <w:tr>
        <w:trPr>
          <w:trHeight w:val="566" w:hRule="atLeast"/>
        </w:trPr>
        <w:tc>
          <w:tcPr>
            <w:tcW w:w="2544" w:type="dxa"/>
          </w:tcPr>
          <w:p>
            <w:pPr>
              <w:pStyle w:val="TableParagraph"/>
              <w:spacing w:line="270" w:lineRule="atLeast"/>
              <w:ind w:right="530"/>
              <w:rPr>
                <w:sz w:val="24"/>
              </w:rPr>
            </w:pPr>
            <w:r>
              <w:rPr>
                <w:sz w:val="24"/>
              </w:rPr>
              <w:t>Programs, Projects,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uto" w:before="9"/>
              <w:ind w:left="281"/>
              <w:rPr>
                <w:sz w:val="24"/>
              </w:rPr>
            </w:pPr>
            <w:r>
              <w:rPr>
                <w:sz w:val="24"/>
              </w:rPr>
              <w:t>1.2880</w:t>
            </w:r>
          </w:p>
        </w:tc>
        <w:tc>
          <w:tcPr>
            <w:tcW w:w="1217" w:type="dxa"/>
          </w:tcPr>
          <w:p>
            <w:pPr>
              <w:pStyle w:val="TableParagraph"/>
              <w:spacing w:line="240" w:lineRule="auto" w:before="9"/>
              <w:ind w:left="1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46" w:type="dxa"/>
          </w:tcPr>
          <w:p>
            <w:pPr>
              <w:pStyle w:val="TableParagraph"/>
              <w:spacing w:line="240" w:lineRule="auto" w:before="9"/>
              <w:ind w:left="265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mechanisms</w:t>
            </w:r>
          </w:p>
        </w:tc>
      </w:tr>
      <w:tr>
        <w:trPr>
          <w:trHeight w:val="546" w:hRule="atLeast"/>
        </w:trPr>
        <w:tc>
          <w:tcPr>
            <w:tcW w:w="2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1.0044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Installation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strategic</w:t>
            </w:r>
          </w:p>
          <w:p>
            <w:pPr>
              <w:pStyle w:val="TableParagraph"/>
              <w:spacing w:line="255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mechanisms</w:t>
            </w:r>
          </w:p>
        </w:tc>
      </w:tr>
    </w:tbl>
    <w:p>
      <w:pPr>
        <w:pStyle w:val="BodyText"/>
      </w:pPr>
    </w:p>
    <w:p>
      <w:pPr>
        <w:pStyle w:val="BodyText"/>
        <w:ind w:left="120"/>
      </w:pPr>
      <w:r>
        <w:rPr/>
        <w:t>Table</w:t>
      </w:r>
      <w:r>
        <w:rPr>
          <w:spacing w:val="-9"/>
        </w:rPr>
        <w:t> </w:t>
      </w:r>
      <w:r>
        <w:rPr/>
        <w:t>2.</w:t>
      </w:r>
      <w:r>
        <w:rPr>
          <w:spacing w:val="-10"/>
        </w:rPr>
        <w:t> </w:t>
      </w:r>
      <w:r>
        <w:rPr/>
        <w:t>Levels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Gender</w:t>
      </w:r>
      <w:r>
        <w:rPr>
          <w:spacing w:val="-6"/>
        </w:rPr>
        <w:t> </w:t>
      </w:r>
      <w:r>
        <w:rPr/>
        <w:t>Mainstreaming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Schools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City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Mati,</w:t>
      </w:r>
      <w:r>
        <w:rPr>
          <w:spacing w:val="-7"/>
        </w:rPr>
        <w:t> </w:t>
      </w:r>
      <w:r>
        <w:rPr/>
        <w:t>Davao</w:t>
      </w:r>
      <w:r>
        <w:rPr>
          <w:spacing w:val="-57"/>
        </w:rPr>
        <w:t> </w:t>
      </w:r>
      <w:r>
        <w:rPr/>
        <w:t>Oriental</w:t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1335"/>
        <w:gridCol w:w="1217"/>
        <w:gridCol w:w="3944"/>
      </w:tblGrid>
      <w:tr>
        <w:trPr>
          <w:trHeight w:val="306" w:hRule="atLeast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Areas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37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3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561" w:right="14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298" w:hRule="atLeast"/>
        </w:trPr>
        <w:tc>
          <w:tcPr>
            <w:tcW w:w="2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283"/>
              <w:rPr>
                <w:sz w:val="24"/>
              </w:rPr>
            </w:pPr>
            <w:r>
              <w:rPr>
                <w:sz w:val="24"/>
              </w:rPr>
              <w:t>0.1367</w:t>
            </w:r>
          </w:p>
        </w:tc>
        <w:tc>
          <w:tcPr>
            <w:tcW w:w="1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1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263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</w:tr>
      <w:tr>
        <w:trPr>
          <w:trHeight w:val="304" w:hRule="atLeast"/>
        </w:trPr>
        <w:tc>
          <w:tcPr>
            <w:tcW w:w="2546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Policy</w:t>
            </w:r>
          </w:p>
        </w:tc>
        <w:tc>
          <w:tcPr>
            <w:tcW w:w="1335" w:type="dxa"/>
          </w:tcPr>
          <w:p>
            <w:pPr>
              <w:pStyle w:val="TableParagraph"/>
              <w:spacing w:before="9"/>
              <w:ind w:left="283"/>
              <w:rPr>
                <w:sz w:val="24"/>
              </w:rPr>
            </w:pPr>
            <w:r>
              <w:rPr>
                <w:sz w:val="24"/>
              </w:rPr>
              <w:t>0.6667</w:t>
            </w:r>
          </w:p>
        </w:tc>
        <w:tc>
          <w:tcPr>
            <w:tcW w:w="1217" w:type="dxa"/>
          </w:tcPr>
          <w:p>
            <w:pPr>
              <w:pStyle w:val="TableParagraph"/>
              <w:spacing w:before="9"/>
              <w:ind w:left="1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44" w:type="dxa"/>
          </w:tcPr>
          <w:p>
            <w:pPr>
              <w:pStyle w:val="TableParagraph"/>
              <w:spacing w:before="9"/>
              <w:ind w:left="263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</w:tr>
      <w:tr>
        <w:trPr>
          <w:trHeight w:val="304" w:hRule="atLeast"/>
        </w:trPr>
        <w:tc>
          <w:tcPr>
            <w:tcW w:w="2546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Enabling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Mechanisms</w:t>
            </w:r>
          </w:p>
        </w:tc>
        <w:tc>
          <w:tcPr>
            <w:tcW w:w="1335" w:type="dxa"/>
          </w:tcPr>
          <w:p>
            <w:pPr>
              <w:pStyle w:val="TableParagraph"/>
              <w:spacing w:before="9"/>
              <w:ind w:left="283"/>
              <w:rPr>
                <w:sz w:val="24"/>
              </w:rPr>
            </w:pPr>
            <w:r>
              <w:rPr>
                <w:sz w:val="24"/>
              </w:rPr>
              <w:t>0.4400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9"/>
              <w:ind w:left="1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44" w:type="dxa"/>
          </w:tcPr>
          <w:p>
            <w:pPr>
              <w:pStyle w:val="TableParagraph"/>
              <w:spacing w:before="9"/>
              <w:ind w:left="263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</w:tr>
      <w:tr>
        <w:trPr>
          <w:trHeight w:val="565" w:hRule="atLeast"/>
        </w:trPr>
        <w:tc>
          <w:tcPr>
            <w:tcW w:w="2546" w:type="dxa"/>
          </w:tcPr>
          <w:p>
            <w:pPr>
              <w:pStyle w:val="TableParagraph"/>
              <w:spacing w:line="270" w:lineRule="atLeast"/>
              <w:ind w:right="532"/>
              <w:rPr>
                <w:sz w:val="24"/>
              </w:rPr>
            </w:pPr>
            <w:r>
              <w:rPr>
                <w:sz w:val="24"/>
              </w:rPr>
              <w:t>Programs, Projects,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uto" w:before="9"/>
              <w:ind w:left="283"/>
              <w:rPr>
                <w:sz w:val="24"/>
              </w:rPr>
            </w:pPr>
            <w:r>
              <w:rPr>
                <w:sz w:val="24"/>
              </w:rPr>
              <w:t>1.2444</w:t>
            </w:r>
          </w:p>
        </w:tc>
        <w:tc>
          <w:tcPr>
            <w:tcW w:w="1217" w:type="dxa"/>
          </w:tcPr>
          <w:p>
            <w:pPr>
              <w:pStyle w:val="TableParagraph"/>
              <w:spacing w:line="240" w:lineRule="auto" w:before="9"/>
              <w:ind w:left="12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line="240" w:lineRule="auto" w:before="9"/>
              <w:ind w:left="263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mechanisms</w:t>
            </w:r>
          </w:p>
        </w:tc>
      </w:tr>
      <w:tr>
        <w:trPr>
          <w:trHeight w:val="301" w:hRule="atLeast"/>
        </w:trPr>
        <w:tc>
          <w:tcPr>
            <w:tcW w:w="25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0.9294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Foundation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formation</w:t>
            </w:r>
          </w:p>
        </w:tc>
      </w:tr>
    </w:tbl>
    <w:p>
      <w:pPr>
        <w:pStyle w:val="BodyText"/>
      </w:pPr>
    </w:p>
    <w:p>
      <w:pPr>
        <w:pStyle w:val="BodyText"/>
        <w:ind w:left="120" w:right="125" w:firstLine="719"/>
        <w:jc w:val="both"/>
      </w:pPr>
      <w:r>
        <w:rPr/>
        <w:t>The Gender Mainstreaming Evaluation Framework (GMEF) revealed that the primary</w:t>
      </w:r>
      <w:r>
        <w:rPr>
          <w:spacing w:val="-57"/>
        </w:rPr>
        <w:t> </w:t>
      </w:r>
      <w:r>
        <w:rPr/>
        <w:t>schools are in the installation of strategic mechanisms (Stage 2), while the secondary schools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(Stage</w:t>
      </w:r>
      <w:r>
        <w:rPr>
          <w:spacing w:val="-1"/>
        </w:rPr>
        <w:t> </w:t>
      </w:r>
      <w:r>
        <w:rPr/>
        <w:t>1)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GAD</w:t>
      </w:r>
      <w:r>
        <w:rPr>
          <w:spacing w:val="-4"/>
        </w:rPr>
        <w:t> </w:t>
      </w:r>
      <w:r>
        <w:rPr/>
        <w:t>implementation.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stages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indicative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 developmental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in the</w:t>
      </w:r>
      <w:r>
        <w:rPr>
          <w:spacing w:val="1"/>
        </w:rPr>
        <w:t> </w:t>
      </w:r>
      <w:r>
        <w:rPr/>
        <w:t>surveyed</w:t>
      </w:r>
      <w:r>
        <w:rPr>
          <w:spacing w:val="-1"/>
        </w:rPr>
        <w:t> </w:t>
      </w:r>
      <w:r>
        <w:rPr/>
        <w:t>schools.</w:t>
      </w:r>
    </w:p>
    <w:p>
      <w:pPr>
        <w:pStyle w:val="BodyText"/>
        <w:spacing w:before="1"/>
      </w:pPr>
    </w:p>
    <w:p>
      <w:pPr>
        <w:pStyle w:val="BodyText"/>
        <w:ind w:left="120" w:right="123" w:firstLine="719"/>
        <w:jc w:val="both"/>
      </w:pPr>
      <w:r>
        <w:rPr/>
        <w:t>Primary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Mati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mainstreaming.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Philippine</w:t>
      </w:r>
      <w:r>
        <w:rPr>
          <w:spacing w:val="-5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Women</w:t>
      </w:r>
      <w:r>
        <w:rPr>
          <w:spacing w:val="-7"/>
        </w:rPr>
        <w:t> </w:t>
      </w:r>
      <w:r>
        <w:rPr/>
        <w:t>(2016)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outlined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steps</w:t>
      </w:r>
      <w:r>
        <w:rPr>
          <w:spacing w:val="-58"/>
        </w:rPr>
        <w:t> </w:t>
      </w:r>
      <w:r>
        <w:rPr/>
        <w:t>that need to be undertaken in four areas: people, policy, enabling mechanisms, and PPAs.</w:t>
      </w:r>
      <w:r>
        <w:rPr>
          <w:spacing w:val="1"/>
        </w:rPr>
        <w:t> </w:t>
      </w:r>
      <w:r>
        <w:rPr/>
        <w:t>Strategic</w:t>
      </w:r>
      <w:r>
        <w:rPr>
          <w:spacing w:val="-5"/>
        </w:rPr>
        <w:t> </w:t>
      </w:r>
      <w:r>
        <w:rPr/>
        <w:t>mechanisms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put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schools,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efforts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attain</w:t>
      </w:r>
      <w:r>
        <w:rPr>
          <w:spacing w:val="-57"/>
        </w:rPr>
        <w:t> </w:t>
      </w:r>
      <w:r>
        <w:rPr/>
        <w:t>GAD application. It is recommended that schools institutionalize a GAD focal system, spell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school’s</w:t>
      </w:r>
      <w:r>
        <w:rPr>
          <w:spacing w:val="-7"/>
        </w:rPr>
        <w:t> </w:t>
      </w:r>
      <w:r>
        <w:rPr/>
        <w:t>visions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goals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gender</w:t>
      </w:r>
      <w:r>
        <w:rPr>
          <w:spacing w:val="-5"/>
        </w:rPr>
        <w:t> </w:t>
      </w:r>
      <w:r>
        <w:rPr/>
        <w:t>mainstreaming,</w:t>
      </w:r>
      <w:r>
        <w:rPr>
          <w:spacing w:val="-6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institutional</w:t>
      </w:r>
      <w:r>
        <w:rPr>
          <w:spacing w:val="-5"/>
        </w:rPr>
        <w:t> </w:t>
      </w:r>
      <w:r>
        <w:rPr/>
        <w:t>mechanisms</w:t>
      </w:r>
      <w:r>
        <w:rPr>
          <w:spacing w:val="-58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funding and staff,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issue</w:t>
      </w:r>
      <w:r>
        <w:rPr>
          <w:spacing w:val="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 guidelines.</w:t>
      </w:r>
    </w:p>
    <w:p>
      <w:pPr>
        <w:pStyle w:val="BodyText"/>
      </w:pPr>
    </w:p>
    <w:p>
      <w:pPr>
        <w:pStyle w:val="BodyText"/>
        <w:ind w:left="120" w:right="123" w:firstLine="719"/>
        <w:jc w:val="both"/>
      </w:pPr>
      <w:r>
        <w:rPr/>
        <w:t>On the one hand, secondary schools are found to be in the initial stage of GAD</w:t>
      </w:r>
      <w:r>
        <w:rPr>
          <w:spacing w:val="1"/>
        </w:rPr>
        <w:t> </w:t>
      </w:r>
      <w:r>
        <w:rPr/>
        <w:t>implementation. At the onset is the need for people to understand, appreciate, and imbibe</w:t>
      </w:r>
      <w:r>
        <w:rPr>
          <w:spacing w:val="1"/>
        </w:rPr>
        <w:t> </w:t>
      </w:r>
      <w:r>
        <w:rPr/>
        <w:t>gender sensitivity. It is fundamental to incorporate RA 7192, otherwise known as the Women</w:t>
      </w:r>
      <w:r>
        <w:rPr>
          <w:spacing w:val="-57"/>
        </w:rPr>
        <w:t> </w:t>
      </w:r>
      <w:r>
        <w:rPr/>
        <w:t>in Nation Building Act, in the school operations. As such, the schools must issue broad</w:t>
      </w:r>
      <w:r>
        <w:rPr>
          <w:spacing w:val="1"/>
        </w:rPr>
        <w:t> </w:t>
      </w:r>
      <w:r>
        <w:rPr/>
        <w:t>statements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GAD,</w:t>
      </w:r>
      <w:r>
        <w:rPr>
          <w:spacing w:val="-11"/>
        </w:rPr>
        <w:t> </w:t>
      </w:r>
      <w:r>
        <w:rPr/>
        <w:t>review</w:t>
      </w:r>
      <w:r>
        <w:rPr>
          <w:spacing w:val="-13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policies,</w:t>
      </w:r>
      <w:r>
        <w:rPr>
          <w:spacing w:val="-11"/>
        </w:rPr>
        <w:t> </w:t>
      </w:r>
      <w:r>
        <w:rPr/>
        <w:t>allocate</w:t>
      </w:r>
      <w:r>
        <w:rPr>
          <w:spacing w:val="-10"/>
        </w:rPr>
        <w:t> </w:t>
      </w:r>
      <w:r>
        <w:rPr/>
        <w:t>budget,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analyze</w:t>
      </w:r>
      <w:r>
        <w:rPr>
          <w:spacing w:val="-58"/>
        </w:rPr>
        <w:t> </w:t>
      </w:r>
      <w:r>
        <w:rPr/>
        <w:t>the school’s</w:t>
      </w:r>
      <w:r>
        <w:rPr>
          <w:spacing w:val="-2"/>
        </w:rPr>
        <w:t> </w:t>
      </w:r>
      <w:r>
        <w:rPr/>
        <w:t>potentials</w:t>
      </w:r>
      <w:r>
        <w:rPr>
          <w:spacing w:val="-2"/>
        </w:rPr>
        <w:t> </w:t>
      </w:r>
      <w:r>
        <w:rPr/>
        <w:t>to incorporate</w:t>
      </w:r>
      <w:r>
        <w:rPr>
          <w:spacing w:val="1"/>
        </w:rPr>
        <w:t> </w:t>
      </w:r>
      <w:r>
        <w:rPr/>
        <w:t>GAD.</w:t>
      </w:r>
    </w:p>
    <w:p>
      <w:pPr>
        <w:spacing w:after="0"/>
        <w:jc w:val="both"/>
        <w:sectPr>
          <w:pgSz w:w="11910" w:h="16840"/>
          <w:pgMar w:top="1360" w:bottom="280" w:left="1320" w:right="1320"/>
        </w:sectPr>
      </w:pPr>
    </w:p>
    <w:p>
      <w:pPr>
        <w:pStyle w:val="BodyText"/>
        <w:spacing w:before="64"/>
        <w:ind w:left="120" w:right="122" w:firstLine="719"/>
        <w:jc w:val="both"/>
      </w:pPr>
      <w:r>
        <w:rPr/>
        <w:t>The results underscored that mastery of the GAD concepts is fundamental for its</w:t>
      </w:r>
      <w:r>
        <w:rPr>
          <w:spacing w:val="1"/>
        </w:rPr>
        <w:t> </w:t>
      </w:r>
      <w:r>
        <w:rPr/>
        <w:t>successful implementation at the school level. There is a need to appoint a focal person, who</w:t>
      </w:r>
      <w:r>
        <w:rPr>
          <w:spacing w:val="1"/>
        </w:rPr>
        <w:t> </w:t>
      </w:r>
      <w:r>
        <w:rPr/>
        <w:t>shall undergo a rigorous capacity-building to be equipped with an understanding of GAD,</w:t>
      </w:r>
      <w:r>
        <w:rPr>
          <w:spacing w:val="1"/>
        </w:rPr>
        <w:t> </w:t>
      </w:r>
      <w:r>
        <w:rPr/>
        <w:t>gender-related issues, and DepEd’s framework of gender-responsive basic education. In this</w:t>
      </w:r>
      <w:r>
        <w:rPr>
          <w:spacing w:val="1"/>
        </w:rPr>
        <w:t> </w:t>
      </w:r>
      <w:r>
        <w:rPr/>
        <w:t>way, the focal person may critically identify gender issues and plan initiatives to address each</w:t>
      </w:r>
      <w:r>
        <w:rPr>
          <w:spacing w:val="-57"/>
        </w:rPr>
        <w:t> </w:t>
      </w:r>
      <w:r>
        <w:rPr/>
        <w:t>appropriately.</w:t>
      </w:r>
    </w:p>
    <w:p>
      <w:pPr>
        <w:pStyle w:val="BodyText"/>
        <w:spacing w:before="1"/>
      </w:pPr>
    </w:p>
    <w:p>
      <w:pPr>
        <w:pStyle w:val="BodyText"/>
        <w:ind w:left="120" w:right="125" w:firstLine="719"/>
        <w:jc w:val="both"/>
      </w:pPr>
      <w:r>
        <w:rPr/>
        <w:t>Meanwhile,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schemes</w:t>
      </w:r>
      <w:r>
        <w:rPr>
          <w:spacing w:val="1"/>
        </w:rPr>
        <w:t> </w:t>
      </w:r>
      <w:r>
        <w:rPr/>
        <w:t>at the division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established 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pressure on the school implementers. The division’s focal person shall be in charge of GAD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Superintendent. In addition to this function is the continuous assessment and monitoring of</w:t>
      </w:r>
      <w:r>
        <w:rPr>
          <w:spacing w:val="1"/>
        </w:rPr>
        <w:t> </w:t>
      </w:r>
      <w:r>
        <w:rPr/>
        <w:t>gender mainstreaming to ensure sustainability (Sacro et al., 2021). The issuance of policies to</w:t>
      </w:r>
      <w:r>
        <w:rPr>
          <w:spacing w:val="-57"/>
        </w:rPr>
        <w:t> </w:t>
      </w:r>
      <w:r>
        <w:rPr/>
        <w:t>formalize and enable these mechanisms is also needed as a legal basis for implementing GAD</w:t>
      </w:r>
      <w:r>
        <w:rPr>
          <w:spacing w:val="-58"/>
        </w:rPr>
        <w:t> </w:t>
      </w:r>
      <w:r>
        <w:rPr/>
        <w:t>PPAs.</w:t>
      </w:r>
    </w:p>
    <w:p>
      <w:pPr>
        <w:pStyle w:val="BodyText"/>
      </w:pPr>
    </w:p>
    <w:p>
      <w:pPr>
        <w:pStyle w:val="Heading2"/>
      </w:pP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20" w:right="118" w:firstLine="719"/>
        <w:jc w:val="both"/>
      </w:pPr>
      <w:r>
        <w:rPr/>
        <w:t>The Gender and Development (GAD) Training Module is intended for the GAD Focal</w:t>
      </w:r>
      <w:r>
        <w:rPr>
          <w:spacing w:val="-57"/>
        </w:rPr>
        <w:t> </w:t>
      </w:r>
      <w:r>
        <w:rPr/>
        <w:t>Persons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Mati,</w:t>
      </w:r>
      <w:r>
        <w:rPr>
          <w:spacing w:val="1"/>
        </w:rPr>
        <w:t> </w:t>
      </w:r>
      <w:r>
        <w:rPr/>
        <w:t>Davao</w:t>
      </w:r>
      <w:r>
        <w:rPr>
          <w:spacing w:val="1"/>
        </w:rPr>
        <w:t> </w:t>
      </w:r>
      <w:r>
        <w:rPr/>
        <w:t>Oriental.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contextualized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fit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needs,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revealed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GAD</w:t>
      </w:r>
      <w:r>
        <w:rPr>
          <w:spacing w:val="-11"/>
        </w:rPr>
        <w:t> </w:t>
      </w:r>
      <w:r>
        <w:rPr/>
        <w:t>mainstreaming</w:t>
      </w:r>
      <w:r>
        <w:rPr>
          <w:spacing w:val="-9"/>
        </w:rPr>
        <w:t> </w:t>
      </w:r>
      <w:r>
        <w:rPr/>
        <w:t>evaluation.</w:t>
      </w:r>
      <w:r>
        <w:rPr>
          <w:spacing w:val="-10"/>
        </w:rPr>
        <w:t> </w:t>
      </w:r>
      <w:r>
        <w:rPr/>
        <w:t>In</w:t>
      </w:r>
      <w:r>
        <w:rPr>
          <w:spacing w:val="-57"/>
        </w:rPr>
        <w:t> </w:t>
      </w:r>
      <w:r>
        <w:rPr>
          <w:spacing w:val="-1"/>
        </w:rPr>
        <w:t>hindsight,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module</w:t>
      </w:r>
      <w:r>
        <w:rPr>
          <w:spacing w:val="-11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topics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gender</w:t>
      </w:r>
      <w:r>
        <w:rPr>
          <w:spacing w:val="-13"/>
        </w:rPr>
        <w:t> </w:t>
      </w:r>
      <w:r>
        <w:rPr/>
        <w:t>sensitivity,</w:t>
      </w:r>
      <w:r>
        <w:rPr>
          <w:spacing w:val="-12"/>
        </w:rPr>
        <w:t> </w:t>
      </w:r>
      <w:r>
        <w:rPr/>
        <w:t>planning,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budgeting.</w:t>
      </w:r>
      <w:r>
        <w:rPr>
          <w:spacing w:val="-58"/>
        </w:rPr>
        <w:t> </w:t>
      </w:r>
      <w:r>
        <w:rPr/>
        <w:t>Romero et al. (2020) and Arellano-Hernandez (2018) ideated that training and seminars</w:t>
      </w:r>
      <w:r>
        <w:rPr>
          <w:spacing w:val="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raise</w:t>
      </w:r>
      <w:r>
        <w:rPr>
          <w:spacing w:val="-3"/>
        </w:rPr>
        <w:t> </w:t>
      </w:r>
      <w:r>
        <w:rPr/>
        <w:t>awareness</w:t>
      </w:r>
      <w:r>
        <w:rPr>
          <w:spacing w:val="-2"/>
        </w:rPr>
        <w:t> </w:t>
      </w:r>
      <w:r>
        <w:rPr/>
        <w:t>about GAD.</w:t>
      </w:r>
    </w:p>
    <w:p>
      <w:pPr>
        <w:pStyle w:val="BodyText"/>
      </w:pPr>
    </w:p>
    <w:p>
      <w:pPr>
        <w:pStyle w:val="BodyText"/>
        <w:ind w:left="120" w:right="120" w:firstLine="719"/>
        <w:jc w:val="both"/>
      </w:pPr>
      <w:r>
        <w:rPr/>
        <w:t>Table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topics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module.</w:t>
      </w:r>
      <w:r>
        <w:rPr>
          <w:spacing w:val="1"/>
        </w:rPr>
        <w:t> </w:t>
      </w:r>
      <w:r>
        <w:rPr/>
        <w:t>Emphasis is put into the GAD basic concepts and definitions towards resolving gender issues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promoting gender-responsiveness</w:t>
      </w:r>
      <w:r>
        <w:rPr>
          <w:spacing w:val="-2"/>
        </w:rPr>
        <w:t> </w:t>
      </w:r>
      <w:r>
        <w:rPr/>
        <w:t>in the school setting.</w:t>
      </w:r>
    </w:p>
    <w:p>
      <w:pPr>
        <w:pStyle w:val="BodyText"/>
      </w:pPr>
    </w:p>
    <w:p>
      <w:pPr>
        <w:pStyle w:val="BodyText"/>
        <w:ind w:left="120"/>
      </w:pPr>
      <w:r>
        <w:rPr/>
        <w:t>Table</w:t>
      </w:r>
      <w:r>
        <w:rPr>
          <w:spacing w:val="18"/>
        </w:rPr>
        <w:t> </w:t>
      </w:r>
      <w:r>
        <w:rPr/>
        <w:t>3.</w:t>
      </w:r>
      <w:r>
        <w:rPr>
          <w:spacing w:val="18"/>
        </w:rPr>
        <w:t> </w:t>
      </w:r>
      <w:r>
        <w:rPr/>
        <w:t>Content</w:t>
      </w:r>
      <w:r>
        <w:rPr>
          <w:spacing w:val="19"/>
        </w:rPr>
        <w:t> </w:t>
      </w:r>
      <w:r>
        <w:rPr/>
        <w:t>Outline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Training</w:t>
      </w:r>
      <w:r>
        <w:rPr>
          <w:spacing w:val="14"/>
        </w:rPr>
        <w:t> </w:t>
      </w:r>
      <w:r>
        <w:rPr/>
        <w:t>Module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GAD</w:t>
      </w:r>
      <w:r>
        <w:rPr>
          <w:spacing w:val="17"/>
        </w:rPr>
        <w:t> </w:t>
      </w:r>
      <w:r>
        <w:rPr/>
        <w:t>Focal</w:t>
      </w:r>
      <w:r>
        <w:rPr>
          <w:spacing w:val="18"/>
        </w:rPr>
        <w:t> </w:t>
      </w:r>
      <w:r>
        <w:rPr/>
        <w:t>Persons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DepEd</w:t>
      </w:r>
      <w:r>
        <w:rPr>
          <w:spacing w:val="18"/>
        </w:rPr>
        <w:t> </w:t>
      </w:r>
      <w:r>
        <w:rPr/>
        <w:t>City</w:t>
      </w:r>
      <w:r>
        <w:rPr>
          <w:spacing w:val="18"/>
        </w:rPr>
        <w:t> </w:t>
      </w:r>
      <w:r>
        <w:rPr/>
        <w:t>of</w:t>
      </w:r>
      <w:r>
        <w:rPr>
          <w:spacing w:val="-57"/>
        </w:rPr>
        <w:t> </w:t>
      </w:r>
      <w:r>
        <w:rPr/>
        <w:t>Mati</w:t>
      </w: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3"/>
        <w:gridCol w:w="4578"/>
      </w:tblGrid>
      <w:tr>
        <w:trPr>
          <w:trHeight w:val="273" w:hRule="atLeast"/>
        </w:trPr>
        <w:tc>
          <w:tcPr>
            <w:tcW w:w="44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1883" w:right="18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</w:t>
            </w:r>
          </w:p>
        </w:tc>
        <w:tc>
          <w:tcPr>
            <w:tcW w:w="45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2008" w:right="19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</w:tr>
      <w:tr>
        <w:trPr>
          <w:trHeight w:val="836" w:hRule="atLeast"/>
        </w:trPr>
        <w:tc>
          <w:tcPr>
            <w:tcW w:w="44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7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45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atLeast"/>
              <w:ind w:left="176" w:right="143"/>
              <w:rPr>
                <w:sz w:val="24"/>
              </w:rPr>
            </w:pPr>
            <w:r>
              <w:rPr>
                <w:sz w:val="24"/>
              </w:rPr>
              <w:t>Differences between Sex and Gender,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Concept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Gender</w:t>
            </w:r>
          </w:p>
        </w:tc>
      </w:tr>
      <w:tr>
        <w:trPr>
          <w:trHeight w:val="827" w:hRule="atLeast"/>
        </w:trPr>
        <w:tc>
          <w:tcPr>
            <w:tcW w:w="4453" w:type="dxa"/>
          </w:tcPr>
          <w:p>
            <w:pPr>
              <w:pStyle w:val="TableParagraph"/>
              <w:spacing w:line="240" w:lineRule="auto"/>
              <w:ind w:left="107" w:right="169"/>
              <w:rPr>
                <w:sz w:val="24"/>
              </w:rPr>
            </w:pPr>
            <w:r>
              <w:rPr>
                <w:sz w:val="24"/>
              </w:rPr>
              <w:t>Resolving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Gender-Based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Violence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4578" w:type="dxa"/>
          </w:tcPr>
          <w:p>
            <w:pPr>
              <w:pStyle w:val="TableParagraph"/>
              <w:spacing w:line="240" w:lineRule="auto"/>
              <w:ind w:left="176" w:right="263"/>
              <w:rPr>
                <w:sz w:val="24"/>
              </w:rPr>
            </w:pPr>
            <w:r>
              <w:rPr>
                <w:sz w:val="24"/>
              </w:rPr>
              <w:t>Defining Gender-Based Violence, Gender-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Violence 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 to</w:t>
            </w:r>
          </w:p>
          <w:p>
            <w:pPr>
              <w:pStyle w:val="TableParagraph"/>
              <w:spacing w:line="261" w:lineRule="exact"/>
              <w:ind w:left="176"/>
              <w:rPr>
                <w:sz w:val="24"/>
              </w:rPr>
            </w:pPr>
            <w:r>
              <w:rPr>
                <w:sz w:val="24"/>
              </w:rPr>
              <w:t>School-Related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Gender-Based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Violence</w:t>
            </w:r>
          </w:p>
        </w:tc>
      </w:tr>
      <w:tr>
        <w:trPr>
          <w:trHeight w:val="823" w:hRule="atLeast"/>
        </w:trPr>
        <w:tc>
          <w:tcPr>
            <w:tcW w:w="4453" w:type="dxa"/>
          </w:tcPr>
          <w:p>
            <w:pPr>
              <w:pStyle w:val="TableParagraph"/>
              <w:spacing w:line="240" w:lineRule="auto"/>
              <w:ind w:left="107" w:right="773"/>
              <w:rPr>
                <w:sz w:val="24"/>
              </w:rPr>
            </w:pPr>
            <w:r>
              <w:rPr>
                <w:sz w:val="24"/>
              </w:rPr>
              <w:t>Towards a Gender-Responsive Basic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4578" w:type="dxa"/>
          </w:tcPr>
          <w:p>
            <w:pPr>
              <w:pStyle w:val="TableParagraph"/>
              <w:spacing w:line="240" w:lineRule="auto"/>
              <w:ind w:left="176" w:right="152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Gender-Responsive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Teaching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Design,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GAD</w:t>
            </w:r>
          </w:p>
          <w:p>
            <w:pPr>
              <w:pStyle w:val="TableParagraph"/>
              <w:tabs>
                <w:tab w:pos="4578" w:val="left" w:leader="none"/>
              </w:tabs>
              <w:spacing w:line="256" w:lineRule="exact"/>
              <w:ind w:left="-4465" w:right="-15"/>
              <w:rPr>
                <w:sz w:val="24"/>
              </w:rPr>
            </w:pPr>
            <w:r>
              <w:rPr>
                <w:sz w:val="24"/>
                <w:u w:val="single"/>
              </w:rPr>
              <w:t>                                                                            </w:t>
            </w:r>
            <w:r>
              <w:rPr>
                <w:spacing w:val="2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Planning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Budgeting</w:t>
              <w:tab/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spacing w:before="1"/>
      </w:pPr>
      <w:r>
        <w:rPr/>
        <w:t>Understanding</w:t>
      </w:r>
      <w:r>
        <w:rPr>
          <w:spacing w:val="-5"/>
        </w:rPr>
        <w:t> </w:t>
      </w:r>
      <w:r>
        <w:rPr/>
        <w:t>Gender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(GAD)</w:t>
      </w:r>
    </w:p>
    <w:p>
      <w:pPr>
        <w:pStyle w:val="BodyText"/>
        <w:rPr>
          <w:b/>
        </w:rPr>
      </w:pPr>
    </w:p>
    <w:p>
      <w:pPr>
        <w:pStyle w:val="BodyText"/>
        <w:ind w:left="120" w:right="121" w:firstLine="719"/>
        <w:jc w:val="both"/>
      </w:pPr>
      <w:r>
        <w:rPr/>
        <w:t>The Governance and Social Development Resource Centre (GSDRC) (2015) asserted</w:t>
      </w:r>
      <w:r>
        <w:rPr>
          <w:spacing w:val="1"/>
        </w:rPr>
        <w:t> </w:t>
      </w:r>
      <w:r>
        <w:rPr/>
        <w:t>that gender is an integral development component. The GAD focal persons must have a</w:t>
      </w:r>
      <w:r>
        <w:rPr>
          <w:spacing w:val="1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nexus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gender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premise.</w:t>
      </w:r>
      <w:r>
        <w:rPr>
          <w:spacing w:val="-6"/>
        </w:rPr>
        <w:t> </w:t>
      </w:r>
      <w:r>
        <w:rPr/>
        <w:t>Hence,</w:t>
      </w:r>
      <w:r>
        <w:rPr>
          <w:spacing w:val="-58"/>
        </w:rPr>
        <w:t> </w:t>
      </w:r>
      <w:r>
        <w:rPr/>
        <w:t>the training shall start with gender sensitivity, tackling the definitions of and differences</w:t>
      </w:r>
      <w:r>
        <w:rPr>
          <w:spacing w:val="1"/>
        </w:rPr>
        <w:t> </w:t>
      </w:r>
      <w:r>
        <w:rPr/>
        <w:t>between sex and gender from the biological and sociological perspectives (Jahn et al., 2017).</w:t>
      </w:r>
      <w:r>
        <w:rPr>
          <w:spacing w:val="1"/>
        </w:rPr>
        <w:t> </w:t>
      </w:r>
      <w:r>
        <w:rPr/>
        <w:t>The overarching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 inculcate the values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respect for</w:t>
      </w:r>
      <w:r>
        <w:rPr>
          <w:spacing w:val="-1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sex and</w:t>
      </w:r>
    </w:p>
    <w:p>
      <w:pPr>
        <w:spacing w:after="0"/>
        <w:jc w:val="both"/>
        <w:sectPr>
          <w:pgSz w:w="11910" w:h="16840"/>
          <w:pgMar w:top="1360" w:bottom="280" w:left="1320" w:right="1320"/>
        </w:sectPr>
      </w:pPr>
    </w:p>
    <w:p>
      <w:pPr>
        <w:pStyle w:val="BodyText"/>
        <w:spacing w:before="64"/>
        <w:ind w:left="120" w:right="122"/>
        <w:jc w:val="both"/>
      </w:pPr>
      <w:r>
        <w:rPr/>
        <w:t>gender (United Nations Educational, Scientific and Cultural Organization (UNESCO), 2004).</w:t>
      </w:r>
      <w:r>
        <w:rPr>
          <w:spacing w:val="-57"/>
        </w:rPr>
        <w:t> </w:t>
      </w:r>
      <w:r>
        <w:rPr/>
        <w:t>This lesson also expounds on the biology of sex, particularly the genotypic and phenotypic</w:t>
      </w:r>
      <w:r>
        <w:rPr>
          <w:spacing w:val="1"/>
        </w:rPr>
        <w:t> </w:t>
      </w:r>
      <w:r>
        <w:rPr/>
        <w:t>characters that distinguish females and males. In the last part, the transition from biological to</w:t>
      </w:r>
      <w:r>
        <w:rPr>
          <w:spacing w:val="-57"/>
        </w:rPr>
        <w:t> </w:t>
      </w:r>
      <w:r>
        <w:rPr/>
        <w:t>social viewpoints is presented, recognizing the influence of the environment in the expression</w:t>
      </w:r>
      <w:r>
        <w:rPr>
          <w:spacing w:val="-57"/>
        </w:rPr>
        <w:t> </w:t>
      </w:r>
      <w:r>
        <w:rPr/>
        <w:t>of sex and gender.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Resolving</w:t>
      </w:r>
      <w:r>
        <w:rPr>
          <w:spacing w:val="-2"/>
        </w:rPr>
        <w:t> </w:t>
      </w:r>
      <w:r>
        <w:rPr/>
        <w:t>Gender-Based</w:t>
      </w:r>
      <w:r>
        <w:rPr>
          <w:spacing w:val="-4"/>
        </w:rPr>
        <w:t> </w:t>
      </w:r>
      <w:r>
        <w:rPr/>
        <w:t>Violence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Basic</w:t>
      </w:r>
      <w:r>
        <w:rPr>
          <w:spacing w:val="-1"/>
        </w:rPr>
        <w:t> </w:t>
      </w:r>
      <w:r>
        <w:rPr/>
        <w:t>Education</w:t>
      </w:r>
    </w:p>
    <w:p>
      <w:pPr>
        <w:pStyle w:val="BodyText"/>
        <w:rPr>
          <w:b/>
        </w:rPr>
      </w:pPr>
    </w:p>
    <w:p>
      <w:pPr>
        <w:pStyle w:val="BodyText"/>
        <w:ind w:left="120" w:right="114" w:firstLine="719"/>
        <w:jc w:val="both"/>
      </w:pPr>
      <w:r>
        <w:rPr/>
        <w:t>Gender-based</w:t>
      </w:r>
      <w:r>
        <w:rPr>
          <w:spacing w:val="-8"/>
        </w:rPr>
        <w:t> </w:t>
      </w:r>
      <w:r>
        <w:rPr/>
        <w:t>violence</w:t>
      </w:r>
      <w:r>
        <w:rPr>
          <w:spacing w:val="-9"/>
        </w:rPr>
        <w:t> </w:t>
      </w:r>
      <w:r>
        <w:rPr/>
        <w:t>(GBV)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perennial</w:t>
      </w:r>
      <w:r>
        <w:rPr>
          <w:spacing w:val="-6"/>
        </w:rPr>
        <w:t> </w:t>
      </w:r>
      <w:r>
        <w:rPr/>
        <w:t>problem</w:t>
      </w:r>
      <w:r>
        <w:rPr>
          <w:spacing w:val="-9"/>
        </w:rPr>
        <w:t> </w:t>
      </w:r>
      <w:r>
        <w:rPr/>
        <w:t>globally,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8"/>
        </w:rPr>
        <w:t> </w:t>
      </w:r>
      <w:r>
        <w:rPr/>
        <w:t>worsened during the COVID-19 pandemic (Mittal &amp; Singh, 2020).</w:t>
      </w:r>
      <w:r>
        <w:rPr>
          <w:spacing w:val="1"/>
        </w:rPr>
        <w:t> </w:t>
      </w:r>
      <w:r>
        <w:rPr/>
        <w:t>Residence, parental</w:t>
      </w:r>
      <w:r>
        <w:rPr>
          <w:spacing w:val="1"/>
        </w:rPr>
        <w:t> </w:t>
      </w:r>
      <w:r>
        <w:rPr>
          <w:spacing w:val="-1"/>
        </w:rPr>
        <w:t>behavior,</w:t>
      </w:r>
      <w:r>
        <w:rPr>
          <w:spacing w:val="-16"/>
        </w:rPr>
        <w:t> </w:t>
      </w:r>
      <w:r>
        <w:rPr>
          <w:spacing w:val="-1"/>
        </w:rPr>
        <w:t>substance</w:t>
      </w:r>
      <w:r>
        <w:rPr>
          <w:spacing w:val="-15"/>
        </w:rPr>
        <w:t> </w:t>
      </w:r>
      <w:r>
        <w:rPr>
          <w:spacing w:val="-1"/>
        </w:rPr>
        <w:t>abuse,</w:t>
      </w:r>
      <w:r>
        <w:rPr>
          <w:spacing w:val="-17"/>
        </w:rPr>
        <w:t> </w:t>
      </w:r>
      <w:r>
        <w:rPr>
          <w:spacing w:val="-1"/>
        </w:rPr>
        <w:t>civil</w:t>
      </w:r>
      <w:r>
        <w:rPr>
          <w:spacing w:val="-15"/>
        </w:rPr>
        <w:t> </w:t>
      </w:r>
      <w:r>
        <w:rPr/>
        <w:t>status,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educational</w:t>
      </w:r>
      <w:r>
        <w:rPr>
          <w:spacing w:val="-15"/>
        </w:rPr>
        <w:t> </w:t>
      </w:r>
      <w:r>
        <w:rPr/>
        <w:t>attainment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influences</w:t>
      </w:r>
      <w:r>
        <w:rPr>
          <w:spacing w:val="-58"/>
        </w:rPr>
        <w:t> </w:t>
      </w:r>
      <w:r>
        <w:rPr/>
        <w:t>of the persistence of violence (Beyene et al., 2019). As such, the need to resolve GBV in the</w:t>
      </w:r>
      <w:r>
        <w:rPr>
          <w:spacing w:val="1"/>
        </w:rPr>
        <w:t> </w:t>
      </w:r>
      <w:r>
        <w:rPr/>
        <w:t>school setting is emphasized. In this lesson, the definition and various forms of GBV are</w:t>
      </w:r>
      <w:r>
        <w:rPr>
          <w:spacing w:val="1"/>
        </w:rPr>
        <w:t> </w:t>
      </w:r>
      <w:r>
        <w:rPr/>
        <w:t>thoroughly</w:t>
      </w:r>
      <w:r>
        <w:rPr>
          <w:spacing w:val="1"/>
        </w:rPr>
        <w:t> </w:t>
      </w:r>
      <w:r>
        <w:rPr/>
        <w:t>discussed,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resolution.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 of GBV is fundamental in planning and designing programs, projects, and</w:t>
      </w:r>
      <w:r>
        <w:rPr>
          <w:spacing w:val="1"/>
        </w:rPr>
        <w:t> </w:t>
      </w:r>
      <w:r>
        <w:rPr/>
        <w:t>activities.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Philippine</w:t>
      </w:r>
      <w:r>
        <w:rPr>
          <w:spacing w:val="-9"/>
        </w:rPr>
        <w:t> </w:t>
      </w:r>
      <w:r>
        <w:rPr/>
        <w:t>legislation,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Magna</w:t>
      </w:r>
      <w:r>
        <w:rPr>
          <w:spacing w:val="-6"/>
        </w:rPr>
        <w:t> </w:t>
      </w:r>
      <w:r>
        <w:rPr/>
        <w:t>Carta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Women</w:t>
      </w:r>
      <w:r>
        <w:rPr>
          <w:spacing w:val="-8"/>
        </w:rPr>
        <w:t> </w:t>
      </w:r>
      <w:r>
        <w:rPr/>
        <w:t>(RA</w:t>
      </w:r>
      <w:r>
        <w:rPr>
          <w:spacing w:val="-8"/>
        </w:rPr>
        <w:t> </w:t>
      </w:r>
      <w:r>
        <w:rPr/>
        <w:t>9710),</w:t>
      </w:r>
      <w:r>
        <w:rPr>
          <w:spacing w:val="-7"/>
        </w:rPr>
        <w:t> </w:t>
      </w:r>
      <w:r>
        <w:rPr/>
        <w:t>Anti-</w:t>
      </w:r>
      <w:r>
        <w:rPr>
          <w:spacing w:val="-57"/>
        </w:rPr>
        <w:t> </w:t>
      </w:r>
      <w:r>
        <w:rPr/>
        <w:t>violence Against Women and their Children (RA 9262), Anti-sexual Harassment Act (RA</w:t>
      </w:r>
      <w:r>
        <w:rPr>
          <w:spacing w:val="1"/>
        </w:rPr>
        <w:t> </w:t>
      </w:r>
      <w:r>
        <w:rPr/>
        <w:t>7877), and Safe Spaces Act (RA 11313) are introduced to orient the GAD focal persons about</w:t>
      </w:r>
      <w:r>
        <w:rPr>
          <w:spacing w:val="-57"/>
        </w:rPr>
        <w:t> </w:t>
      </w:r>
      <w:r>
        <w:rPr/>
        <w:t>the legal undertakings</w:t>
      </w:r>
      <w:r>
        <w:rPr>
          <w:spacing w:val="-2"/>
        </w:rPr>
        <w:t> </w:t>
      </w:r>
      <w:r>
        <w:rPr/>
        <w:t>to address</w:t>
      </w:r>
      <w:r>
        <w:rPr>
          <w:spacing w:val="-2"/>
        </w:rPr>
        <w:t> </w:t>
      </w:r>
      <w:r>
        <w:rPr/>
        <w:t>school-related</w:t>
      </w:r>
      <w:r>
        <w:rPr>
          <w:spacing w:val="-1"/>
        </w:rPr>
        <w:t> </w:t>
      </w:r>
      <w:r>
        <w:rPr/>
        <w:t>GBV.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Towards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Gender-Responsive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Education</w:t>
      </w:r>
    </w:p>
    <w:p>
      <w:pPr>
        <w:pStyle w:val="BodyText"/>
        <w:rPr>
          <w:b/>
        </w:rPr>
      </w:pPr>
    </w:p>
    <w:p>
      <w:pPr>
        <w:pStyle w:val="BodyText"/>
        <w:ind w:left="120" w:right="110" w:firstLine="719"/>
        <w:jc w:val="both"/>
      </w:pPr>
      <w:r>
        <w:rPr/>
        <w:t>In the last part of the module, the essential steps towards a gender-responsive basic</w:t>
      </w:r>
      <w:r>
        <w:rPr>
          <w:spacing w:val="1"/>
        </w:rPr>
        <w:t> </w:t>
      </w:r>
      <w:r>
        <w:rPr/>
        <w:t>education are outlined. The development of gender-responsive teachers is tantamount to</w:t>
      </w:r>
      <w:r>
        <w:rPr>
          <w:spacing w:val="1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safe</w:t>
      </w:r>
      <w:r>
        <w:rPr>
          <w:spacing w:val="-5"/>
        </w:rPr>
        <w:t> </w:t>
      </w:r>
      <w:r>
        <w:rPr/>
        <w:t>spaces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school</w:t>
      </w:r>
      <w:r>
        <w:rPr>
          <w:spacing w:val="-8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(United</w:t>
      </w:r>
      <w:r>
        <w:rPr>
          <w:spacing w:val="-7"/>
        </w:rPr>
        <w:t> </w:t>
      </w:r>
      <w:r>
        <w:rPr/>
        <w:t>Nations</w:t>
      </w:r>
      <w:r>
        <w:rPr>
          <w:spacing w:val="-8"/>
        </w:rPr>
        <w:t> </w:t>
      </w:r>
      <w:r>
        <w:rPr/>
        <w:t>Children’s</w:t>
      </w:r>
      <w:r>
        <w:rPr>
          <w:spacing w:val="-7"/>
        </w:rPr>
        <w:t> </w:t>
      </w:r>
      <w:r>
        <w:rPr/>
        <w:t>Fund</w:t>
      </w:r>
      <w:r>
        <w:rPr>
          <w:spacing w:val="-7"/>
        </w:rPr>
        <w:t> </w:t>
      </w:r>
      <w:r>
        <w:rPr/>
        <w:t>(UNICEF),</w:t>
      </w:r>
      <w:r>
        <w:rPr>
          <w:spacing w:val="-9"/>
        </w:rPr>
        <w:t> </w:t>
      </w:r>
      <w:r>
        <w:rPr/>
        <w:t>2020).</w:t>
      </w:r>
      <w:r>
        <w:rPr>
          <w:spacing w:val="-6"/>
        </w:rPr>
        <w:t> </w:t>
      </w:r>
      <w:r>
        <w:rPr/>
        <w:t>In</w:t>
      </w:r>
      <w:r>
        <w:rPr>
          <w:spacing w:val="-57"/>
        </w:rPr>
        <w:t> </w:t>
      </w:r>
      <w:r>
        <w:rPr/>
        <w:t>this</w:t>
      </w:r>
      <w:r>
        <w:rPr>
          <w:spacing w:val="1"/>
        </w:rPr>
        <w:t> </w:t>
      </w:r>
      <w:r>
        <w:rPr/>
        <w:t>context,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responsiveness</w:t>
      </w:r>
      <w:r>
        <w:rPr>
          <w:spacing w:val="1"/>
        </w:rPr>
        <w:t> </w:t>
      </w:r>
      <w:r>
        <w:rPr/>
        <w:t>entails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gender-related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integration, and an informed planning and budgeting process. It is anchored on the gender-</w:t>
      </w:r>
      <w:r>
        <w:rPr>
          <w:spacing w:val="1"/>
        </w:rPr>
        <w:t> </w:t>
      </w:r>
      <w:r>
        <w:rPr>
          <w:spacing w:val="-1"/>
        </w:rPr>
        <w:t>responsive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education</w:t>
      </w:r>
      <w:r>
        <w:rPr>
          <w:spacing w:val="-17"/>
        </w:rPr>
        <w:t> </w:t>
      </w:r>
      <w:r>
        <w:rPr/>
        <w:t>policy</w:t>
      </w:r>
      <w:r>
        <w:rPr>
          <w:spacing w:val="-17"/>
        </w:rPr>
        <w:t> </w:t>
      </w:r>
      <w:r>
        <w:rPr/>
        <w:t>promulgated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DO</w:t>
      </w:r>
      <w:r>
        <w:rPr>
          <w:spacing w:val="-18"/>
        </w:rPr>
        <w:t> </w:t>
      </w:r>
      <w:r>
        <w:rPr/>
        <w:t>32</w:t>
      </w:r>
      <w:r>
        <w:rPr>
          <w:spacing w:val="-17"/>
        </w:rPr>
        <w:t> </w:t>
      </w:r>
      <w:r>
        <w:rPr/>
        <w:t>s.</w:t>
      </w:r>
      <w:r>
        <w:rPr>
          <w:spacing w:val="-13"/>
        </w:rPr>
        <w:t> </w:t>
      </w:r>
      <w:r>
        <w:rPr/>
        <w:t>2017</w:t>
      </w:r>
      <w:r>
        <w:rPr>
          <w:spacing w:val="-16"/>
        </w:rPr>
        <w:t> </w:t>
      </w:r>
      <w:r>
        <w:rPr/>
        <w:t>(Department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Education,</w:t>
      </w:r>
      <w:r>
        <w:rPr>
          <w:spacing w:val="-58"/>
        </w:rPr>
        <w:t> </w:t>
      </w:r>
      <w:r>
        <w:rPr/>
        <w:t>2017).</w:t>
      </w:r>
    </w:p>
    <w:p>
      <w:pPr>
        <w:pStyle w:val="BodyText"/>
      </w:pPr>
    </w:p>
    <w:p>
      <w:pPr>
        <w:pStyle w:val="BodyText"/>
        <w:ind w:left="120" w:right="121" w:firstLine="719"/>
        <w:jc w:val="both"/>
      </w:pPr>
      <w:r>
        <w:rPr/>
        <w:t>More emphasis is given to GAD planning and budgeting (GPB), a detailed process of</w:t>
      </w:r>
      <w:r>
        <w:rPr>
          <w:spacing w:val="1"/>
        </w:rPr>
        <w:t> </w:t>
      </w:r>
      <w:r>
        <w:rPr/>
        <w:t>identifying gender issues, PPAs, and allocating the budget needed to address the issues raised</w:t>
      </w:r>
      <w:r>
        <w:rPr>
          <w:spacing w:val="-57"/>
        </w:rPr>
        <w:t> </w:t>
      </w:r>
      <w:r>
        <w:rPr/>
        <w:t>effectively.</w:t>
      </w:r>
      <w:r>
        <w:rPr>
          <w:spacing w:val="1"/>
        </w:rPr>
        <w:t> </w:t>
      </w:r>
      <w:r>
        <w:rPr/>
        <w:t>This initiative is anchored on the need to equip the focal persons with technical</w:t>
      </w:r>
      <w:r>
        <w:rPr>
          <w:spacing w:val="1"/>
        </w:rPr>
        <w:t> </w:t>
      </w:r>
      <w:r>
        <w:rPr/>
        <w:t>know-how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complying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GAD</w:t>
      </w:r>
      <w:r>
        <w:rPr>
          <w:spacing w:val="-8"/>
        </w:rPr>
        <w:t> </w:t>
      </w:r>
      <w:r>
        <w:rPr/>
        <w:t>expenditure</w:t>
      </w:r>
      <w:r>
        <w:rPr>
          <w:spacing w:val="-4"/>
        </w:rPr>
        <w:t> </w:t>
      </w:r>
      <w:r>
        <w:rPr/>
        <w:t>requirements,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9"/>
        </w:rPr>
        <w:t> </w:t>
      </w:r>
      <w:r>
        <w:rPr/>
        <w:t>5%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agency’s total budget appropriation under Republic Act No. 9710 (Department of Budget and</w:t>
      </w:r>
      <w:r>
        <w:rPr>
          <w:spacing w:val="-57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2019).</w:t>
      </w:r>
      <w:r>
        <w:rPr>
          <w:spacing w:val="-6"/>
        </w:rPr>
        <w:t> </w:t>
      </w:r>
      <w:r>
        <w:rPr/>
        <w:t>Actual</w:t>
      </w:r>
      <w:r>
        <w:rPr>
          <w:spacing w:val="-8"/>
        </w:rPr>
        <w:t> </w:t>
      </w:r>
      <w:r>
        <w:rPr/>
        <w:t>expenditures</w:t>
      </w:r>
      <w:r>
        <w:rPr>
          <w:spacing w:val="-12"/>
        </w:rPr>
        <w:t> </w:t>
      </w:r>
      <w:r>
        <w:rPr/>
        <w:t>for</w:t>
      </w:r>
      <w:r>
        <w:rPr>
          <w:spacing w:val="-6"/>
        </w:rPr>
        <w:t> </w:t>
      </w:r>
      <w:r>
        <w:rPr/>
        <w:t>GAD</w:t>
      </w:r>
      <w:r>
        <w:rPr>
          <w:spacing w:val="-7"/>
        </w:rPr>
        <w:t> </w:t>
      </w:r>
      <w:r>
        <w:rPr/>
        <w:t>PPAs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attributed</w:t>
      </w:r>
      <w:r>
        <w:rPr>
          <w:spacing w:val="-11"/>
        </w:rPr>
        <w:t> </w:t>
      </w:r>
      <w:r>
        <w:rPr/>
        <w:t>values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per</w:t>
      </w:r>
      <w:r>
        <w:rPr>
          <w:spacing w:val="-57"/>
        </w:rPr>
        <w:t> </w:t>
      </w:r>
      <w:r>
        <w:rPr/>
        <w:t>the</w:t>
      </w:r>
      <w:r>
        <w:rPr>
          <w:spacing w:val="-9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mechanisms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Philippine</w:t>
      </w:r>
      <w:r>
        <w:rPr>
          <w:spacing w:val="-9"/>
        </w:rPr>
        <w:t> </w:t>
      </w:r>
      <w:r>
        <w:rPr/>
        <w:t>Commission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Women</w:t>
      </w:r>
      <w:r>
        <w:rPr>
          <w:spacing w:val="-10"/>
        </w:rPr>
        <w:t> </w:t>
      </w:r>
      <w:r>
        <w:rPr/>
        <w:t>(PCW),</w:t>
      </w:r>
      <w:r>
        <w:rPr>
          <w:spacing w:val="-10"/>
        </w:rPr>
        <w:t> </w:t>
      </w:r>
      <w:r>
        <w:rPr/>
        <w:t>Commission</w:t>
      </w:r>
      <w:r>
        <w:rPr>
          <w:spacing w:val="-9"/>
        </w:rPr>
        <w:t> </w:t>
      </w:r>
      <w:r>
        <w:rPr/>
        <w:t>on</w:t>
      </w:r>
      <w:r>
        <w:rPr>
          <w:spacing w:val="-58"/>
        </w:rPr>
        <w:t> </w:t>
      </w:r>
      <w:r>
        <w:rPr/>
        <w:t>Audit (COA), Department of Budget Management (DBM), and other relevant government</w:t>
      </w:r>
      <w:r>
        <w:rPr>
          <w:spacing w:val="1"/>
        </w:rPr>
        <w:t> </w:t>
      </w:r>
      <w:r>
        <w:rPr/>
        <w:t>agencies.</w:t>
      </w:r>
    </w:p>
    <w:p>
      <w:pPr>
        <w:pStyle w:val="BodyText"/>
        <w:spacing w:before="1"/>
      </w:pPr>
    </w:p>
    <w:p>
      <w:pPr>
        <w:pStyle w:val="Heading2"/>
        <w:spacing w:before="1"/>
        <w:jc w:val="both"/>
      </w:pPr>
      <w:r>
        <w:rPr/>
        <w:t>International</w:t>
      </w:r>
      <w:r>
        <w:rPr>
          <w:spacing w:val="-3"/>
        </w:rPr>
        <w:t> </w:t>
      </w:r>
      <w:r>
        <w:rPr/>
        <w:t>Relevance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 w:right="118" w:firstLine="71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present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for</w:t>
      </w:r>
      <w:r>
        <w:rPr>
          <w:spacing w:val="-8"/>
        </w:rPr>
        <w:t> </w:t>
      </w:r>
      <w:r>
        <w:rPr/>
        <w:t>international</w:t>
      </w:r>
      <w:r>
        <w:rPr>
          <w:spacing w:val="-13"/>
        </w:rPr>
        <w:t> </w:t>
      </w:r>
      <w:r>
        <w:rPr/>
        <w:t>scholars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exchange</w:t>
      </w:r>
      <w:r>
        <w:rPr>
          <w:spacing w:val="-12"/>
        </w:rPr>
        <w:t> </w:t>
      </w:r>
      <w:r>
        <w:rPr/>
        <w:t>knowledge</w:t>
      </w:r>
      <w:r>
        <w:rPr>
          <w:spacing w:val="-58"/>
        </w:rPr>
        <w:t> </w:t>
      </w:r>
      <w:r>
        <w:rPr/>
        <w:t>and practices in gender advocacy. While this describes module development for local use in</w:t>
      </w:r>
      <w:r>
        <w:rPr>
          <w:spacing w:val="1"/>
        </w:rPr>
        <w:t> </w:t>
      </w:r>
      <w:r>
        <w:rPr/>
        <w:t>the Philippines, foreign institutions may learn from the experience of the Philippines, being a</w:t>
      </w:r>
      <w:r>
        <w:rPr>
          <w:spacing w:val="1"/>
        </w:rPr>
        <w:t> </w:t>
      </w:r>
      <w:r>
        <w:rPr/>
        <w:t>forerunner of gender and development work in Asia, especially in contextualizing learning</w:t>
      </w:r>
      <w:r>
        <w:rPr>
          <w:spacing w:val="1"/>
        </w:rPr>
        <w:t> </w:t>
      </w:r>
      <w:r>
        <w:rPr/>
        <w:t>materials.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may</w:t>
      </w:r>
      <w:r>
        <w:rPr>
          <w:spacing w:val="-6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re-designing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re-inventing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capacitating</w:t>
      </w:r>
      <w:r>
        <w:rPr>
          <w:spacing w:val="-58"/>
        </w:rPr>
        <w:t> </w:t>
      </w:r>
      <w:r>
        <w:rPr/>
        <w:t>local</w:t>
      </w:r>
      <w:r>
        <w:rPr>
          <w:spacing w:val="-5"/>
        </w:rPr>
        <w:t> </w:t>
      </w:r>
      <w:r>
        <w:rPr/>
        <w:t>actors</w:t>
      </w:r>
      <w:r>
        <w:rPr>
          <w:spacing w:val="-2"/>
        </w:rPr>
        <w:t> </w:t>
      </w:r>
      <w:r>
        <w:rPr/>
        <w:t>of gender and development.</w:t>
      </w:r>
    </w:p>
    <w:p>
      <w:pPr>
        <w:spacing w:after="0"/>
        <w:jc w:val="both"/>
        <w:sectPr>
          <w:pgSz w:w="11910" w:h="16840"/>
          <w:pgMar w:top="1360" w:bottom="280" w:left="1320" w:right="1320"/>
        </w:sectPr>
      </w:pPr>
    </w:p>
    <w:p>
      <w:pPr>
        <w:pStyle w:val="Heading1"/>
        <w:spacing w:before="64"/>
      </w:pPr>
      <w:r>
        <w:rPr/>
        <w:t>CONCLUSION</w:t>
      </w:r>
    </w:p>
    <w:p>
      <w:pPr>
        <w:pStyle w:val="BodyText"/>
        <w:rPr>
          <w:b/>
        </w:rPr>
      </w:pPr>
    </w:p>
    <w:p>
      <w:pPr>
        <w:pStyle w:val="BodyText"/>
        <w:ind w:left="120" w:right="114" w:firstLine="719"/>
        <w:jc w:val="both"/>
      </w:pPr>
      <w:r>
        <w:rPr/>
        <w:t>The primary and secondary schools in Mati are in the first two stages of gender</w:t>
      </w:r>
      <w:r>
        <w:rPr>
          <w:spacing w:val="1"/>
        </w:rPr>
        <w:t> </w:t>
      </w:r>
      <w:r>
        <w:rPr>
          <w:spacing w:val="-1"/>
        </w:rPr>
        <w:t>mainstreaming.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underscores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intensify</w:t>
      </w:r>
      <w:r>
        <w:rPr>
          <w:spacing w:val="-13"/>
        </w:rPr>
        <w:t> </w:t>
      </w:r>
      <w:r>
        <w:rPr/>
        <w:t>mainstreaming</w:t>
      </w:r>
      <w:r>
        <w:rPr>
          <w:spacing w:val="-13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four</w:t>
      </w:r>
      <w:r>
        <w:rPr>
          <w:spacing w:val="-58"/>
        </w:rPr>
        <w:t> </w:t>
      </w:r>
      <w:r>
        <w:rPr/>
        <w:t>key result areas: people, policy, enabling mechanisms, and programs, projects, and activities.</w:t>
      </w:r>
      <w:r>
        <w:rPr>
          <w:spacing w:val="1"/>
        </w:rPr>
        <w:t> </w:t>
      </w:r>
      <w:r>
        <w:rPr/>
        <w:t>It is integral to capacitate a pool of focal persons who shall serve as GAD champions at the</w:t>
      </w:r>
      <w:r>
        <w:rPr>
          <w:spacing w:val="1"/>
        </w:rPr>
        <w:t> </w:t>
      </w:r>
      <w:r>
        <w:rPr/>
        <w:t>school level with close monitoring by a division coordinator. This study presents three crucial</w:t>
      </w:r>
      <w:r>
        <w:rPr>
          <w:spacing w:val="-57"/>
        </w:rPr>
        <w:t> </w:t>
      </w:r>
      <w:r>
        <w:rPr/>
        <w:t>topics to be covered, including Understanding Gender and Development, Resolving Gender-</w:t>
      </w:r>
      <w:r>
        <w:rPr>
          <w:spacing w:val="1"/>
        </w:rPr>
        <w:t> </w:t>
      </w:r>
      <w:r>
        <w:rPr/>
        <w:t>Based Violence in Basic Education, and Towards a Gender-Responsive Basic Education. The</w:t>
      </w:r>
      <w:r>
        <w:rPr>
          <w:spacing w:val="-57"/>
        </w:rPr>
        <w:t> </w:t>
      </w:r>
      <w:r>
        <w:rPr>
          <w:spacing w:val="-1"/>
        </w:rPr>
        <w:t>module</w:t>
      </w:r>
      <w:r>
        <w:rPr>
          <w:spacing w:val="-15"/>
        </w:rPr>
        <w:t> </w:t>
      </w:r>
      <w:r>
        <w:rPr/>
        <w:t>needs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quantitatively</w:t>
      </w:r>
      <w:r>
        <w:rPr>
          <w:spacing w:val="-16"/>
        </w:rPr>
        <w:t> </w:t>
      </w:r>
      <w:r>
        <w:rPr/>
        <w:t>evaluated</w:t>
      </w:r>
      <w:r>
        <w:rPr>
          <w:spacing w:val="-17"/>
        </w:rPr>
        <w:t> </w:t>
      </w:r>
      <w:r>
        <w:rPr/>
        <w:t>upon</w:t>
      </w:r>
      <w:r>
        <w:rPr>
          <w:spacing w:val="-17"/>
        </w:rPr>
        <w:t> </w:t>
      </w:r>
      <w:r>
        <w:rPr/>
        <w:t>rollout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5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gaps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re-design</w:t>
      </w:r>
      <w:r>
        <w:rPr>
          <w:spacing w:val="-57"/>
        </w:rPr>
        <w:t> </w:t>
      </w:r>
      <w:r>
        <w:rPr/>
        <w:t>strategies towards a more comprehensive capacity-building program for the basic education</w:t>
      </w:r>
      <w:r>
        <w:rPr>
          <w:spacing w:val="1"/>
        </w:rPr>
        <w:t> </w:t>
      </w:r>
      <w:r>
        <w:rPr/>
        <w:t>sector.</w:t>
      </w:r>
    </w:p>
    <w:p>
      <w:pPr>
        <w:pStyle w:val="BodyText"/>
        <w:spacing w:before="1"/>
      </w:pPr>
    </w:p>
    <w:p>
      <w:pPr>
        <w:pStyle w:val="Heading1"/>
        <w:ind w:right="3015"/>
      </w:pPr>
      <w:r>
        <w:rPr/>
        <w:t>ACKNOWLEDGMENT</w:t>
      </w:r>
    </w:p>
    <w:p>
      <w:pPr>
        <w:pStyle w:val="BodyText"/>
        <w:rPr>
          <w:b/>
        </w:rPr>
      </w:pPr>
    </w:p>
    <w:p>
      <w:pPr>
        <w:pStyle w:val="BodyText"/>
        <w:ind w:left="120" w:right="116" w:firstLine="719"/>
        <w:jc w:val="both"/>
      </w:pPr>
      <w:r>
        <w:rPr/>
        <w:t>This work was supported by the research fund of Davao Oriental State University</w:t>
      </w:r>
      <w:r>
        <w:rPr>
          <w:spacing w:val="1"/>
        </w:rPr>
        <w:t> </w:t>
      </w:r>
      <w:r>
        <w:rPr/>
        <w:t>(DOrSU), in collaboration with the Department of Education – Schools Division of Mati. The</w:t>
      </w:r>
      <w:r>
        <w:rPr>
          <w:spacing w:val="-57"/>
        </w:rPr>
        <w:t> </w:t>
      </w:r>
      <w:r>
        <w:rPr/>
        <w:t>researchers want to thank Ms. Niña Jay M. Lapac, Ms. Evan Mae P. Villegas, Mr. Jireh R.</w:t>
      </w:r>
      <w:r>
        <w:rPr>
          <w:spacing w:val="1"/>
        </w:rPr>
        <w:t> </w:t>
      </w:r>
      <w:r>
        <w:rPr/>
        <w:t>Rosales, and Ms. Firdausa A. Jaljis for their generous contributions to the success of this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REFERENCES</w:t>
      </w:r>
    </w:p>
    <w:p>
      <w:pPr>
        <w:pStyle w:val="BodyText"/>
        <w:rPr>
          <w:b/>
        </w:rPr>
      </w:pPr>
    </w:p>
    <w:p>
      <w:pPr>
        <w:pStyle w:val="BodyText"/>
        <w:ind w:left="840" w:right="188" w:hanging="720"/>
      </w:pPr>
      <w:r>
        <w:rPr/>
        <w:t>Arellano-Hernandez,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H.</w:t>
      </w:r>
      <w:r>
        <w:rPr>
          <w:spacing w:val="36"/>
        </w:rPr>
        <w:t> </w:t>
      </w:r>
      <w:r>
        <w:rPr/>
        <w:t>2018.</w:t>
      </w:r>
      <w:r>
        <w:rPr>
          <w:spacing w:val="32"/>
        </w:rPr>
        <w:t> </w:t>
      </w:r>
      <w:r>
        <w:rPr/>
        <w:t>Training</w:t>
      </w:r>
      <w:r>
        <w:rPr>
          <w:spacing w:val="36"/>
        </w:rPr>
        <w:t> </w:t>
      </w:r>
      <w:r>
        <w:rPr/>
        <w:t>Needs</w:t>
      </w:r>
      <w:r>
        <w:rPr>
          <w:spacing w:val="35"/>
        </w:rPr>
        <w:t> </w:t>
      </w:r>
      <w:r>
        <w:rPr/>
        <w:t>Assessment</w:t>
      </w:r>
      <w:r>
        <w:rPr>
          <w:spacing w:val="37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Gender</w:t>
      </w:r>
      <w:r>
        <w:rPr>
          <w:spacing w:val="36"/>
        </w:rPr>
        <w:t> </w:t>
      </w:r>
      <w:r>
        <w:rPr/>
        <w:t>Focal</w:t>
      </w:r>
      <w:r>
        <w:rPr>
          <w:spacing w:val="46"/>
        </w:rPr>
        <w:t> </w:t>
      </w:r>
      <w:r>
        <w:rPr/>
        <w:t>Point</w:t>
      </w:r>
      <w:r>
        <w:rPr>
          <w:spacing w:val="-57"/>
        </w:rPr>
        <w:t> </w:t>
      </w:r>
      <w:r>
        <w:rPr/>
        <w:t>System: Basis for A Capability Building Program. </w:t>
      </w:r>
      <w:r>
        <w:rPr>
          <w:i/>
        </w:rPr>
        <w:t>International Journal of Advanced</w:t>
      </w:r>
      <w:r>
        <w:rPr>
          <w:i/>
          <w:spacing w:val="-57"/>
        </w:rPr>
        <w:t> </w:t>
      </w:r>
      <w:r>
        <w:rPr>
          <w:i/>
        </w:rPr>
        <w:t>Research</w:t>
      </w:r>
      <w:r>
        <w:rPr>
          <w:i/>
          <w:spacing w:val="28"/>
        </w:rPr>
        <w:t> </w:t>
      </w:r>
      <w:r>
        <w:rPr>
          <w:i/>
        </w:rPr>
        <w:t>and</w:t>
      </w:r>
      <w:r>
        <w:rPr>
          <w:i/>
          <w:spacing w:val="23"/>
        </w:rPr>
        <w:t> </w:t>
      </w:r>
      <w:r>
        <w:rPr>
          <w:i/>
        </w:rPr>
        <w:t>Publications</w:t>
      </w:r>
      <w:r>
        <w:rPr/>
        <w:t>,</w:t>
      </w:r>
      <w:r>
        <w:rPr>
          <w:spacing w:val="-2"/>
        </w:rPr>
        <w:t> </w:t>
      </w:r>
      <w:r>
        <w:rPr>
          <w:i/>
        </w:rPr>
        <w:t>2</w:t>
      </w:r>
      <w:r>
        <w:rPr/>
        <w:t>(11),</w:t>
      </w:r>
      <w:r>
        <w:rPr>
          <w:spacing w:val="27"/>
        </w:rPr>
        <w:t> </w:t>
      </w:r>
      <w:r>
        <w:rPr/>
        <w:t>42-46.</w:t>
      </w:r>
      <w:r>
        <w:rPr>
          <w:spacing w:val="-2"/>
        </w:rPr>
        <w:t> </w:t>
      </w:r>
      <w:hyperlink r:id="rId6">
        <w:r>
          <w:rPr>
            <w:u w:val="single"/>
          </w:rPr>
          <w:t>http://www.ijarp.org/published-research-</w:t>
        </w:r>
      </w:hyperlink>
      <w:r>
        <w:rPr>
          <w:spacing w:val="-57"/>
        </w:rPr>
        <w:t> </w:t>
      </w:r>
      <w:hyperlink r:id="rId6">
        <w:r>
          <w:rPr>
            <w:u w:val="single"/>
          </w:rPr>
          <w:t>papers/nov2018/Training-Needs-Assessment-Of-The-Gender-Focal-Point-System-</w:t>
        </w:r>
      </w:hyperlink>
      <w:r>
        <w:rPr>
          <w:spacing w:val="1"/>
        </w:rPr>
        <w:t> </w:t>
      </w:r>
      <w:hyperlink r:id="rId6">
        <w:r>
          <w:rPr>
            <w:u w:val="single"/>
          </w:rPr>
          <w:t>Basis-For-A-Capability-Building-Program-.pdf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108" w:val="left" w:leader="none"/>
          <w:tab w:pos="5008" w:val="left" w:leader="none"/>
          <w:tab w:pos="6608" w:val="left" w:leader="none"/>
        </w:tabs>
        <w:spacing w:before="90"/>
        <w:ind w:left="840" w:right="190" w:hanging="720"/>
        <w:jc w:val="both"/>
      </w:pPr>
      <w:r>
        <w:rPr/>
        <w:t>Beyene, A. S., Chojenta, C., Roba, H. S., Melka, A. S., &amp; Loxton, D. 2019. Gender-based</w:t>
      </w:r>
      <w:r>
        <w:rPr>
          <w:spacing w:val="1"/>
        </w:rPr>
        <w:t> </w:t>
      </w:r>
      <w:r>
        <w:rPr/>
        <w:t>violence among female youths in educational institutions of sub-Saharan Africa: A</w:t>
      </w:r>
      <w:r>
        <w:rPr>
          <w:spacing w:val="1"/>
        </w:rPr>
        <w:t> </w:t>
      </w:r>
      <w:r>
        <w:rPr/>
        <w:t>systematic</w:t>
        <w:tab/>
        <w:t>review</w:t>
        <w:tab/>
        <w:t>and</w:t>
        <w:tab/>
        <w:t>meta-analysis. </w:t>
      </w:r>
      <w:r>
        <w:rPr>
          <w:i/>
        </w:rPr>
        <w:t>Systematic</w:t>
      </w:r>
      <w:r>
        <w:rPr>
          <w:i/>
          <w:spacing w:val="-57"/>
        </w:rPr>
        <w:t> </w:t>
      </w:r>
      <w:r>
        <w:rPr>
          <w:i/>
        </w:rPr>
        <w:t>Reviews</w:t>
      </w:r>
      <w:r>
        <w:rPr/>
        <w:t>,</w:t>
      </w:r>
      <w:r>
        <w:rPr>
          <w:spacing w:val="-1"/>
        </w:rPr>
        <w:t> </w:t>
      </w:r>
      <w:r>
        <w:rPr>
          <w:i/>
        </w:rPr>
        <w:t>8</w:t>
      </w:r>
      <w:r>
        <w:rPr/>
        <w:t>(1).</w:t>
      </w:r>
      <w:r>
        <w:rPr>
          <w:spacing w:val="-1"/>
        </w:rPr>
        <w:t> </w:t>
      </w:r>
      <w:hyperlink r:id="rId7">
        <w:r>
          <w:rPr>
            <w:u w:val="single"/>
          </w:rPr>
          <w:t>https://doi.org/10.1186/s13643-019-0969-9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840" w:right="196" w:hanging="720"/>
        <w:jc w:val="both"/>
      </w:pP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FY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Appropriations</w:t>
      </w:r>
      <w:r>
        <w:rPr>
          <w:spacing w:val="1"/>
        </w:rPr>
        <w:t> </w:t>
      </w:r>
      <w:r>
        <w:rPr/>
        <w:t>Act.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June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DBM:</w:t>
      </w:r>
      <w:r>
        <w:rPr>
          <w:spacing w:val="1"/>
        </w:rPr>
        <w:t> </w:t>
      </w:r>
      <w:r>
        <w:rPr/>
        <w:t>https://</w:t>
      </w:r>
      <w:hyperlink r:id="rId8">
        <w:r>
          <w:rPr/>
          <w:t>www.dbm.gov.ph/index.php/bud</w:t>
        </w:r>
      </w:hyperlink>
      <w:r>
        <w:rPr>
          <w:spacing w:val="1"/>
        </w:rPr>
        <w:t> </w:t>
      </w:r>
      <w:r>
        <w:rPr/>
        <w:t>getdocuments/2019/general-appropriations-act-fy-2019/gaa-volume-ib-2019</w:t>
      </w:r>
    </w:p>
    <w:p>
      <w:pPr>
        <w:pStyle w:val="BodyText"/>
      </w:pPr>
    </w:p>
    <w:p>
      <w:pPr>
        <w:tabs>
          <w:tab w:pos="2088" w:val="left" w:leader="none"/>
          <w:tab w:pos="3236" w:val="left" w:leader="none"/>
          <w:tab w:pos="4703" w:val="left" w:leader="none"/>
          <w:tab w:pos="6150" w:val="left" w:leader="none"/>
        </w:tabs>
        <w:spacing w:before="1"/>
        <w:ind w:left="840" w:right="190" w:hanging="720"/>
        <w:jc w:val="both"/>
        <w:rPr>
          <w:i/>
          <w:sz w:val="24"/>
        </w:rPr>
      </w:pPr>
      <w:r>
        <w:rPr>
          <w:sz w:val="24"/>
        </w:rPr>
        <w:t>Department of Education. 2017. Gender-Responsive Basic Education Policy. </w:t>
      </w:r>
      <w:r>
        <w:rPr>
          <w:i/>
          <w:sz w:val="24"/>
        </w:rPr>
        <w:t>DepEd Order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No.</w:t>
        <w:tab/>
        <w:t>32</w:t>
        <w:tab/>
        <w:t>series</w:t>
        <w:tab/>
        <w:t>2017.</w:t>
        <w:tab/>
      </w:r>
      <w:hyperlink r:id="rId9">
        <w:r>
          <w:rPr>
            <w:i/>
            <w:color w:val="0000FF"/>
            <w:spacing w:val="-1"/>
            <w:sz w:val="24"/>
            <w:u w:val="single" w:color="0000FF"/>
          </w:rPr>
          <w:t>https://www.deped.gov.ph/wp-</w:t>
        </w:r>
      </w:hyperlink>
      <w:r>
        <w:rPr>
          <w:i/>
          <w:color w:val="0000FF"/>
          <w:spacing w:val="-58"/>
          <w:sz w:val="24"/>
        </w:rPr>
        <w:t> </w:t>
      </w:r>
      <w:hyperlink r:id="rId9">
        <w:r>
          <w:rPr>
            <w:i/>
            <w:color w:val="0000FF"/>
            <w:sz w:val="24"/>
            <w:u w:val="single" w:color="0000FF"/>
          </w:rPr>
          <w:t>content/uploads/2017/06/DO_s2017_032.pdf</w:t>
        </w:r>
      </w:hyperlink>
    </w:p>
    <w:p>
      <w:pPr>
        <w:pStyle w:val="BodyText"/>
        <w:spacing w:before="2"/>
        <w:rPr>
          <w:i/>
          <w:sz w:val="16"/>
        </w:rPr>
      </w:pPr>
    </w:p>
    <w:p>
      <w:pPr>
        <w:pStyle w:val="BodyText"/>
        <w:spacing w:before="90"/>
        <w:ind w:left="840" w:right="190" w:hanging="720"/>
        <w:jc w:val="both"/>
      </w:pPr>
      <w:r>
        <w:rPr/>
        <w:t>Governance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(GSRDC).</w:t>
      </w:r>
      <w:r>
        <w:rPr>
          <w:spacing w:val="1"/>
        </w:rPr>
        <w:t> </w:t>
      </w:r>
      <w:r>
        <w:rPr/>
        <w:t>2015. </w:t>
      </w:r>
      <w:r>
        <w:rPr>
          <w:i/>
        </w:rPr>
        <w:t>Understanding</w:t>
      </w:r>
      <w:r>
        <w:rPr>
          <w:i/>
          <w:spacing w:val="1"/>
        </w:rPr>
        <w:t> </w:t>
      </w:r>
      <w:r>
        <w:rPr>
          <w:i/>
        </w:rPr>
        <w:t>gender</w:t>
      </w:r>
      <w:r>
        <w:rPr/>
        <w:t>.</w:t>
      </w:r>
      <w:r>
        <w:rPr>
          <w:spacing w:val="1"/>
        </w:rPr>
        <w:t> </w:t>
      </w:r>
      <w:r>
        <w:rPr/>
        <w:t>GSDRC.</w:t>
      </w:r>
      <w:r>
        <w:rPr>
          <w:spacing w:val="1"/>
        </w:rPr>
        <w:t> </w:t>
      </w:r>
      <w:r>
        <w:rPr/>
        <w:t>Retrieved June 30,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from </w:t>
      </w:r>
      <w:hyperlink r:id="rId10">
        <w:r>
          <w:rPr>
            <w:u w:val="single"/>
          </w:rPr>
          <w:t>https://gsdrc.org/topic-</w:t>
        </w:r>
      </w:hyperlink>
      <w:r>
        <w:rPr>
          <w:spacing w:val="1"/>
        </w:rPr>
        <w:t> </w:t>
      </w:r>
      <w:hyperlink r:id="rId10">
        <w:r>
          <w:rPr>
            <w:u w:val="single"/>
          </w:rPr>
          <w:t>guides/gender/understanding-gender/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840" w:right="190" w:hanging="720"/>
        <w:jc w:val="both"/>
      </w:pPr>
      <w:r>
        <w:rPr/>
        <w:t>Hernandez, T. A., &amp; Cudiamat, M. A. 2018. Integrating gender and development (GAD) in</w:t>
      </w:r>
      <w:r>
        <w:rPr>
          <w:spacing w:val="1"/>
        </w:rPr>
        <w:t> </w:t>
      </w:r>
      <w:r>
        <w:rPr/>
        <w:t>the classroom: The case of Lucsuhin national high school, Department of Education-</w:t>
      </w:r>
      <w:r>
        <w:rPr>
          <w:spacing w:val="1"/>
        </w:rPr>
        <w:t> </w:t>
      </w:r>
      <w:r>
        <w:rPr/>
        <w:t>Philippines.</w:t>
      </w:r>
      <w:r>
        <w:rPr>
          <w:spacing w:val="-2"/>
        </w:rPr>
        <w:t> </w:t>
      </w:r>
      <w:r>
        <w:rPr>
          <w:i/>
        </w:rPr>
        <w:t>KnE</w:t>
      </w:r>
      <w:r>
        <w:rPr>
          <w:i/>
          <w:spacing w:val="-3"/>
        </w:rPr>
        <w:t> </w:t>
      </w:r>
      <w:r>
        <w:rPr>
          <w:i/>
        </w:rPr>
        <w:t>Social</w:t>
      </w:r>
      <w:r>
        <w:rPr>
          <w:i/>
          <w:spacing w:val="-2"/>
        </w:rPr>
        <w:t> </w:t>
      </w:r>
      <w:r>
        <w:rPr>
          <w:i/>
        </w:rPr>
        <w:t>Sciences</w:t>
      </w:r>
      <w:r>
        <w:rPr/>
        <w:t>,</w:t>
      </w:r>
      <w:r>
        <w:rPr>
          <w:spacing w:val="-3"/>
        </w:rPr>
        <w:t> </w:t>
      </w:r>
      <w:r>
        <w:rPr>
          <w:i/>
        </w:rPr>
        <w:t>3</w:t>
      </w:r>
      <w:r>
        <w:rPr/>
        <w:t>(6),</w:t>
      </w:r>
      <w:r>
        <w:rPr>
          <w:spacing w:val="-3"/>
        </w:rPr>
        <w:t> </w:t>
      </w:r>
      <w:r>
        <w:rPr/>
        <w:t>1135.</w:t>
      </w:r>
      <w:r>
        <w:rPr>
          <w:spacing w:val="-3"/>
        </w:rPr>
        <w:t> </w:t>
      </w:r>
      <w:hyperlink r:id="rId11">
        <w:r>
          <w:rPr>
            <w:u w:val="single"/>
          </w:rPr>
          <w:t>https://doi.org/10.18502/kss.v3i6.2430</w:t>
        </w:r>
      </w:hyperlink>
    </w:p>
    <w:p>
      <w:pPr>
        <w:spacing w:after="0"/>
        <w:jc w:val="both"/>
        <w:sectPr>
          <w:pgSz w:w="11910" w:h="16840"/>
          <w:pgMar w:top="1360" w:bottom="280" w:left="1320" w:right="1320"/>
        </w:sectPr>
      </w:pPr>
    </w:p>
    <w:p>
      <w:pPr>
        <w:pStyle w:val="BodyText"/>
        <w:tabs>
          <w:tab w:pos="2396" w:val="left" w:leader="none"/>
          <w:tab w:pos="5236" w:val="left" w:leader="none"/>
          <w:tab w:pos="7115" w:val="left" w:leader="none"/>
          <w:tab w:pos="8711" w:val="left" w:leader="none"/>
        </w:tabs>
        <w:spacing w:before="120"/>
        <w:ind w:left="840" w:right="194" w:hanging="720"/>
        <w:jc w:val="both"/>
      </w:pPr>
      <w:r>
        <w:rPr/>
        <w:t>Jahn, I., Börnhorst, C., Günther, F., &amp; Brand, T. 2017. Examples of sex/gender sensitivity in</w:t>
      </w:r>
      <w:r>
        <w:rPr>
          <w:spacing w:val="1"/>
        </w:rPr>
        <w:t> </w:t>
      </w:r>
      <w:r>
        <w:rPr/>
        <w:t>epidemiological research: Results of an evaluation of original articles published in</w:t>
      </w:r>
      <w:r>
        <w:rPr>
          <w:spacing w:val="1"/>
        </w:rPr>
        <w:t> </w:t>
      </w:r>
      <w:r>
        <w:rPr/>
        <w:t>JECH</w:t>
        <w:tab/>
        <w:t>2006–2014.</w:t>
      </w:r>
      <w:r>
        <w:rPr>
          <w:spacing w:val="-1"/>
        </w:rPr>
        <w:t> </w:t>
      </w:r>
      <w:r>
        <w:rPr>
          <w:i/>
        </w:rPr>
        <w:t>Health</w:t>
        <w:tab/>
        <w:t>Research</w:t>
        <w:tab/>
        <w:t>Policy</w:t>
        <w:tab/>
      </w:r>
      <w:r>
        <w:rPr>
          <w:i/>
          <w:spacing w:val="-1"/>
        </w:rPr>
        <w:t>and</w:t>
      </w:r>
      <w:r>
        <w:rPr>
          <w:i/>
          <w:spacing w:val="-57"/>
        </w:rPr>
        <w:t> </w:t>
      </w:r>
      <w:r>
        <w:rPr>
          <w:i/>
        </w:rPr>
        <w:t>Systems</w:t>
      </w:r>
      <w:r>
        <w:rPr/>
        <w:t>,</w:t>
      </w:r>
      <w:r>
        <w:rPr>
          <w:spacing w:val="-1"/>
        </w:rPr>
        <w:t> </w:t>
      </w:r>
      <w:r>
        <w:rPr>
          <w:i/>
        </w:rPr>
        <w:t>15</w:t>
      </w:r>
      <w:r>
        <w:rPr/>
        <w:t>(1).</w:t>
      </w:r>
      <w:r>
        <w:rPr>
          <w:spacing w:val="-1"/>
        </w:rPr>
        <w:t> </w:t>
      </w:r>
      <w:hyperlink r:id="rId12">
        <w:r>
          <w:rPr>
            <w:u w:val="single"/>
          </w:rPr>
          <w:t>https://doi.org/10.1186/s12961-017-0174-z</w:t>
        </w:r>
      </w:hyperlink>
    </w:p>
    <w:p>
      <w:pPr>
        <w:pStyle w:val="BodyText"/>
        <w:spacing w:before="3"/>
        <w:rPr>
          <w:sz w:val="16"/>
        </w:rPr>
      </w:pPr>
    </w:p>
    <w:p>
      <w:pPr>
        <w:tabs>
          <w:tab w:pos="4120" w:val="left" w:leader="none"/>
          <w:tab w:pos="5908" w:val="left" w:leader="none"/>
          <w:tab w:pos="8176" w:val="left" w:leader="none"/>
        </w:tabs>
        <w:spacing w:before="90"/>
        <w:ind w:left="840" w:right="186" w:hanging="720"/>
        <w:jc w:val="both"/>
        <w:rPr>
          <w:sz w:val="24"/>
        </w:rPr>
      </w:pPr>
      <w:r>
        <w:rPr>
          <w:sz w:val="24"/>
        </w:rPr>
        <w:t>Mittal, S., &amp; Singh, T. 2020. Gender-based violence during COVID-19 pandemic: A mini-</w:t>
      </w:r>
      <w:r>
        <w:rPr>
          <w:spacing w:val="1"/>
          <w:sz w:val="24"/>
        </w:rPr>
        <w:t> </w:t>
      </w:r>
      <w:r>
        <w:rPr>
          <w:sz w:val="24"/>
        </w:rPr>
        <w:t>review.</w:t>
      </w:r>
      <w:r>
        <w:rPr>
          <w:spacing w:val="-1"/>
          <w:sz w:val="24"/>
        </w:rPr>
        <w:t> </w:t>
      </w:r>
      <w:r>
        <w:rPr>
          <w:i/>
          <w:sz w:val="24"/>
        </w:rPr>
        <w:t>Frontiers</w:t>
        <w:tab/>
        <w:t>in</w:t>
        <w:tab/>
        <w:t>Global</w:t>
        <w:tab/>
        <w:t>Women’s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Health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1</w:t>
      </w:r>
      <w:r>
        <w:rPr>
          <w:sz w:val="24"/>
        </w:rPr>
        <w:t>. </w:t>
      </w:r>
      <w:hyperlink r:id="rId13">
        <w:r>
          <w:rPr>
            <w:sz w:val="24"/>
            <w:u w:val="single"/>
          </w:rPr>
          <w:t>https://doi.org/10.3389/fgwh.2020.00004</w:t>
        </w:r>
      </w:hyperlink>
    </w:p>
    <w:p>
      <w:pPr>
        <w:pStyle w:val="BodyText"/>
        <w:spacing w:before="2"/>
        <w:rPr>
          <w:sz w:val="16"/>
        </w:rPr>
      </w:pPr>
    </w:p>
    <w:p>
      <w:pPr>
        <w:spacing w:before="90"/>
        <w:ind w:left="840" w:right="196" w:hanging="720"/>
        <w:jc w:val="both"/>
        <w:rPr>
          <w:sz w:val="24"/>
        </w:rPr>
      </w:pPr>
      <w:r>
        <w:rPr>
          <w:sz w:val="24"/>
        </w:rPr>
        <w:t>Philippine Commission on Women. 2016. </w:t>
      </w:r>
      <w:r>
        <w:rPr>
          <w:i/>
          <w:sz w:val="24"/>
        </w:rPr>
        <w:t>A handbook on the application of the enhanced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gender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mainstreaming evaluation framework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840" w:right="190" w:hanging="720"/>
        <w:jc w:val="both"/>
      </w:pPr>
      <w:r>
        <w:rPr/>
        <w:t>Romero, E. R., Abulencia, M. T., Asia, M. A., Alvarez, R. A., Hidalgo, M. M., Santos, J. L.,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Tan, A. C.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(GAD)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</w:t>
      </w:r>
      <w:r>
        <w:rPr>
          <w:spacing w:val="35"/>
        </w:rPr>
        <w:t> </w:t>
      </w:r>
      <w:r>
        <w:rPr/>
        <w:t>Officials.</w:t>
      </w:r>
      <w:r>
        <w:rPr>
          <w:spacing w:val="2"/>
        </w:rPr>
        <w:t> </w:t>
      </w:r>
      <w:r>
        <w:rPr>
          <w:i/>
        </w:rPr>
        <w:t>Journal</w:t>
      </w:r>
      <w:r>
        <w:rPr>
          <w:i/>
          <w:spacing w:val="35"/>
        </w:rPr>
        <w:t> </w:t>
      </w:r>
      <w:r>
        <w:rPr>
          <w:i/>
        </w:rPr>
        <w:t>of</w:t>
      </w:r>
      <w:r>
        <w:rPr>
          <w:i/>
          <w:spacing w:val="35"/>
        </w:rPr>
        <w:t> </w:t>
      </w:r>
      <w:r>
        <w:rPr>
          <w:i/>
        </w:rPr>
        <w:t>Business</w:t>
      </w:r>
      <w:r>
        <w:rPr>
          <w:i/>
          <w:spacing w:val="33"/>
        </w:rPr>
        <w:t> </w:t>
      </w:r>
      <w:r>
        <w:rPr>
          <w:i/>
        </w:rPr>
        <w:t>and</w:t>
      </w:r>
      <w:r>
        <w:rPr>
          <w:i/>
          <w:spacing w:val="34"/>
        </w:rPr>
        <w:t> </w:t>
      </w:r>
      <w:r>
        <w:rPr>
          <w:i/>
        </w:rPr>
        <w:t>Management</w:t>
      </w:r>
      <w:r>
        <w:rPr>
          <w:i/>
          <w:spacing w:val="35"/>
        </w:rPr>
        <w:t> </w:t>
      </w:r>
      <w:r>
        <w:rPr>
          <w:i/>
        </w:rPr>
        <w:t>Studies</w:t>
      </w:r>
      <w:r>
        <w:rPr/>
        <w:t>,</w:t>
      </w:r>
      <w:r>
        <w:rPr>
          <w:spacing w:val="-1"/>
        </w:rPr>
        <w:t> </w:t>
      </w:r>
      <w:r>
        <w:rPr>
          <w:i/>
        </w:rPr>
        <w:t>2</w:t>
      </w:r>
      <w:r>
        <w:rPr/>
        <w:t>(3),</w:t>
      </w:r>
      <w:r>
        <w:rPr>
          <w:spacing w:val="35"/>
        </w:rPr>
        <w:t> </w:t>
      </w:r>
      <w:r>
        <w:rPr/>
        <w:t>64-</w:t>
      </w:r>
    </w:p>
    <w:p>
      <w:pPr>
        <w:pStyle w:val="BodyText"/>
        <w:spacing w:before="1"/>
        <w:ind w:left="840"/>
        <w:jc w:val="both"/>
      </w:pPr>
      <w:r>
        <w:rPr/>
        <w:t>69.</w:t>
      </w:r>
      <w:r>
        <w:rPr>
          <w:spacing w:val="-14"/>
        </w:rPr>
        <w:t> </w:t>
      </w:r>
      <w:hyperlink r:id="rId14">
        <w:r>
          <w:rPr>
            <w:u w:val="single"/>
          </w:rPr>
          <w:t>https://al-kindipublisher.com/index.php/jbms/article/view/858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840" w:right="190" w:hanging="720"/>
        <w:jc w:val="both"/>
      </w:pPr>
      <w:r>
        <w:rPr/>
        <w:t>Sacro,</w:t>
      </w:r>
      <w:r>
        <w:rPr>
          <w:spacing w:val="-3"/>
        </w:rPr>
        <w:t> </w:t>
      </w:r>
      <w:r>
        <w:rPr/>
        <w:t>J.</w:t>
      </w:r>
      <w:r>
        <w:rPr>
          <w:spacing w:val="-3"/>
        </w:rPr>
        <w:t> </w:t>
      </w:r>
      <w:r>
        <w:rPr/>
        <w:t>H.,</w:t>
      </w:r>
      <w:r>
        <w:rPr>
          <w:spacing w:val="-10"/>
        </w:rPr>
        <w:t> </w:t>
      </w:r>
      <w:r>
        <w:rPr/>
        <w:t>Bauyot,</w:t>
      </w:r>
      <w:r>
        <w:rPr>
          <w:spacing w:val="-1"/>
        </w:rPr>
        <w:t> </w:t>
      </w:r>
      <w:r>
        <w:rPr/>
        <w:t>M.</w:t>
      </w:r>
      <w:r>
        <w:rPr>
          <w:spacing w:val="-2"/>
        </w:rPr>
        <w:t> </w:t>
      </w:r>
      <w:r>
        <w:rPr/>
        <w:t>M.,</w:t>
      </w:r>
      <w:r>
        <w:rPr>
          <w:spacing w:val="-10"/>
        </w:rPr>
        <w:t> </w:t>
      </w:r>
      <w:r>
        <w:rPr/>
        <w:t>Villegas, J.</w:t>
      </w:r>
      <w:r>
        <w:rPr>
          <w:spacing w:val="-2"/>
        </w:rPr>
        <w:t> </w:t>
      </w:r>
      <w:r>
        <w:rPr/>
        <w:t>P.,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Leorisyl,</w:t>
      </w:r>
      <w:r>
        <w:rPr>
          <w:spacing w:val="-1"/>
        </w:rPr>
        <w:t> </w:t>
      </w:r>
      <w:r>
        <w:rPr/>
        <w:t>S.</w:t>
      </w:r>
      <w:r>
        <w:rPr>
          <w:spacing w:val="-2"/>
        </w:rPr>
        <w:t> </w:t>
      </w:r>
      <w:r>
        <w:rPr/>
        <w:t>D.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press.</w:t>
      </w:r>
      <w:r>
        <w:rPr>
          <w:spacing w:val="-9"/>
        </w:rPr>
        <w:t> </w:t>
      </w:r>
      <w:r>
        <w:rPr/>
        <w:t>Gender</w:t>
      </w:r>
      <w:r>
        <w:rPr>
          <w:spacing w:val="-14"/>
        </w:rPr>
        <w:t> </w:t>
      </w:r>
      <w:r>
        <w:rPr/>
        <w:t>Mainstreaming</w:t>
      </w:r>
      <w:r>
        <w:rPr>
          <w:spacing w:val="-58"/>
        </w:rPr>
        <w:t> </w:t>
      </w:r>
      <w:r>
        <w:rPr/>
        <w:t>in Basic Education, City of Mati, Southern Mindanao, Philippines (in press). </w:t>
      </w:r>
      <w:r>
        <w:rPr>
          <w:i/>
        </w:rPr>
        <w:t>Davao</w:t>
      </w:r>
      <w:r>
        <w:rPr>
          <w:i/>
          <w:spacing w:val="1"/>
        </w:rPr>
        <w:t> </w:t>
      </w:r>
      <w:r>
        <w:rPr>
          <w:i/>
        </w:rPr>
        <w:t>Research Journal</w:t>
      </w:r>
      <w:r>
        <w:rPr/>
        <w:t>.</w:t>
      </w:r>
    </w:p>
    <w:p>
      <w:pPr>
        <w:spacing w:before="0"/>
        <w:ind w:left="840" w:right="194" w:hanging="720"/>
        <w:jc w:val="both"/>
        <w:rPr>
          <w:sz w:val="24"/>
        </w:rPr>
      </w:pPr>
      <w:r>
        <w:rPr>
          <w:sz w:val="24"/>
        </w:rPr>
        <w:t>Sumadsad, C., &amp; Tuazon, A. 2016. Gender and Development (GAD) Awareness in a Higher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61"/>
          <w:sz w:val="24"/>
        </w:rPr>
        <w:t> </w:t>
      </w:r>
      <w:r>
        <w:rPr>
          <w:sz w:val="24"/>
        </w:rPr>
        <w:t>Institution. </w:t>
      </w:r>
      <w:r>
        <w:rPr>
          <w:i/>
          <w:sz w:val="24"/>
        </w:rPr>
        <w:t>International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Science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(3),</w:t>
      </w:r>
      <w:r>
        <w:rPr>
          <w:spacing w:val="-7"/>
          <w:sz w:val="24"/>
        </w:rPr>
        <w:t> </w:t>
      </w:r>
      <w:r>
        <w:rPr>
          <w:sz w:val="24"/>
        </w:rPr>
        <w:t>75-86.</w:t>
      </w:r>
      <w:r>
        <w:rPr>
          <w:spacing w:val="-6"/>
          <w:sz w:val="24"/>
        </w:rPr>
        <w:t> </w:t>
      </w:r>
      <w:hyperlink r:id="rId15">
        <w:r>
          <w:rPr>
            <w:sz w:val="24"/>
            <w:u w:val="single"/>
          </w:rPr>
          <w:t>https://papers.ssrn.com/sol3/papers.cfm?abstract_id=2838156</w:t>
        </w:r>
      </w:hyperlink>
    </w:p>
    <w:p>
      <w:pPr>
        <w:pStyle w:val="BodyText"/>
        <w:spacing w:before="2"/>
        <w:rPr>
          <w:sz w:val="16"/>
        </w:rPr>
      </w:pPr>
    </w:p>
    <w:p>
      <w:pPr>
        <w:spacing w:before="90"/>
        <w:ind w:left="840" w:right="883" w:hanging="720"/>
        <w:jc w:val="left"/>
        <w:rPr>
          <w:sz w:val="24"/>
        </w:rPr>
      </w:pPr>
      <w:r>
        <w:rPr>
          <w:sz w:val="24"/>
        </w:rPr>
        <w:t>United Nations Children Fund (UNICEF). 2020. </w:t>
      </w:r>
      <w:r>
        <w:rPr>
          <w:i/>
          <w:sz w:val="24"/>
        </w:rPr>
        <w:t>Gender-responsive Education in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Context of COVID19</w:t>
      </w:r>
      <w:r>
        <w:rPr>
          <w:sz w:val="24"/>
        </w:rPr>
        <w:t>. </w:t>
      </w:r>
      <w:hyperlink r:id="rId16">
        <w:r>
          <w:rPr>
            <w:sz w:val="24"/>
            <w:u w:val="single"/>
          </w:rPr>
          <w:t>https://inee.org/system/files/resources/Gender-</w:t>
        </w:r>
      </w:hyperlink>
      <w:r>
        <w:rPr>
          <w:spacing w:val="1"/>
          <w:sz w:val="24"/>
        </w:rPr>
        <w:t> </w:t>
      </w:r>
      <w:hyperlink r:id="rId16">
        <w:r>
          <w:rPr>
            <w:sz w:val="24"/>
            <w:u w:val="single"/>
          </w:rPr>
          <w:t>responsive%20Education%20in%20the%20Context%20of%20COVID-19.pdf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/>
        <w:t>United</w:t>
      </w:r>
      <w:r>
        <w:rPr>
          <w:spacing w:val="-5"/>
        </w:rPr>
        <w:t> </w:t>
      </w:r>
      <w:r>
        <w:rPr/>
        <w:t>Nations</w:t>
      </w:r>
      <w:r>
        <w:rPr>
          <w:spacing w:val="-5"/>
        </w:rPr>
        <w:t> </w:t>
      </w:r>
      <w:r>
        <w:rPr/>
        <w:t>Educational,</w:t>
      </w:r>
      <w:r>
        <w:rPr>
          <w:spacing w:val="-4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(UNESCO).</w:t>
      </w:r>
    </w:p>
    <w:p>
      <w:pPr>
        <w:spacing w:before="0"/>
        <w:ind w:left="840" w:right="0" w:firstLine="0"/>
        <w:jc w:val="left"/>
        <w:rPr>
          <w:sz w:val="24"/>
        </w:rPr>
      </w:pPr>
      <w:r>
        <w:rPr>
          <w:sz w:val="24"/>
        </w:rPr>
        <w:t>(2004).</w:t>
      </w:r>
      <w:r>
        <w:rPr>
          <w:spacing w:val="-4"/>
          <w:sz w:val="24"/>
        </w:rPr>
        <w:t> </w:t>
      </w:r>
      <w:r>
        <w:rPr>
          <w:i/>
          <w:sz w:val="24"/>
        </w:rPr>
        <w:t>Gender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sensitivity: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training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manual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sensitizing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managers,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curriculum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material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developers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media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professionals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 gender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concerns</w:t>
      </w:r>
      <w:r>
        <w:rPr>
          <w:sz w:val="24"/>
        </w:rPr>
        <w:t>.</w:t>
      </w:r>
    </w:p>
    <w:p>
      <w:pPr>
        <w:pStyle w:val="BodyText"/>
        <w:spacing w:before="1"/>
      </w:pPr>
    </w:p>
    <w:p>
      <w:pPr>
        <w:spacing w:before="0"/>
        <w:ind w:left="840" w:right="0" w:hanging="720"/>
        <w:jc w:val="left"/>
        <w:rPr>
          <w:sz w:val="24"/>
        </w:rPr>
      </w:pPr>
      <w:r>
        <w:rPr>
          <w:sz w:val="24"/>
        </w:rPr>
        <w:t>Valencia, M. C.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sz w:val="24"/>
        </w:rPr>
        <w:t>Gender</w:t>
      </w:r>
      <w:r>
        <w:rPr>
          <w:spacing w:val="1"/>
          <w:sz w:val="24"/>
        </w:rPr>
        <w:t> </w:t>
      </w:r>
      <w:r>
        <w:rPr>
          <w:sz w:val="24"/>
        </w:rPr>
        <w:t>Mainstreaming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Teacher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Philippines.</w:t>
      </w:r>
      <w:r>
        <w:rPr>
          <w:spacing w:val="1"/>
          <w:sz w:val="24"/>
        </w:rPr>
        <w:t> </w:t>
      </w:r>
      <w:r>
        <w:rPr>
          <w:i/>
          <w:sz w:val="24"/>
        </w:rPr>
        <w:t>EDUCARE: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9</w:t>
      </w:r>
      <w:r>
        <w:rPr>
          <w:sz w:val="24"/>
        </w:rPr>
        <w:t>(2),</w:t>
      </w:r>
      <w:r>
        <w:rPr>
          <w:spacing w:val="11"/>
          <w:sz w:val="24"/>
        </w:rPr>
        <w:t> </w:t>
      </w:r>
      <w:r>
        <w:rPr>
          <w:sz w:val="24"/>
        </w:rPr>
        <w:t>85-</w:t>
      </w:r>
    </w:p>
    <w:p>
      <w:pPr>
        <w:pStyle w:val="BodyText"/>
        <w:ind w:left="840"/>
      </w:pPr>
      <w:r>
        <w:rPr/>
        <w:t>94.</w:t>
      </w:r>
      <w:r>
        <w:rPr>
          <w:spacing w:val="-11"/>
        </w:rPr>
        <w:t> </w:t>
      </w:r>
      <w:hyperlink r:id="rId17">
        <w:r>
          <w:rPr>
            <w:u w:val="single"/>
          </w:rPr>
          <w:t>https://journals.mindamas.com/index.php/educare/article/view/801/764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840" w:right="193" w:hanging="720"/>
        <w:jc w:val="both"/>
        <w:rPr>
          <w:i/>
        </w:rPr>
      </w:pPr>
      <w:r>
        <w:rPr/>
        <w:t>Villegas, J.P., Biol, R.C. Dacullo, J.E., &amp; Simbajon, J.S. In press. Gender, Numbers, and</w:t>
      </w:r>
      <w:r>
        <w:rPr>
          <w:spacing w:val="1"/>
        </w:rPr>
        <w:t> </w:t>
      </w:r>
      <w:r>
        <w:rPr/>
        <w:t>Beyond: The Case of Criminology Program in DOSCST, City of Mati, Philippines.</w:t>
      </w:r>
      <w:r>
        <w:rPr>
          <w:spacing w:val="1"/>
        </w:rPr>
        <w:t> </w:t>
      </w:r>
      <w:r>
        <w:rPr>
          <w:i/>
        </w:rPr>
        <w:t>Davao</w:t>
      </w:r>
      <w:r>
        <w:rPr>
          <w:i/>
          <w:spacing w:val="-1"/>
        </w:rPr>
        <w:t> </w:t>
      </w:r>
      <w:r>
        <w:rPr>
          <w:i/>
        </w:rPr>
        <w:t>Research Journal.</w:t>
      </w:r>
    </w:p>
    <w:sectPr>
      <w:pgSz w:w="11910" w:h="16840"/>
      <w:pgMar w:top="15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17" w:right="301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jarp.org/published-research-papers/nov2018/Training-Needs-Assessment-Of-The-Gender-Focal-Point-System-Basis-For-A-Capability-Building-Program-.pdf" TargetMode="External"/><Relationship Id="rId7" Type="http://schemas.openxmlformats.org/officeDocument/2006/relationships/hyperlink" Target="https://doi.org/10.1186/s13643-019-0969-9" TargetMode="External"/><Relationship Id="rId8" Type="http://schemas.openxmlformats.org/officeDocument/2006/relationships/hyperlink" Target="http://www.dbm.gov.ph/index.php/bud" TargetMode="External"/><Relationship Id="rId9" Type="http://schemas.openxmlformats.org/officeDocument/2006/relationships/hyperlink" Target="https://www.deped.gov.ph/wp-content/uploads/2017/06/DO_s2017_032.pdf" TargetMode="External"/><Relationship Id="rId10" Type="http://schemas.openxmlformats.org/officeDocument/2006/relationships/hyperlink" Target="https://gsdrc.org/topic-guides/gender/understanding-gender/" TargetMode="External"/><Relationship Id="rId11" Type="http://schemas.openxmlformats.org/officeDocument/2006/relationships/hyperlink" Target="https://doi.org/10.18502/kss.v3i6.2430" TargetMode="External"/><Relationship Id="rId12" Type="http://schemas.openxmlformats.org/officeDocument/2006/relationships/hyperlink" Target="https://doi.org/10.1186/s12961-017-0174-z" TargetMode="External"/><Relationship Id="rId13" Type="http://schemas.openxmlformats.org/officeDocument/2006/relationships/hyperlink" Target="https://doi.org/10.3389/fgwh.2020.00004" TargetMode="External"/><Relationship Id="rId14" Type="http://schemas.openxmlformats.org/officeDocument/2006/relationships/hyperlink" Target="https://al-kindipublisher.com/index.php/jbms/article/view/858" TargetMode="External"/><Relationship Id="rId15" Type="http://schemas.openxmlformats.org/officeDocument/2006/relationships/hyperlink" Target="https://papers.ssrn.com/sol3/papers.cfm?abstract_id=2838156" TargetMode="External"/><Relationship Id="rId16" Type="http://schemas.openxmlformats.org/officeDocument/2006/relationships/hyperlink" Target="https://inee.org/system/files/resources/Gender-responsive%20Education%20in%20the%20Context%20of%20COVID-19.pdf" TargetMode="External"/><Relationship Id="rId17" Type="http://schemas.openxmlformats.org/officeDocument/2006/relationships/hyperlink" Target="https://journals.mindamas.com/index.php/educare/article/view/801/76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2022-02-09T05:55:36Z</dcterms:created>
  <dcterms:modified xsi:type="dcterms:W3CDTF">2022-02-09T05:55:36Z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