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5C4B"/>
          <w:sz w:val="48"/>
          <w:szCs w:val="48"/>
        </w:rPr>
        <w:t xml:space="preserve">FIELDBOOK</w:t>
      </w:r>
    </w:p>
    <w:p>
      <w:pPr>
        <w:spacing w:after="40"/>
      </w:pPr>
      <w:r>
        <w:rPr>
          <w:b/>
          <w:bCs/>
          <w:sz w:val="30"/>
          <w:szCs w:val="30"/>
        </w:rPr>
        <w:t xml:space="preserve">Prototype → Production Migration Guide</w:t>
      </w:r>
    </w:p>
    <w:p>
      <w:pPr>
        <w:spacing w:after="300"/>
      </w:pPr>
      <w:r>
        <w:rPr>
          <w:i/>
          <w:iCs/>
          <w:color w:val="6B6B6B"/>
          <w:sz w:val="22"/>
          <w:szCs w:val="22"/>
        </w:rPr>
        <w:t xml:space="preserve">Figma Make (Vite/React prototype) → Kiro Pro+ + Supabase</w:t>
      </w:r>
    </w:p>
    <w:p>
      <w:pPr>
        <w:pStyle w:val="Heading1"/>
        <w:pBdr>
          <w:bottom w:val="single" w:color="1F5C4B" w:sz="6" w:space="4"/>
        </w:pBdr>
        <w:spacing w:after="160" w:before="400"/>
      </w:pPr>
      <w:r>
        <w:rPr>
          <w:b/>
          <w:bCs/>
          <w:color w:val="111111"/>
        </w:rPr>
        <w:t xml:space="preserve">How to use this guide</w:t>
      </w:r>
    </w:p>
    <w:p>
      <w:pPr>
        <w:spacing w:after="140"/>
      </w:pPr>
      <w:r>
        <w:t xml:space="preserve">This guide walks through moving the Fieldbook prototype out of Figma Make and into Kiro Pro+, wiring it up to a real Supabase backend (real authentication, a real database, real file storage) via Kiro's Supabase Power, and replacing the mock/local-state logic with production data.</w:t>
      </w:r>
    </w:p>
    <w:p>
      <w:pPr>
        <w:spacing w:after="140"/>
      </w:pPr>
      <w:r>
        <w:t xml:space="preserve">Kiro works differently from a single-shot AI editor. Two modes are available for every prompt:</w:t>
      </w:r>
    </w:p>
    <w:p>
      <w:pPr>
        <w:pStyle w:val="ListParagraph"/>
        <w:numPr>
          <w:ilvl w:val="0"/>
          <w:numId w:val="2"/>
        </w:numPr>
        <w:spacing w:after="80"/>
      </w:pPr>
      <w:r>
        <w:t xml:space="preserve">Vibe Mode — a fast, single-shot edit. Good for anything contained to one file or one clear change. Cheapest credit cost.</w:t>
      </w:r>
    </w:p>
    <w:p>
      <w:pPr>
        <w:pStyle w:val="ListParagraph"/>
        <w:numPr>
          <w:ilvl w:val="0"/>
          <w:numId w:val="2"/>
        </w:numPr>
        <w:spacing w:after="80"/>
      </w:pPr>
      <w:r>
        <w:t xml:space="preserve">Spec Mode — before writing any code, Kiro produces a requirements.md, a design.md, and a tasks.md for you to review and approve. Slower and pricier per prompt, but it catches schema and logic mistakes on paper instead of in production. Use it anywhere this guide touches data models, auth, or security.</w:t>
      </w:r>
    </w:p>
    <w:p>
      <w:pPr>
        <w:spacing w:after="140"/>
      </w:pPr>
      <w:r>
        <w:t xml:space="preserve">Each step below is labeled with the mode and model we'd default to, and why. Copy each prompt exactly as written into the appropriate mode, review the result (and, in Spec Mode, the generated design doc) before approving, and confirm it works before moving to the next step — the same one-step-at-a-time approach used throughout the Figma Make build.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c>
          <w:tcPr>
            <w:tcW w:type="dxa" w:w="3300"/>
            <w:shd w:fill="1F5C4B" w:color="auto" w:val="clear"/>
          </w:tcPr>
          <w:p>
            <w:r>
              <w:rPr>
                <w:b/>
                <w:bCs/>
                <w:color w:val="FFFFFF"/>
                <w:sz w:val="19"/>
                <w:szCs w:val="19"/>
              </w:rPr>
              <w:t xml:space="preserve">Model</w:t>
            </w:r>
          </w:p>
        </w:tc>
        <w:tc>
          <w:tcPr>
            <w:tcW w:type="dxa" w:w="3300"/>
            <w:shd w:fill="1F5C4B" w:color="auto" w:val="clear"/>
          </w:tcPr>
          <w:p>
            <w:r>
              <w:rPr>
                <w:b/>
                <w:bCs/>
                <w:color w:val="FFFFFF"/>
                <w:sz w:val="19"/>
                <w:szCs w:val="19"/>
              </w:rPr>
              <w:t xml:space="preserve">Best for</w:t>
            </w:r>
          </w:p>
        </w:tc>
        <w:tc>
          <w:tcPr>
            <w:tcW w:type="dxa" w:w="3300"/>
            <w:shd w:fill="1F5C4B" w:color="auto" w:val="clear"/>
          </w:tcPr>
          <w:p>
            <w:r>
              <w:rPr>
                <w:b/>
                <w:bCs/>
                <w:color w:val="FFFFFF"/>
                <w:sz w:val="19"/>
                <w:szCs w:val="19"/>
              </w:rPr>
              <w:t xml:space="preserve">Mode to pair it with</w:t>
            </w:r>
          </w:p>
        </w:tc>
      </w:tr>
      <w:tr>
        <w:tc>
          <w:tcPr>
            <w:tcW w:type="dxa" w:w="3300"/>
          </w:tcPr>
          <w:p>
            <w:r>
              <w:rPr>
                <w:b/>
                <w:bCs/>
                <w:sz w:val="19"/>
                <w:szCs w:val="19"/>
              </w:rPr>
              <w:t xml:space="preserve">Claude Sonnet 5</w:t>
            </w:r>
          </w:p>
        </w:tc>
        <w:tc>
          <w:tcPr>
            <w:tcW w:type="dxa" w:w="3300"/>
          </w:tcPr>
          <w:p>
            <w:r>
              <w:rPr>
                <w:b w:val="false"/>
                <w:bCs w:val="false"/>
                <w:sz w:val="19"/>
                <w:szCs w:val="19"/>
              </w:rPr>
              <w:t xml:space="preserve">Everyday steps: imports, config, storage plumbing, routing, verification passes.</w:t>
            </w:r>
          </w:p>
        </w:tc>
        <w:tc>
          <w:tcPr>
            <w:tcW w:type="dxa" w:w="3300"/>
          </w:tcPr>
          <w:p>
            <w:r>
              <w:rPr>
                <w:b w:val="false"/>
                <w:bCs w:val="false"/>
                <w:sz w:val="19"/>
                <w:szCs w:val="19"/>
              </w:rPr>
              <w:t xml:space="preserve">Vibe Mode (fast, ~0.04 credit)</w:t>
            </w:r>
          </w:p>
        </w:tc>
      </w:tr>
      <w:tr>
        <w:tc>
          <w:tcPr>
            <w:tcW w:type="dxa" w:w="3300"/>
          </w:tcPr>
          <w:p>
            <w:r>
              <w:rPr>
                <w:b/>
                <w:bCs/>
                <w:sz w:val="19"/>
                <w:szCs w:val="19"/>
              </w:rPr>
              <w:t xml:space="preserve">Claude Opus 4.7 / 4.8</w:t>
            </w:r>
          </w:p>
        </w:tc>
        <w:tc>
          <w:tcPr>
            <w:tcW w:type="dxa" w:w="3300"/>
          </w:tcPr>
          <w:p>
            <w:r>
              <w:rPr>
                <w:b w:val="false"/>
                <w:bCs w:val="false"/>
                <w:sz w:val="19"/>
                <w:szCs w:val="19"/>
              </w:rPr>
              <w:t xml:space="preserve">Steps with real design decisions: auth logic, schema + foreign keys, RLS policies.</w:t>
            </w:r>
          </w:p>
        </w:tc>
        <w:tc>
          <w:tcPr>
            <w:tcW w:type="dxa" w:w="3300"/>
          </w:tcPr>
          <w:p>
            <w:r>
              <w:rPr>
                <w:b w:val="false"/>
                <w:bCs w:val="false"/>
                <w:sz w:val="19"/>
                <w:szCs w:val="19"/>
              </w:rPr>
              <w:t xml:space="preserve">Spec Mode (~0.20 credit) — worth it, the reasoning shows up in the design doc you can review before code runs.</w:t>
            </w:r>
          </w:p>
        </w:tc>
      </w:tr>
      <w:tr>
        <w:tc>
          <w:tcPr>
            <w:tcW w:type="dxa" w:w="3300"/>
          </w:tcPr>
          <w:p>
            <w:r>
              <w:rPr>
                <w:b/>
                <w:bCs/>
                <w:sz w:val="19"/>
                <w:szCs w:val="19"/>
              </w:rPr>
              <w:t xml:space="preserve">Amazon Nova</w:t>
            </w:r>
          </w:p>
        </w:tc>
        <w:tc>
          <w:tcPr>
            <w:tcW w:type="dxa" w:w="3300"/>
          </w:tcPr>
          <w:p>
            <w:r>
              <w:rPr>
                <w:b w:val="false"/>
                <w:bCs w:val="false"/>
                <w:sz w:val="19"/>
                <w:szCs w:val="19"/>
              </w:rPr>
              <w:t xml:space="preserve">Trivial, low-stakes edits (copy tweaks, formatting) when you want to save credits.</w:t>
            </w:r>
          </w:p>
        </w:tc>
        <w:tc>
          <w:tcPr>
            <w:tcW w:type="dxa" w:w="3300"/>
          </w:tcPr>
          <w:p>
            <w:r>
              <w:rPr>
                <w:b w:val="false"/>
                <w:bCs w:val="false"/>
                <w:sz w:val="19"/>
                <w:szCs w:val="19"/>
              </w:rPr>
              <w:t xml:space="preserve">Vibe Mode</w:t>
            </w:r>
          </w:p>
        </w:tc>
      </w:tr>
    </w:tbl>
    <w:p>
      <w:pPr>
        <w:spacing w:before="200"/>
      </w:pPr>
    </w:p>
    <w:p>
      <w:pPr>
        <w:spacing w:after="160"/>
      </w:pPr>
      <w:r>
        <w:rPr>
          <w:i/>
          <w:iCs/>
          <w:color w:val="6B6B6B"/>
          <w:sz w:val="20"/>
          <w:szCs w:val="20"/>
        </w:rPr>
        <w:t xml:space="preserve">Note: Kiro's UI, exact panel names (Powers, Steering, Specs), and model list shift over time as new Claude models roll out to Pro+ — if a labeled button or model name doesn't match exactly, look for the nearest equivalent.</w:t>
      </w:r>
    </w:p>
    <w:p>
      <w:pPr>
        <w:pStyle w:val="Heading1"/>
        <w:pBdr>
          <w:bottom w:val="single" w:color="1F5C4B" w:sz="6" w:space="4"/>
        </w:pBdr>
        <w:spacing w:after="160" w:before="400"/>
      </w:pPr>
      <w:r>
        <w:rPr>
          <w:b/>
          <w:bCs/>
          <w:color w:val="111111"/>
        </w:rPr>
        <w:t xml:space="preserve">Before You Start</w:t>
      </w:r>
    </w:p>
    <w:p>
      <w:pPr>
        <w:spacing w:after="140"/>
      </w:pPr>
      <w:r>
        <w:t xml:space="preserve">A few things worth doing before migrating, so you're not carrying known bugs into the new environment:</w:t>
      </w:r>
    </w:p>
    <w:p>
      <w:pPr>
        <w:pStyle w:val="ListParagraph"/>
        <w:numPr>
          <w:ilvl w:val="0"/>
          <w:numId w:val="2"/>
        </w:numPr>
        <w:spacing w:after="80"/>
      </w:pPr>
      <w:r>
        <w:t xml:space="preserve">Confirm the sign-in flow is not currently stuck in a loop (Role Select → Login → Role Select). Fix this in Figma Make first if you haven't already — it's a small, contained fix and much easier to verify there.</w:t>
      </w:r>
    </w:p>
    <w:p>
      <w:pPr>
        <w:pStyle w:val="ListParagraph"/>
        <w:numPr>
          <w:ilvl w:val="0"/>
          <w:numId w:val="2"/>
        </w:numPr>
        <w:spacing w:after="80"/>
      </w:pPr>
      <w:r>
        <w:t xml:space="preserve">Confirm guest mode locking is extended to all three roles (Admin, Organizer, Student), not just Admin.</w:t>
      </w:r>
    </w:p>
    <w:p>
      <w:pPr>
        <w:pStyle w:val="ListParagraph"/>
        <w:numPr>
          <w:ilvl w:val="0"/>
          <w:numId w:val="2"/>
        </w:numPr>
        <w:spacing w:after="80"/>
      </w:pPr>
      <w:r>
        <w:t xml:space="preserve">Add the "Change role" back-link on the login screen (navigates back to admin-role-confirm) and remove the now-unused singleRole auto-redirect logic in AdminRoleConfirmScreen — both were requested earlier but not yet applied.</w:t>
      </w:r>
    </w:p>
    <w:p>
      <w:pPr>
        <w:pStyle w:val="ListParagraph"/>
        <w:numPr>
          <w:ilvl w:val="0"/>
          <w:numId w:val="2"/>
        </w:numPr>
        <w:spacing w:after="80"/>
      </w:pPr>
      <w:r>
        <w:t xml:space="preserve">Export your project as a .zip from Figma Make and keep a copy — this is your fallback if anything goes wrong during import.</w:t>
      </w:r>
    </w:p>
    <w:p>
      <w:pPr>
        <w:pStyle w:val="ListParagraph"/>
        <w:numPr>
          <w:ilvl w:val="0"/>
          <w:numId w:val="2"/>
        </w:numPr>
        <w:spacing w:after="80"/>
      </w:pPr>
      <w:r>
        <w:t xml:space="preserve">Have your Guidelines.md (design system rules) handy — you'll turn it into a Kiro steering file shortly.</w:t>
      </w:r>
    </w:p>
    <w:p>
      <w:pPr>
        <w:pStyle w:val="Heading1"/>
        <w:pBdr>
          <w:bottom w:val="single" w:color="1F5C4B" w:sz="6" w:space="4"/>
        </w:pBdr>
        <w:spacing w:after="160" w:before="400"/>
      </w:pPr>
      <w:r>
        <w:rPr>
          <w:b/>
          <w:bCs/>
          <w:color w:val="111111"/>
        </w:rPr>
        <w:t xml:space="preserve">Step 1 — Push Your Code to GitHub</w:t>
      </w:r>
    </w:p>
    <w:p>
      <w:pPr>
        <w:spacing w:after="140"/>
      </w:pPr>
      <w:r>
        <w:t xml:space="preserve">Kiro imports projects from a GitHub repository, not directly from a .zip file. If you already have this project on GitHub, skip to Step 2.</w:t>
      </w:r>
    </w:p>
    <w:p>
      <w:pPr>
        <w:spacing w:after="140"/>
      </w:pPr>
      <w:r>
        <w:rPr>
          <w:b/>
          <w:bCs/>
        </w:rPr>
        <w:t xml:space="preserve">If you don't have it on GitHub yet:</w:t>
      </w:r>
    </w:p>
    <w:p>
      <w:pPr>
        <w:pStyle w:val="ListParagraph"/>
        <w:numPr>
          <w:ilvl w:val="0"/>
          <w:numId w:val="2"/>
        </w:numPr>
        <w:spacing w:after="80"/>
      </w:pPr>
      <w:r>
        <w:t xml:space="preserve">Create a new, empty repository on GitHub (e.g. "fieldbook-app").</w:t>
      </w:r>
    </w:p>
    <w:p>
      <w:pPr>
        <w:pStyle w:val="ListParagraph"/>
        <w:numPr>
          <w:ilvl w:val="0"/>
          <w:numId w:val="2"/>
        </w:numPr>
        <w:spacing w:after="80"/>
      </w:pPr>
      <w:r>
        <w:t xml:space="preserve">Unzip your latest Figma Make export locally.</w:t>
      </w:r>
    </w:p>
    <w:p>
      <w:pPr>
        <w:pStyle w:val="ListParagraph"/>
        <w:numPr>
          <w:ilvl w:val="0"/>
          <w:numId w:val="2"/>
        </w:numPr>
        <w:spacing w:after="80"/>
      </w:pPr>
      <w:r>
        <w:t xml:space="preserve">From that folder, run: git init, git add ., git commit -m "Initial import from Figma Make", then push to your new repo's main branch.</w:t>
      </w:r>
    </w:p>
    <w:p>
      <w:pPr>
        <w:spacing w:after="160"/>
      </w:pPr>
      <w:r>
        <w:rPr>
          <w:i/>
          <w:iCs/>
          <w:color w:val="6B6B6B"/>
          <w:sz w:val="20"/>
          <w:szCs w:val="20"/>
        </w:rPr>
        <w:t xml:space="preserve">Note: If you're not comfortable with git commands, GitHub Desktop (a free app) does this with drag-and-drop instead of the command line.</w:t>
      </w:r>
    </w:p>
    <w:p>
      <w:pPr>
        <w:pStyle w:val="Heading1"/>
        <w:pBdr>
          <w:bottom w:val="single" w:color="1F5C4B" w:sz="6" w:space="4"/>
        </w:pBdr>
        <w:spacing w:after="160" w:before="400"/>
      </w:pPr>
      <w:r>
        <w:rPr>
          <w:b/>
          <w:bCs/>
          <w:color w:val="111111"/>
        </w:rPr>
        <w:t xml:space="preserve">Step 2 — Import Into Kiro</w:t>
      </w:r>
    </w:p>
    <w:p>
      <w:pPr>
        <w:pStyle w:val="Heading2"/>
        <w:spacing w:after="100" w:before="260"/>
      </w:pPr>
      <w:r>
        <w:rPr>
          <w:b/>
          <w:bCs/>
          <w:color w:val="1F5C4B"/>
        </w:rPr>
        <w:t xml:space="preserve">STEP 2.1  Create the project</w:t>
      </w:r>
    </w:p>
    <w:p>
      <w:pPr>
        <w:pStyle w:val="ListParagraph"/>
        <w:numPr>
          <w:ilvl w:val="0"/>
          <w:numId w:val="2"/>
        </w:numPr>
        <w:spacing w:after="80"/>
      </w:pPr>
      <w:r>
        <w:t xml:space="preserve">In Kiro, choose "Import from GitHub" and select your repository.</w:t>
      </w:r>
    </w:p>
    <w:p>
      <w:pPr>
        <w:pStyle w:val="ListParagraph"/>
        <w:numPr>
          <w:ilvl w:val="0"/>
          <w:numId w:val="2"/>
        </w:numPr>
        <w:spacing w:after="80"/>
      </w:pPr>
      <w:r>
        <w:t xml:space="preserve">Let Kiro finish its initial analysis and suggest a starter steering document for your stack.</w:t>
      </w:r>
    </w:p>
    <w:p>
      <w:pPr>
        <w:pStyle w:val="ListParagraph"/>
        <w:numPr>
          <w:ilvl w:val="0"/>
          <w:numId w:val="2"/>
        </w:numPr>
        <w:spacing w:after="80"/>
      </w:pPr>
      <w:r>
        <w:t xml:space="preserve">Open the project and confirm it builds and the Landing Page renders before doing anything else.</w:t>
      </w:r>
    </w:p>
    <w:p>
      <w:pPr>
        <w:spacing w:after="160" w:before="40"/>
      </w:pPr>
      <w:r>
        <w:rPr>
          <w:b/>
          <w:bCs/>
          <w:color w:val="1F5C4B"/>
          <w:sz w:val="20"/>
          <w:szCs w:val="20"/>
        </w:rPr>
        <w:t xml:space="preserve">Model &amp; Mode  </w:t>
      </w:r>
      <w:r>
        <w:rPr>
          <w:b/>
          <w:bCs/>
          <w:sz w:val="20"/>
          <w:szCs w:val="20"/>
        </w:rPr>
        <w:t xml:space="preserve">Vibe Mode · Claude Sonnet 5</w:t>
      </w:r>
      <w:r>
        <w:rPr>
          <w:i/>
          <w:iCs/>
          <w:color w:val="6B6B6B"/>
          <w:sz w:val="20"/>
          <w:szCs w:val="20"/>
        </w:rPr>
        <w:t xml:space="preserve">  — this is verification, not design work — no reason to spend Opus-level credits confirming a build.</w:t>
      </w:r>
    </w:p>
    <w:p>
      <w:pPr>
        <w:pStyle w:val="Heading2"/>
        <w:spacing w:after="100" w:before="260"/>
      </w:pPr>
      <w:r>
        <w:rPr>
          <w:b/>
          <w:bCs/>
          <w:color w:val="1F5C4B"/>
        </w:rPr>
        <w:t xml:space="preserve">STEP 2.2  Re-anchor the design system</w:t>
      </w:r>
    </w:p>
    <w:p>
      <w:pPr>
        <w:spacing w:after="140"/>
      </w:pPr>
      <w:r>
        <w:t xml:space="preserve">Create a new steering file at dev.kiro/steering/design-system.md, paste in your Guidelines.md, and set its inclusion to "Always" so Kiro treats it as frozen context on every future prompt — this is the equivalent of pinning project instructions in a single-chat tool, except it persists across specs, hooks, and every mode.</w:t>
      </w:r>
    </w:p>
    <w:p>
      <w:pPr>
        <w:pBdr>
          <w:top w:val="single" w:color="CFCBBE" w:sz="4"/>
          <w:bottom w:val="single" w:color="CFCBBE" w:sz="4"/>
          <w:left w:val="single" w:color="CFCBBE" w:sz="4"/>
          <w:right w:val="single" w:color="CFCBBE" w:sz="4"/>
        </w:pBdr>
        <w:shd w:fill="F2F1EC" w:color="auto" w:val="clear"/>
        <w:spacing w:after="160" w:before="100"/>
        <w:ind w:left="215" w:right="215"/>
      </w:pPr>
      <w:r>
        <w:rPr>
          <w:rFonts w:ascii="IBM Plex Mono" w:cs="IBM Plex Mono" w:eastAsia="IBM Plex Mono" w:hAnsi="IBM Plex Mono"/>
          <w:color w:val="222222"/>
          <w:sz w:val="19"/>
          <w:szCs w:val="19"/>
        </w:rPr>
        <w:t xml:space="preserve">Treat the attached Guidelines.md as a frozen design system for this</w:t>
      </w:r>
      <w:r>
        <w:br/>
        <w:t xml:space="preserve"/>
      </w:r>
      <w:r>
        <w:rPr>
          <w:rFonts w:ascii="IBM Plex Mono" w:cs="IBM Plex Mono" w:eastAsia="IBM Plex Mono" w:hAnsi="IBM Plex Mono"/>
          <w:color w:val="222222"/>
          <w:sz w:val="19"/>
          <w:szCs w:val="19"/>
        </w:rPr>
        <w:t xml:space="preserve">project. Do not introduce colors outside its 8 listed tokens, and</w:t>
      </w:r>
      <w:r>
        <w:br/>
        <w:t xml:space="preserve"/>
      </w:r>
      <w:r>
        <w:rPr>
          <w:rFonts w:ascii="IBM Plex Mono" w:cs="IBM Plex Mono" w:eastAsia="IBM Plex Mono" w:hAnsi="IBM Plex Mono"/>
          <w:color w:val="222222"/>
          <w:sz w:val="19"/>
          <w:szCs w:val="19"/>
        </w:rPr>
        <w:t xml:space="preserve">keep the Fraunces / Public Sans / IBM Plex Mono role assignments</w:t>
      </w:r>
      <w:r>
        <w:br/>
        <w:t xml:space="preserve"/>
      </w:r>
      <w:r>
        <w:rPr>
          <w:rFonts w:ascii="IBM Plex Mono" w:cs="IBM Plex Mono" w:eastAsia="IBM Plex Mono" w:hAnsi="IBM Plex Mono"/>
          <w:color w:val="222222"/>
          <w:sz w:val="19"/>
          <w:szCs w:val="19"/>
        </w:rPr>
        <w:t xml:space="preserve">exactly as specified. Confirm you've read it before making any</w:t>
      </w:r>
      <w:r>
        <w:br/>
        <w:t xml:space="preserve"/>
      </w:r>
      <w:r>
        <w:rPr>
          <w:rFonts w:ascii="IBM Plex Mono" w:cs="IBM Plex Mono" w:eastAsia="IBM Plex Mono" w:hAnsi="IBM Plex Mono"/>
          <w:color w:val="222222"/>
          <w:sz w:val="19"/>
          <w:szCs w:val="19"/>
        </w:rPr>
        <w:t xml:space="preserve">other changes.</w:t>
      </w:r>
    </w:p>
    <w:p>
      <w:pPr>
        <w:spacing w:after="160" w:before="40"/>
      </w:pPr>
      <w:r>
        <w:rPr>
          <w:b/>
          <w:bCs/>
          <w:color w:val="1F5C4B"/>
          <w:sz w:val="20"/>
          <w:szCs w:val="20"/>
        </w:rPr>
        <w:t xml:space="preserve">Model &amp; Mode  </w:t>
      </w:r>
      <w:r>
        <w:rPr>
          <w:b/>
          <w:bCs/>
          <w:sz w:val="20"/>
          <w:szCs w:val="20"/>
        </w:rPr>
        <w:t xml:space="preserve">Vibe Mode · Claude Sonnet 5</w:t>
      </w:r>
      <w:r>
        <w:rPr>
          <w:i/>
          <w:iCs/>
          <w:color w:val="6B6B6B"/>
          <w:sz w:val="20"/>
          <w:szCs w:val="20"/>
        </w:rPr>
        <w:t xml:space="preserve">  — writing one steering file from a doc you already have is a straightforward transcription task.</w:t>
      </w:r>
    </w:p>
    <w:p>
      <w:pPr>
        <w:pStyle w:val="Heading1"/>
        <w:pBdr>
          <w:bottom w:val="single" w:color="1F5C4B" w:sz="6" w:space="4"/>
        </w:pBdr>
        <w:spacing w:after="160" w:before="400"/>
      </w:pPr>
      <w:r>
        <w:rPr>
          <w:b/>
          <w:bCs/>
          <w:color w:val="111111"/>
        </w:rPr>
        <w:t xml:space="preserve">Step 3 — Connect Supabase</w:t>
      </w:r>
    </w:p>
    <w:p>
      <w:pPr>
        <w:spacing w:after="140"/>
      </w:pPr>
      <w:r>
        <w:t xml:space="preserve">This is the foundation for everything else — real auth, a real database, and file storage all live in Supabase once connected.</w:t>
      </w:r>
    </w:p>
    <w:p>
      <w:pPr>
        <w:pStyle w:val="Heading2"/>
        <w:spacing w:after="100" w:before="260"/>
      </w:pPr>
      <w:r>
        <w:rPr>
          <w:b/>
          <w:bCs/>
          <w:color w:val="1F5C4B"/>
        </w:rPr>
        <w:t xml:space="preserve">STEP 3.1  Install the Supabase Power</w:t>
      </w:r>
    </w:p>
    <w:p>
      <w:pPr>
        <w:pStyle w:val="ListParagraph"/>
        <w:numPr>
          <w:ilvl w:val="0"/>
          <w:numId w:val="2"/>
        </w:numPr>
        <w:spacing w:after="80"/>
      </w:pPr>
      <w:r>
        <w:t xml:space="preserve">Open the Powers panel in Kiro's sidebar and install the "Supabase (hosted)" power — this bundles the Supabase MCP server with steering files that teach Kiro your schema, RLS conventions, and edge-function runtime in one click.</w:t>
      </w:r>
    </w:p>
    <w:p>
      <w:pPr>
        <w:pStyle w:val="ListParagraph"/>
        <w:numPr>
          <w:ilvl w:val="0"/>
          <w:numId w:val="2"/>
        </w:numPr>
        <w:spacing w:after="80"/>
      </w:pPr>
      <w:r>
        <w:t xml:space="preserve">When prompted, provide your Supabase project URL and anon/service key — these are stored as environment variables in mcp.json, never hardcoded into a prompt.</w:t>
      </w:r>
    </w:p>
    <w:p>
      <w:pPr>
        <w:pStyle w:val="ListParagraph"/>
        <w:numPr>
          <w:ilvl w:val="0"/>
          <w:numId w:val="2"/>
        </w:numPr>
        <w:spacing w:after="80"/>
      </w:pPr>
      <w:r>
        <w:t xml:space="preserve">Confirm the power shows as connected (Kiro can list your existing tables) before prompting any database changes.</w:t>
      </w:r>
    </w:p>
    <w:p>
      <w:pPr>
        <w:spacing w:after="160" w:before="40"/>
      </w:pPr>
      <w:r>
        <w:rPr>
          <w:b/>
          <w:bCs/>
          <w:color w:val="1F5C4B"/>
          <w:sz w:val="20"/>
          <w:szCs w:val="20"/>
        </w:rPr>
        <w:t xml:space="preserve">Model &amp; Mode  </w:t>
      </w:r>
      <w:r>
        <w:rPr>
          <w:b/>
          <w:bCs/>
          <w:sz w:val="20"/>
          <w:szCs w:val="20"/>
        </w:rPr>
        <w:t xml:space="preserve">— · no prompt needed</w:t>
      </w:r>
      <w:r>
        <w:rPr>
          <w:i/>
          <w:iCs/>
          <w:color w:val="6B6B6B"/>
          <w:sz w:val="20"/>
          <w:szCs w:val="20"/>
        </w:rPr>
        <w:t xml:space="preserve">  — this step is a one-click install, not a generation task.</w:t>
      </w:r>
    </w:p>
    <w:p>
      <w:pPr>
        <w:pStyle w:val="Heading2"/>
        <w:spacing w:after="100" w:before="260"/>
      </w:pPr>
      <w:r>
        <w:rPr>
          <w:b/>
          <w:bCs/>
          <w:color w:val="1F5C4B"/>
        </w:rPr>
        <w:t xml:space="preserve">STEP 3.2  Set up real authentication</w:t>
      </w:r>
    </w:p>
    <w:p>
      <w:pPr>
        <w:pBdr>
          <w:top w:val="single" w:color="CFCBBE" w:sz="4"/>
          <w:bottom w:val="single" w:color="CFCBBE" w:sz="4"/>
          <w:left w:val="single" w:color="CFCBBE" w:sz="4"/>
          <w:right w:val="single" w:color="CFCBBE" w:sz="4"/>
        </w:pBdr>
        <w:shd w:fill="F2F1EC" w:color="auto" w:val="clear"/>
        <w:spacing w:after="160" w:before="100"/>
        <w:ind w:left="215" w:right="215"/>
      </w:pPr>
      <w:r>
        <w:rPr>
          <w:rFonts w:ascii="IBM Plex Mono" w:cs="IBM Plex Mono" w:eastAsia="IBM Plex Mono" w:hAnsi="IBM Plex Mono"/>
          <w:color w:val="222222"/>
          <w:sz w:val="19"/>
          <w:szCs w:val="19"/>
        </w:rPr>
        <w:t xml:space="preserve">Replace the current fake sign-in flow (AdminLoginScreen's</w:t>
      </w:r>
      <w:r>
        <w:br/>
        <w:t xml:space="preserve"/>
      </w:r>
      <w:r>
        <w:rPr>
          <w:rFonts w:ascii="IBM Plex Mono" w:cs="IBM Plex Mono" w:eastAsia="IBM Plex Mono" w:hAnsi="IBM Plex Mono"/>
          <w:color w:val="222222"/>
          <w:sz w:val="19"/>
          <w:szCs w:val="19"/>
        </w:rPr>
        <w:t xml:space="preserve">setTimeout-based success state) with real Supabase email/password</w:t>
      </w:r>
      <w:r>
        <w:br/>
        <w:t xml:space="preserve"/>
      </w:r>
      <w:r>
        <w:rPr>
          <w:rFonts w:ascii="IBM Plex Mono" w:cs="IBM Plex Mono" w:eastAsia="IBM Plex Mono" w:hAnsi="IBM Plex Mono"/>
          <w:color w:val="222222"/>
          <w:sz w:val="19"/>
          <w:szCs w:val="19"/>
        </w:rPr>
        <w:t xml:space="preserve">authentication. On successful sign-up, create a corresponding row</w:t>
      </w:r>
      <w:r>
        <w:br/>
        <w:t xml:space="preserve"/>
      </w:r>
      <w:r>
        <w:rPr>
          <w:rFonts w:ascii="IBM Plex Mono" w:cs="IBM Plex Mono" w:eastAsia="IBM Plex Mono" w:hAnsi="IBM Plex Mono"/>
          <w:color w:val="222222"/>
          <w:sz w:val="19"/>
          <w:szCs w:val="19"/>
        </w:rPr>
        <w:t xml:space="preserve">in a new "profiles" table storing: user id, full name, role</w:t>
      </w:r>
      <w:r>
        <w:br/>
        <w:t xml:space="preserve"/>
      </w:r>
      <w:r>
        <w:rPr>
          <w:rFonts w:ascii="IBM Plex Mono" w:cs="IBM Plex Mono" w:eastAsia="IBM Plex Mono" w:hAnsi="IBM Plex Mono"/>
          <w:color w:val="222222"/>
          <w:sz w:val="19"/>
          <w:szCs w:val="19"/>
        </w:rPr>
        <w:t xml:space="preserve">(admin / organizer / student), and created_at. On sign-in, fetch</w:t>
      </w:r>
      <w:r>
        <w:br/>
        <w:t xml:space="preserve"/>
      </w:r>
      <w:r>
        <w:rPr>
          <w:rFonts w:ascii="IBM Plex Mono" w:cs="IBM Plex Mono" w:eastAsia="IBM Plex Mono" w:hAnsi="IBM Plex Mono"/>
          <w:color w:val="222222"/>
          <w:sz w:val="19"/>
          <w:szCs w:val="19"/>
        </w:rPr>
        <w:t xml:space="preserve">the user's role from "profiles" and route them to the correct</w:t>
      </w:r>
      <w:r>
        <w:br/>
        <w:t xml:space="preserve"/>
      </w:r>
      <w:r>
        <w:rPr>
          <w:rFonts w:ascii="IBM Plex Mono" w:cs="IBM Plex Mono" w:eastAsia="IBM Plex Mono" w:hAnsi="IBM Plex Mono"/>
          <w:color w:val="222222"/>
          <w:sz w:val="19"/>
          <w:szCs w:val="19"/>
        </w:rPr>
        <w:t xml:space="preserve">dashboard automatically — do not show the manual role-selection</w:t>
      </w:r>
      <w:r>
        <w:br/>
        <w:t xml:space="preserve"/>
      </w:r>
      <w:r>
        <w:rPr>
          <w:rFonts w:ascii="IBM Plex Mono" w:cs="IBM Plex Mono" w:eastAsia="IBM Plex Mono" w:hAnsi="IBM Plex Mono"/>
          <w:color w:val="222222"/>
          <w:sz w:val="19"/>
          <w:szCs w:val="19"/>
        </w:rPr>
        <w:t xml:space="preserve">screen for returning users, only for first-time sign-up.</w:t>
      </w:r>
      <w:r>
        <w:br/>
        <w:t xml:space="preserve"/>
      </w:r>
      <w:r>
        <w:rPr>
          <w:rFonts w:ascii="IBM Plex Mono" w:cs="IBM Plex Mono" w:eastAsia="IBM Plex Mono" w:hAnsi="IBM Plex Mono"/>
          <w:color w:val="222222"/>
          <w:sz w:val="19"/>
          <w:szCs w:val="19"/>
        </w:rPr>
        <w:t xml:space="preserve"/>
      </w:r>
      <w:r>
        <w:br/>
        <w:t xml:space="preserve"/>
      </w:r>
      <w:r>
        <w:rPr>
          <w:rFonts w:ascii="IBM Plex Mono" w:cs="IBM Plex Mono" w:eastAsia="IBM Plex Mono" w:hAnsi="IBM Plex Mono"/>
          <w:color w:val="222222"/>
          <w:sz w:val="19"/>
          <w:szCs w:val="19"/>
        </w:rPr>
        <w:t xml:space="preserve">Keep the existing visual design (mascots, form layout, validation</w:t>
      </w:r>
      <w:r>
        <w:br/>
        <w:t xml:space="preserve"/>
      </w:r>
      <w:r>
        <w:rPr>
          <w:rFonts w:ascii="IBM Plex Mono" w:cs="IBM Plex Mono" w:eastAsia="IBM Plex Mono" w:hAnsi="IBM Plex Mono"/>
          <w:color w:val="222222"/>
          <w:sz w:val="19"/>
          <w:szCs w:val="19"/>
        </w:rPr>
        <w:t xml:space="preserve">styling) exactly as it is — only the underlying logic changes.</w:t>
      </w:r>
    </w:p>
    <w:p>
      <w:pPr>
        <w:spacing w:after="160"/>
      </w:pPr>
      <w:r>
        <w:rPr>
          <w:i/>
          <w:iCs/>
          <w:color w:val="6B6B6B"/>
          <w:sz w:val="20"/>
          <w:szCs w:val="20"/>
        </w:rPr>
        <w:t xml:space="preserve">Note: This changes the role-selection screen's purpose: it becomes a one-time choice made at sign-up, not something picked every time someone logs in. That matches how real apps work — decide this is what you want before running the prompt above.</w:t>
      </w:r>
    </w:p>
    <w:p>
      <w:pPr>
        <w:spacing w:after="160" w:before="40"/>
      </w:pPr>
      <w:r>
        <w:rPr>
          <w:b/>
          <w:bCs/>
          <w:color w:val="1F5C4B"/>
          <w:sz w:val="20"/>
          <w:szCs w:val="20"/>
        </w:rPr>
        <w:t xml:space="preserve">Model &amp; Mode  </w:t>
      </w:r>
      <w:r>
        <w:rPr>
          <w:b/>
          <w:bCs/>
          <w:sz w:val="20"/>
          <w:szCs w:val="20"/>
        </w:rPr>
        <w:t xml:space="preserve">Spec Mode · Claude Opus 4.7</w:t>
      </w:r>
      <w:r>
        <w:rPr>
          <w:i/>
          <w:iCs/>
          <w:color w:val="6B6B6B"/>
          <w:sz w:val="20"/>
          <w:szCs w:val="20"/>
        </w:rPr>
        <w:t xml:space="preserve">  — auth + conditional routing is exactly the kind of branching logic worth reviewing as a design doc before Kiro touches code.</w:t>
      </w:r>
    </w:p>
    <w:p>
      <w:pPr>
        <w:pStyle w:val="Heading1"/>
        <w:pBdr>
          <w:bottom w:val="single" w:color="1F5C4B" w:sz="6" w:space="4"/>
        </w:pBdr>
        <w:spacing w:after="160" w:before="400"/>
      </w:pPr>
      <w:r>
        <w:rPr>
          <w:b/>
          <w:bCs/>
          <w:color w:val="111111"/>
        </w:rPr>
        <w:t xml:space="preserve">Step 4 — Build the Database Schema</w:t>
      </w:r>
    </w:p>
    <w:p>
      <w:pPr>
        <w:spacing w:after="140"/>
      </w:pPr>
      <w:r>
        <w:t xml:space="preserve">Everything currently living in hardcoded arrays needs a real table. Run this as one Spec Mode prompt so Kiro designs the schema consistently in one pass, with proper foreign keys between tables — and so you get a design.md to review before anything is created.</w:t>
      </w:r>
    </w:p>
    <w:p>
      <w:pPr>
        <w:pBdr>
          <w:top w:val="single" w:color="CFCBBE" w:sz="4"/>
          <w:bottom w:val="single" w:color="CFCBBE" w:sz="4"/>
          <w:left w:val="single" w:color="CFCBBE" w:sz="4"/>
          <w:right w:val="single" w:color="CFCBBE" w:sz="4"/>
        </w:pBdr>
        <w:shd w:fill="F2F1EC" w:color="auto" w:val="clear"/>
        <w:spacing w:after="160" w:before="100"/>
        <w:ind w:left="215" w:right="215"/>
      </w:pPr>
      <w:r>
        <w:rPr>
          <w:rFonts w:ascii="IBM Plex Mono" w:cs="IBM Plex Mono" w:eastAsia="IBM Plex Mono" w:hAnsi="IBM Plex Mono"/>
          <w:color w:val="222222"/>
          <w:sz w:val="19"/>
          <w:szCs w:val="19"/>
        </w:rPr>
        <w:t xml:space="preserve">Using Supabase, create tables for the following, replacing the</w:t>
      </w:r>
      <w:r>
        <w:br/>
        <w:t xml:space="preserve"/>
      </w:r>
      <w:r>
        <w:rPr>
          <w:rFonts w:ascii="IBM Plex Mono" w:cs="IBM Plex Mono" w:eastAsia="IBM Plex Mono" w:hAnsi="IBM Plex Mono"/>
          <w:color w:val="222222"/>
          <w:sz w:val="19"/>
          <w:szCs w:val="19"/>
        </w:rPr>
        <w:t xml:space="preserve">mock data currently hardcoded in the React app:</w:t>
      </w:r>
      <w:r>
        <w:br/>
        <w:t xml:space="preserve"/>
      </w:r>
      <w:r>
        <w:rPr>
          <w:rFonts w:ascii="IBM Plex Mono" w:cs="IBM Plex Mono" w:eastAsia="IBM Plex Mono" w:hAnsi="IBM Plex Mono"/>
          <w:color w:val="222222"/>
          <w:sz w:val="19"/>
          <w:szCs w:val="19"/>
        </w:rPr>
        <w:t xml:space="preserve"/>
      </w:r>
      <w:r>
        <w:br/>
        <w:t xml:space="preserve"/>
      </w:r>
      <w:r>
        <w:rPr>
          <w:rFonts w:ascii="IBM Plex Mono" w:cs="IBM Plex Mono" w:eastAsia="IBM Plex Mono" w:hAnsi="IBM Plex Mono"/>
          <w:color w:val="222222"/>
          <w:sz w:val="19"/>
          <w:szCs w:val="19"/>
        </w:rPr>
        <w:t xml:space="preserve">- profiles (id, full_name, email, phone, bio, avatar_url, role,</w:t>
      </w:r>
      <w:r>
        <w:br/>
        <w:t xml:space="preserve"/>
      </w:r>
      <w:r>
        <w:rPr>
          <w:rFonts w:ascii="IBM Plex Mono" w:cs="IBM Plex Mono" w:eastAsia="IBM Plex Mono" w:hAnsi="IBM Plex Mono"/>
          <w:color w:val="222222"/>
          <w:sz w:val="19"/>
          <w:szCs w:val="19"/>
        </w:rPr>
        <w:t xml:space="preserve">  member_since)</w:t>
      </w:r>
      <w:r>
        <w:br/>
        <w:t xml:space="preserve"/>
      </w:r>
      <w:r>
        <w:rPr>
          <w:rFonts w:ascii="IBM Plex Mono" w:cs="IBM Plex Mono" w:eastAsia="IBM Plex Mono" w:hAnsi="IBM Plex Mono"/>
          <w:color w:val="222222"/>
          <w:sz w:val="19"/>
          <w:szCs w:val="19"/>
        </w:rPr>
        <w:t xml:space="preserve">- events (id, title, organizer_id, department, date, location,</w:t>
      </w:r>
      <w:r>
        <w:br/>
        <w:t xml:space="preserve"/>
      </w:r>
      <w:r>
        <w:rPr>
          <w:rFonts w:ascii="IBM Plex Mono" w:cs="IBM Plex Mono" w:eastAsia="IBM Plex Mono" w:hAnsi="IBM Plex Mono"/>
          <w:color w:val="222222"/>
          <w:sz w:val="19"/>
          <w:szCs w:val="19"/>
        </w:rPr>
        <w:t xml:space="preserve">  capacity, status, created_at)</w:t>
      </w:r>
      <w:r>
        <w:br/>
        <w:t xml:space="preserve"/>
      </w:r>
      <w:r>
        <w:rPr>
          <w:rFonts w:ascii="IBM Plex Mono" w:cs="IBM Plex Mono" w:eastAsia="IBM Plex Mono" w:hAnsi="IBM Plex Mono"/>
          <w:color w:val="222222"/>
          <w:sz w:val="19"/>
          <w:szCs w:val="19"/>
        </w:rPr>
        <w:t xml:space="preserve">- approvals (id, event_id, status, submitted_at, reviewed_by,</w:t>
      </w:r>
      <w:r>
        <w:br/>
        <w:t xml:space="preserve"/>
      </w:r>
      <w:r>
        <w:rPr>
          <w:rFonts w:ascii="IBM Plex Mono" w:cs="IBM Plex Mono" w:eastAsia="IBM Plex Mono" w:hAnsi="IBM Plex Mono"/>
          <w:color w:val="222222"/>
          <w:sz w:val="19"/>
          <w:szCs w:val="19"/>
        </w:rPr>
        <w:t xml:space="preserve">  rejection_reason)</w:t>
      </w:r>
      <w:r>
        <w:br/>
        <w:t xml:space="preserve"/>
      </w:r>
      <w:r>
        <w:rPr>
          <w:rFonts w:ascii="IBM Plex Mono" w:cs="IBM Plex Mono" w:eastAsia="IBM Plex Mono" w:hAnsi="IBM Plex Mono"/>
          <w:color w:val="222222"/>
          <w:sz w:val="19"/>
          <w:szCs w:val="19"/>
        </w:rPr>
        <w:t xml:space="preserve">- certificates (id, event_id, student_id, template_id, issued_at,</w:t>
      </w:r>
      <w:r>
        <w:br/>
        <w:t xml:space="preserve"/>
      </w:r>
      <w:r>
        <w:rPr>
          <w:rFonts w:ascii="IBM Plex Mono" w:cs="IBM Plex Mono" w:eastAsia="IBM Plex Mono" w:hAnsi="IBM Plex Mono"/>
          <w:color w:val="222222"/>
          <w:sz w:val="19"/>
          <w:szCs w:val="19"/>
        </w:rPr>
        <w:t xml:space="preserve">  certificate_code)</w:t>
      </w:r>
      <w:r>
        <w:br/>
        <w:t xml:space="preserve"/>
      </w:r>
      <w:r>
        <w:rPr>
          <w:rFonts w:ascii="IBM Plex Mono" w:cs="IBM Plex Mono" w:eastAsia="IBM Plex Mono" w:hAnsi="IBM Plex Mono"/>
          <w:color w:val="222222"/>
          <w:sz w:val="19"/>
          <w:szCs w:val="19"/>
        </w:rPr>
        <w:t xml:space="preserve">- certificate_templates (id, name, background_image_url,</w:t>
      </w:r>
      <w:r>
        <w:br/>
        <w:t xml:space="preserve"/>
      </w:r>
      <w:r>
        <w:rPr>
          <w:rFonts w:ascii="IBM Plex Mono" w:cs="IBM Plex Mono" w:eastAsia="IBM Plex Mono" w:hAnsi="IBM Plex Mono"/>
          <w:color w:val="222222"/>
          <w:sz w:val="19"/>
          <w:szCs w:val="19"/>
        </w:rPr>
        <w:t xml:space="preserve">  aspect_ratio, fields JSON, created_by)</w:t>
      </w:r>
      <w:r>
        <w:br/>
        <w:t xml:space="preserve"/>
      </w:r>
      <w:r>
        <w:rPr>
          <w:rFonts w:ascii="IBM Plex Mono" w:cs="IBM Plex Mono" w:eastAsia="IBM Plex Mono" w:hAnsi="IBM Plex Mono"/>
          <w:color w:val="222222"/>
          <w:sz w:val="19"/>
          <w:szCs w:val="19"/>
        </w:rPr>
        <w:t xml:space="preserve">- notifications (id, user_id, message, read, created_at)</w:t>
      </w:r>
      <w:r>
        <w:br/>
        <w:t xml:space="preserve"/>
      </w:r>
      <w:r>
        <w:rPr>
          <w:rFonts w:ascii="IBM Plex Mono" w:cs="IBM Plex Mono" w:eastAsia="IBM Plex Mono" w:hAnsi="IBM Plex Mono"/>
          <w:color w:val="222222"/>
          <w:sz w:val="19"/>
          <w:szCs w:val="19"/>
        </w:rPr>
        <w:t xml:space="preserve"/>
      </w:r>
      <w:r>
        <w:br/>
        <w:t xml:space="preserve"/>
      </w:r>
      <w:r>
        <w:rPr>
          <w:rFonts w:ascii="IBM Plex Mono" w:cs="IBM Plex Mono" w:eastAsia="IBM Plex Mono" w:hAnsi="IBM Plex Mono"/>
          <w:color w:val="222222"/>
          <w:sz w:val="19"/>
          <w:szCs w:val="19"/>
        </w:rPr>
        <w:t xml:space="preserve">Add appropriate foreign keys between them (events.organizer_id -&gt;</w:t>
      </w:r>
      <w:r>
        <w:br/>
        <w:t xml:space="preserve"/>
      </w:r>
      <w:r>
        <w:rPr>
          <w:rFonts w:ascii="IBM Plex Mono" w:cs="IBM Plex Mono" w:eastAsia="IBM Plex Mono" w:hAnsi="IBM Plex Mono"/>
          <w:color w:val="222222"/>
          <w:sz w:val="19"/>
          <w:szCs w:val="19"/>
        </w:rPr>
        <w:t xml:space="preserve">profiles.id, approvals.event_id -&gt; events.id, etc). Do not wire</w:t>
      </w:r>
      <w:r>
        <w:br/>
        <w:t xml:space="preserve"/>
      </w:r>
      <w:r>
        <w:rPr>
          <w:rFonts w:ascii="IBM Plex Mono" w:cs="IBM Plex Mono" w:eastAsia="IBM Plex Mono" w:hAnsi="IBM Plex Mono"/>
          <w:color w:val="222222"/>
          <w:sz w:val="19"/>
          <w:szCs w:val="19"/>
        </w:rPr>
        <w:t xml:space="preserve">the frontend to these tables yet — this step is schema only.</w:t>
      </w:r>
    </w:p>
    <w:p>
      <w:pPr>
        <w:spacing w:after="160" w:before="40"/>
      </w:pPr>
      <w:r>
        <w:rPr>
          <w:b/>
          <w:bCs/>
          <w:color w:val="1F5C4B"/>
          <w:sz w:val="20"/>
          <w:szCs w:val="20"/>
        </w:rPr>
        <w:t xml:space="preserve">Model &amp; Mode  </w:t>
      </w:r>
      <w:r>
        <w:rPr>
          <w:b/>
          <w:bCs/>
          <w:sz w:val="20"/>
          <w:szCs w:val="20"/>
        </w:rPr>
        <w:t xml:space="preserve">Spec Mode · Claude Opus 4.8</w:t>
      </w:r>
      <w:r>
        <w:rPr>
          <w:i/>
          <w:iCs/>
          <w:color w:val="6B6B6B"/>
          <w:sz w:val="20"/>
          <w:szCs w:val="20"/>
        </w:rPr>
        <w:t xml:space="preserve">  — six tables with cross-references is a multi-file consistency problem — let the design doc catch a wrong foreign key before it's live.</w:t>
      </w:r>
    </w:p>
    <w:p>
      <w:pPr>
        <w:spacing w:after="160"/>
      </w:pPr>
      <w:r>
        <w:rPr>
          <w:i/>
          <w:iCs/>
          <w:color w:val="6B6B6B"/>
          <w:sz w:val="20"/>
          <w:szCs w:val="20"/>
        </w:rPr>
        <w:t xml:space="preserve">With the Supabase power installed, Kiro can read the live schema over MCP as it plans, so the design doc is checked against your actual project, not a guess.</w:t>
      </w:r>
    </w:p>
    <w:p>
      <w:pPr>
        <w:pStyle w:val="Heading1"/>
        <w:pBdr>
          <w:bottom w:val="single" w:color="1F5C4B" w:sz="6" w:space="4"/>
        </w:pBdr>
        <w:spacing w:after="160" w:before="400"/>
      </w:pPr>
      <w:r>
        <w:rPr>
          <w:b/>
          <w:bCs/>
          <w:color w:val="111111"/>
        </w:rPr>
        <w:t xml:space="preserve">Step 5 — Row-Level Security (Real Permissions)</w:t>
      </w:r>
    </w:p>
    <w:p>
      <w:pPr>
        <w:spacing w:after="140"/>
      </w:pPr>
      <w:r>
        <w:t xml:space="preserve">This is the step that turns "Guest mode disables a button" into an actual, enforced permission. Right now, locking is cosmetic — a determined user could still call the underlying function. RLS policies enforce it at the database level, where it can't be bypassed from the browser.</w:t>
      </w:r>
    </w:p>
    <w:p>
      <w:pPr>
        <w:pBdr>
          <w:top w:val="single" w:color="CFCBBE" w:sz="4"/>
          <w:bottom w:val="single" w:color="CFCBBE" w:sz="4"/>
          <w:left w:val="single" w:color="CFCBBE" w:sz="4"/>
          <w:right w:val="single" w:color="CFCBBE" w:sz="4"/>
        </w:pBdr>
        <w:shd w:fill="F2F1EC" w:color="auto" w:val="clear"/>
        <w:spacing w:after="160" w:before="100"/>
        <w:ind w:left="215" w:right="215"/>
      </w:pPr>
      <w:r>
        <w:rPr>
          <w:rFonts w:ascii="IBM Plex Mono" w:cs="IBM Plex Mono" w:eastAsia="IBM Plex Mono" w:hAnsi="IBM Plex Mono"/>
          <w:color w:val="222222"/>
          <w:sz w:val="19"/>
          <w:szCs w:val="19"/>
        </w:rPr>
        <w:t xml:space="preserve">Add Row-Level Security policies to every table created in the</w:t>
      </w:r>
      <w:r>
        <w:br/>
        <w:t xml:space="preserve"/>
      </w:r>
      <w:r>
        <w:rPr>
          <w:rFonts w:ascii="IBM Plex Mono" w:cs="IBM Plex Mono" w:eastAsia="IBM Plex Mono" w:hAnsi="IBM Plex Mono"/>
          <w:color w:val="222222"/>
          <w:sz w:val="19"/>
          <w:szCs w:val="19"/>
        </w:rPr>
        <w:t xml:space="preserve">previous step:</w:t>
      </w:r>
      <w:r>
        <w:br/>
        <w:t xml:space="preserve"/>
      </w:r>
      <w:r>
        <w:rPr>
          <w:rFonts w:ascii="IBM Plex Mono" w:cs="IBM Plex Mono" w:eastAsia="IBM Plex Mono" w:hAnsi="IBM Plex Mono"/>
          <w:color w:val="222222"/>
          <w:sz w:val="19"/>
          <w:szCs w:val="19"/>
        </w:rPr>
        <w:t xml:space="preserve"/>
      </w:r>
      <w:r>
        <w:br/>
        <w:t xml:space="preserve"/>
      </w:r>
      <w:r>
        <w:rPr>
          <w:rFonts w:ascii="IBM Plex Mono" w:cs="IBM Plex Mono" w:eastAsia="IBM Plex Mono" w:hAnsi="IBM Plex Mono"/>
          <w:color w:val="222222"/>
          <w:sz w:val="19"/>
          <w:szCs w:val="19"/>
        </w:rPr>
        <w:t xml:space="preserve">- Admins can read and write all rows in every table.</w:t>
      </w:r>
      <w:r>
        <w:br/>
        <w:t xml:space="preserve"/>
      </w:r>
      <w:r>
        <w:rPr>
          <w:rFonts w:ascii="IBM Plex Mono" w:cs="IBM Plex Mono" w:eastAsia="IBM Plex Mono" w:hAnsi="IBM Plex Mono"/>
          <w:color w:val="222222"/>
          <w:sz w:val="19"/>
          <w:szCs w:val="19"/>
        </w:rPr>
        <w:t xml:space="preserve">- Organizers can read and write only events, approvals, and</w:t>
      </w:r>
      <w:r>
        <w:br/>
        <w:t xml:space="preserve"/>
      </w:r>
      <w:r>
        <w:rPr>
          <w:rFonts w:ascii="IBM Plex Mono" w:cs="IBM Plex Mono" w:eastAsia="IBM Plex Mono" w:hAnsi="IBM Plex Mono"/>
          <w:color w:val="222222"/>
          <w:sz w:val="19"/>
          <w:szCs w:val="19"/>
        </w:rPr>
        <w:t xml:space="preserve">  certificates where organizer_id matches their own profile id.</w:t>
      </w:r>
      <w:r>
        <w:br/>
        <w:t xml:space="preserve"/>
      </w:r>
      <w:r>
        <w:rPr>
          <w:rFonts w:ascii="IBM Plex Mono" w:cs="IBM Plex Mono" w:eastAsia="IBM Plex Mono" w:hAnsi="IBM Plex Mono"/>
          <w:color w:val="222222"/>
          <w:sz w:val="19"/>
          <w:szCs w:val="19"/>
        </w:rPr>
        <w:t xml:space="preserve">  They can read (not write) their own profile only.</w:t>
      </w:r>
      <w:r>
        <w:br/>
        <w:t xml:space="preserve"/>
      </w:r>
      <w:r>
        <w:rPr>
          <w:rFonts w:ascii="IBM Plex Mono" w:cs="IBM Plex Mono" w:eastAsia="IBM Plex Mono" w:hAnsi="IBM Plex Mono"/>
          <w:color w:val="222222"/>
          <w:sz w:val="19"/>
          <w:szCs w:val="19"/>
        </w:rPr>
        <w:t xml:space="preserve">- Students can read events and their own certificates and</w:t>
      </w:r>
      <w:r>
        <w:br/>
        <w:t xml:space="preserve"/>
      </w:r>
      <w:r>
        <w:rPr>
          <w:rFonts w:ascii="IBM Plex Mono" w:cs="IBM Plex Mono" w:eastAsia="IBM Plex Mono" w:hAnsi="IBM Plex Mono"/>
          <w:color w:val="222222"/>
          <w:sz w:val="19"/>
          <w:szCs w:val="19"/>
        </w:rPr>
        <w:t xml:space="preserve">  notifications only. They cannot write to events, approvals, or</w:t>
      </w:r>
      <w:r>
        <w:br/>
        <w:t xml:space="preserve"/>
      </w:r>
      <w:r>
        <w:rPr>
          <w:rFonts w:ascii="IBM Plex Mono" w:cs="IBM Plex Mono" w:eastAsia="IBM Plex Mono" w:hAnsi="IBM Plex Mono"/>
          <w:color w:val="222222"/>
          <w:sz w:val="19"/>
          <w:szCs w:val="19"/>
        </w:rPr>
        <w:t xml:space="preserve">  certificate_templates at all.</w:t>
      </w:r>
      <w:r>
        <w:br/>
        <w:t xml:space="preserve"/>
      </w:r>
      <w:r>
        <w:rPr>
          <w:rFonts w:ascii="IBM Plex Mono" w:cs="IBM Plex Mono" w:eastAsia="IBM Plex Mono" w:hAnsi="IBM Plex Mono"/>
          <w:color w:val="222222"/>
          <w:sz w:val="19"/>
          <w:szCs w:val="19"/>
        </w:rPr>
        <w:t xml:space="preserve">- Guest sessions (unauthenticated or a guest flag on the session)</w:t>
      </w:r>
      <w:r>
        <w:br/>
        <w:t xml:space="preserve"/>
      </w:r>
      <w:r>
        <w:rPr>
          <w:rFonts w:ascii="IBM Plex Mono" w:cs="IBM Plex Mono" w:eastAsia="IBM Plex Mono" w:hAnsi="IBM Plex Mono"/>
          <w:color w:val="222222"/>
          <w:sz w:val="19"/>
          <w:szCs w:val="19"/>
        </w:rPr>
        <w:t xml:space="preserve">  get read-only access equivalent to whichever role they are</w:t>
      </w:r>
      <w:r>
        <w:br/>
        <w:t xml:space="preserve"/>
      </w:r>
      <w:r>
        <w:rPr>
          <w:rFonts w:ascii="IBM Plex Mono" w:cs="IBM Plex Mono" w:eastAsia="IBM Plex Mono" w:hAnsi="IBM Plex Mono"/>
          <w:color w:val="222222"/>
          <w:sz w:val="19"/>
          <w:szCs w:val="19"/>
        </w:rPr>
        <w:t xml:space="preserve">  previewing, with all write operations blocked at the policy</w:t>
      </w:r>
      <w:r>
        <w:br/>
        <w:t xml:space="preserve"/>
      </w:r>
      <w:r>
        <w:rPr>
          <w:rFonts w:ascii="IBM Plex Mono" w:cs="IBM Plex Mono" w:eastAsia="IBM Plex Mono" w:hAnsi="IBM Plex Mono"/>
          <w:color w:val="222222"/>
          <w:sz w:val="19"/>
          <w:szCs w:val="19"/>
        </w:rPr>
        <w:t xml:space="preserve">  level, not just hidden in the UI.</w:t>
      </w:r>
      <w:r>
        <w:br/>
        <w:t xml:space="preserve"/>
      </w:r>
      <w:r>
        <w:rPr>
          <w:rFonts w:ascii="IBM Plex Mono" w:cs="IBM Plex Mono" w:eastAsia="IBM Plex Mono" w:hAnsi="IBM Plex Mono"/>
          <w:color w:val="222222"/>
          <w:sz w:val="19"/>
          <w:szCs w:val="19"/>
        </w:rPr>
        <w:t xml:space="preserve"/>
      </w:r>
      <w:r>
        <w:br/>
        <w:t xml:space="preserve"/>
      </w:r>
      <w:r>
        <w:rPr>
          <w:rFonts w:ascii="IBM Plex Mono" w:cs="IBM Plex Mono" w:eastAsia="IBM Plex Mono" w:hAnsi="IBM Plex Mono"/>
          <w:color w:val="222222"/>
          <w:sz w:val="19"/>
          <w:szCs w:val="19"/>
        </w:rPr>
        <w:t xml:space="preserve">After adding these, test that an Organizer's Supabase client</w:t>
      </w:r>
      <w:r>
        <w:br/>
        <w:t xml:space="preserve"/>
      </w:r>
      <w:r>
        <w:rPr>
          <w:rFonts w:ascii="IBM Plex Mono" w:cs="IBM Plex Mono" w:eastAsia="IBM Plex Mono" w:hAnsi="IBM Plex Mono"/>
          <w:color w:val="222222"/>
          <w:sz w:val="19"/>
          <w:szCs w:val="19"/>
        </w:rPr>
        <w:t xml:space="preserve">genuinely cannot fetch another organizer's event data, even by</w:t>
      </w:r>
      <w:r>
        <w:br/>
        <w:t xml:space="preserve"/>
      </w:r>
      <w:r>
        <w:rPr>
          <w:rFonts w:ascii="IBM Plex Mono" w:cs="IBM Plex Mono" w:eastAsia="IBM Plex Mono" w:hAnsi="IBM Plex Mono"/>
          <w:color w:val="222222"/>
          <w:sz w:val="19"/>
          <w:szCs w:val="19"/>
        </w:rPr>
        <w:t xml:space="preserve">directly calling the query — not just that the button is hidden.</w:t>
      </w:r>
    </w:p>
    <w:p>
      <w:pPr>
        <w:spacing w:after="160" w:before="40"/>
      </w:pPr>
      <w:r>
        <w:rPr>
          <w:b/>
          <w:bCs/>
          <w:color w:val="1F5C4B"/>
          <w:sz w:val="20"/>
          <w:szCs w:val="20"/>
        </w:rPr>
        <w:t xml:space="preserve">Model &amp; Mode  </w:t>
      </w:r>
      <w:r>
        <w:rPr>
          <w:b/>
          <w:bCs/>
          <w:sz w:val="20"/>
          <w:szCs w:val="20"/>
        </w:rPr>
        <w:t xml:space="preserve">Spec Mode · Claude Opus 4.7 / 4.8</w:t>
      </w:r>
      <w:r>
        <w:rPr>
          <w:i/>
          <w:iCs/>
          <w:color w:val="6B6B6B"/>
          <w:sz w:val="20"/>
          <w:szCs w:val="20"/>
        </w:rPr>
        <w:t xml:space="preserve">  — per-role, per-table branching is the highest-stakes reasoning in this guide — adaptive thinking earns its keep here.</w:t>
      </w:r>
    </w:p>
    <w:p>
      <w:pPr>
        <w:spacing w:after="140"/>
      </w:pPr>
      <w:r>
        <w:t xml:space="preserve">Once this step is applied, run the Supabase power's built-in Advisor check (Powers panel → Supabase → "Review security") — it's a one-click scan for missing or overly-permissive RLS policies, and it's worth running before you move on.</w:t>
      </w:r>
    </w:p>
    <w:p>
      <w:pPr>
        <w:pStyle w:val="Heading1"/>
        <w:pBdr>
          <w:bottom w:val="single" w:color="1F5C4B" w:sz="6" w:space="4"/>
        </w:pBdr>
        <w:spacing w:after="160" w:before="400"/>
      </w:pPr>
      <w:r>
        <w:rPr>
          <w:b/>
          <w:bCs/>
          <w:color w:val="111111"/>
        </w:rPr>
        <w:t xml:space="preserve">Step 6 — Real File Storage</w:t>
      </w:r>
    </w:p>
    <w:p>
      <w:pPr>
        <w:spacing w:after="140"/>
      </w:pPr>
      <w:r>
        <w:t xml:space="preserve">Certificate template backgrounds, uploaded QR photos, and profile avatars currently live as base64 data inside React state and localStorage. This doesn't scale and will hit browser storage limits quickly with real image data.</w:t>
      </w:r>
    </w:p>
    <w:p>
      <w:pPr>
        <w:pBdr>
          <w:top w:val="single" w:color="CFCBBE" w:sz="4"/>
          <w:bottom w:val="single" w:color="CFCBBE" w:sz="4"/>
          <w:left w:val="single" w:color="CFCBBE" w:sz="4"/>
          <w:right w:val="single" w:color="CFCBBE" w:sz="4"/>
        </w:pBdr>
        <w:shd w:fill="F2F1EC" w:color="auto" w:val="clear"/>
        <w:spacing w:after="160" w:before="100"/>
        <w:ind w:left="215" w:right="215"/>
      </w:pPr>
      <w:r>
        <w:rPr>
          <w:rFonts w:ascii="IBM Plex Mono" w:cs="IBM Plex Mono" w:eastAsia="IBM Plex Mono" w:hAnsi="IBM Plex Mono"/>
          <w:color w:val="222222"/>
          <w:sz w:val="19"/>
          <w:szCs w:val="19"/>
        </w:rPr>
        <w:t xml:space="preserve">Create three Supabase Storage buckets: certificate-templates,</w:t>
      </w:r>
      <w:r>
        <w:br/>
        <w:t xml:space="preserve"/>
      </w:r>
      <w:r>
        <w:rPr>
          <w:rFonts w:ascii="IBM Plex Mono" w:cs="IBM Plex Mono" w:eastAsia="IBM Plex Mono" w:hAnsi="IBM Plex Mono"/>
          <w:color w:val="222222"/>
          <w:sz w:val="19"/>
          <w:szCs w:val="19"/>
        </w:rPr>
        <w:t xml:space="preserve">qr-photos, and avatars. Update the certificate template upload</w:t>
      </w:r>
      <w:r>
        <w:br/>
        <w:t xml:space="preserve"/>
      </w:r>
      <w:r>
        <w:rPr>
          <w:rFonts w:ascii="IBM Plex Mono" w:cs="IBM Plex Mono" w:eastAsia="IBM Plex Mono" w:hAnsi="IBM Plex Mono"/>
          <w:color w:val="222222"/>
          <w:sz w:val="19"/>
          <w:szCs w:val="19"/>
        </w:rPr>
        <w:t xml:space="preserve">flow, the QR photo upload flow, and the profile avatar upload flow</w:t>
      </w:r>
      <w:r>
        <w:br/>
        <w:t xml:space="preserve"/>
      </w:r>
      <w:r>
        <w:rPr>
          <w:rFonts w:ascii="IBM Plex Mono" w:cs="IBM Plex Mono" w:eastAsia="IBM Plex Mono" w:hAnsi="IBM Plex Mono"/>
          <w:color w:val="222222"/>
          <w:sz w:val="19"/>
          <w:szCs w:val="19"/>
        </w:rPr>
        <w:t xml:space="preserve">so each one uploads the file to its corresponding bucket and</w:t>
      </w:r>
      <w:r>
        <w:br/>
        <w:t xml:space="preserve"/>
      </w:r>
      <w:r>
        <w:rPr>
          <w:rFonts w:ascii="IBM Plex Mono" w:cs="IBM Plex Mono" w:eastAsia="IBM Plex Mono" w:hAnsi="IBM Plex Mono"/>
          <w:color w:val="222222"/>
          <w:sz w:val="19"/>
          <w:szCs w:val="19"/>
        </w:rPr>
        <w:t xml:space="preserve">stores only the resulting public URL in the database (in</w:t>
      </w:r>
      <w:r>
        <w:br/>
        <w:t xml:space="preserve"/>
      </w:r>
      <w:r>
        <w:rPr>
          <w:rFonts w:ascii="IBM Plex Mono" w:cs="IBM Plex Mono" w:eastAsia="IBM Plex Mono" w:hAnsi="IBM Plex Mono"/>
          <w:color w:val="222222"/>
          <w:sz w:val="19"/>
          <w:szCs w:val="19"/>
        </w:rPr>
        <w:t xml:space="preserve">certificate_templates.background_image_url, a new events.</w:t>
      </w:r>
      <w:r>
        <w:br/>
        <w:t xml:space="preserve"/>
      </w:r>
      <w:r>
        <w:rPr>
          <w:rFonts w:ascii="IBM Plex Mono" w:cs="IBM Plex Mono" w:eastAsia="IBM Plex Mono" w:hAnsi="IBM Plex Mono"/>
          <w:color w:val="222222"/>
          <w:sz w:val="19"/>
          <w:szCs w:val="19"/>
        </w:rPr>
        <w:t xml:space="preserve">qr_photo_url column, and profiles.avatar_url respectively) —</w:t>
      </w:r>
      <w:r>
        <w:br/>
        <w:t xml:space="preserve"/>
      </w:r>
      <w:r>
        <w:rPr>
          <w:rFonts w:ascii="IBM Plex Mono" w:cs="IBM Plex Mono" w:eastAsia="IBM Plex Mono" w:hAnsi="IBM Plex Mono"/>
          <w:color w:val="222222"/>
          <w:sz w:val="19"/>
          <w:szCs w:val="19"/>
        </w:rPr>
        <w:t xml:space="preserve">instead of storing the raw base64 data. Remove the base64</w:t>
      </w:r>
      <w:r>
        <w:br/>
        <w:t xml:space="preserve"/>
      </w:r>
      <w:r>
        <w:rPr>
          <w:rFonts w:ascii="IBM Plex Mono" w:cs="IBM Plex Mono" w:eastAsia="IBM Plex Mono" w:hAnsi="IBM Plex Mono"/>
          <w:color w:val="222222"/>
          <w:sz w:val="19"/>
          <w:szCs w:val="19"/>
        </w:rPr>
        <w:t xml:space="preserve">storage/localStorage logic these three flows were using before.</w:t>
      </w:r>
      <w:r>
        <w:br/>
        <w:t xml:space="preserve"/>
      </w:r>
      <w:r>
        <w:rPr>
          <w:rFonts w:ascii="IBM Plex Mono" w:cs="IBM Plex Mono" w:eastAsia="IBM Plex Mono" w:hAnsi="IBM Plex Mono"/>
          <w:color w:val="222222"/>
          <w:sz w:val="19"/>
          <w:szCs w:val="19"/>
        </w:rPr>
        <w:t xml:space="preserve"/>
      </w:r>
      <w:r>
        <w:br/>
        <w:t xml:space="preserve"/>
      </w:r>
      <w:r>
        <w:rPr>
          <w:rFonts w:ascii="IBM Plex Mono" w:cs="IBM Plex Mono" w:eastAsia="IBM Plex Mono" w:hAnsi="IBM Plex Mono"/>
          <w:color w:val="222222"/>
          <w:sz w:val="19"/>
          <w:szCs w:val="19"/>
        </w:rPr>
        <w:t xml:space="preserve">Keep the upload UI (drag-and-drop zone, preview, replace/remove</w:t>
      </w:r>
      <w:r>
        <w:br/>
        <w:t xml:space="preserve"/>
      </w:r>
      <w:r>
        <w:rPr>
          <w:rFonts w:ascii="IBM Plex Mono" w:cs="IBM Plex Mono" w:eastAsia="IBM Plex Mono" w:hAnsi="IBM Plex Mono"/>
          <w:color w:val="222222"/>
          <w:sz w:val="19"/>
          <w:szCs w:val="19"/>
        </w:rPr>
        <w:t xml:space="preserve">controls) exactly as it is — only the storage mechanism changes.</w:t>
      </w:r>
    </w:p>
    <w:p>
      <w:pPr>
        <w:spacing w:after="160" w:before="40"/>
      </w:pPr>
      <w:r>
        <w:rPr>
          <w:b/>
          <w:bCs/>
          <w:color w:val="1F5C4B"/>
          <w:sz w:val="20"/>
          <w:szCs w:val="20"/>
        </w:rPr>
        <w:t xml:space="preserve">Model &amp; Mode  </w:t>
      </w:r>
      <w:r>
        <w:rPr>
          <w:b/>
          <w:bCs/>
          <w:sz w:val="20"/>
          <w:szCs w:val="20"/>
        </w:rPr>
        <w:t xml:space="preserve">Spec Mode · Claude Sonnet 5</w:t>
      </w:r>
      <w:r>
        <w:rPr>
          <w:i/>
          <w:iCs/>
          <w:color w:val="6B6B6B"/>
          <w:sz w:val="20"/>
          <w:szCs w:val="20"/>
        </w:rPr>
        <w:t xml:space="preserve">  — mechanical plumbing across three flows — real but not deeply branching, so Sonnet 5 in Spec Mode is enough without paying for Opus.</w:t>
      </w:r>
    </w:p>
    <w:p>
      <w:pPr>
        <w:pStyle w:val="Heading1"/>
        <w:pBdr>
          <w:bottom w:val="single" w:color="1F5C4B" w:sz="6" w:space="4"/>
        </w:pBdr>
        <w:spacing w:after="160" w:before="400"/>
      </w:pPr>
      <w:r>
        <w:rPr>
          <w:b/>
          <w:bCs/>
          <w:color w:val="111111"/>
        </w:rPr>
        <w:t xml:space="preserve">Step 7 — Real Routing</w:t>
      </w:r>
    </w:p>
    <w:p>
      <w:pPr>
        <w:spacing w:after="140"/>
      </w:pPr>
      <w:r>
        <w:t xml:space="preserve">Right now the whole app navigates through one big useState&lt;Screen&gt; switch in App.tsx. That means refreshing loses your place, there's no shareable URL to a specific screen, and the browser back button doesn't behave as expected.</w:t>
      </w:r>
    </w:p>
    <w:p>
      <w:pPr>
        <w:pBdr>
          <w:top w:val="single" w:color="CFCBBE" w:sz="4"/>
          <w:bottom w:val="single" w:color="CFCBBE" w:sz="4"/>
          <w:left w:val="single" w:color="CFCBBE" w:sz="4"/>
          <w:right w:val="single" w:color="CFCBBE" w:sz="4"/>
        </w:pBdr>
        <w:shd w:fill="F2F1EC" w:color="auto" w:val="clear"/>
        <w:spacing w:after="160" w:before="100"/>
        <w:ind w:left="215" w:right="215"/>
      </w:pPr>
      <w:r>
        <w:rPr>
          <w:rFonts w:ascii="IBM Plex Mono" w:cs="IBM Plex Mono" w:eastAsia="IBM Plex Mono" w:hAnsi="IBM Plex Mono"/>
          <w:color w:val="222222"/>
          <w:sz w:val="19"/>
          <w:szCs w:val="19"/>
        </w:rPr>
        <w:t xml:space="preserve">Convert this app's screen navigation from the current</w:t>
      </w:r>
      <w:r>
        <w:br/>
        <w:t xml:space="preserve"/>
      </w:r>
      <w:r>
        <w:rPr>
          <w:rFonts w:ascii="IBM Plex Mono" w:cs="IBM Plex Mono" w:eastAsia="IBM Plex Mono" w:hAnsi="IBM Plex Mono"/>
          <w:color w:val="222222"/>
          <w:sz w:val="19"/>
          <w:szCs w:val="19"/>
        </w:rPr>
        <w:t xml:space="preserve">useState&lt;Screen&gt; pattern in App.tsx to real React Router routes.</w:t>
      </w:r>
      <w:r>
        <w:br/>
        <w:t xml:space="preserve"/>
      </w:r>
      <w:r>
        <w:rPr>
          <w:rFonts w:ascii="IBM Plex Mono" w:cs="IBM Plex Mono" w:eastAsia="IBM Plex Mono" w:hAnsi="IBM Plex Mono"/>
          <w:color w:val="222222"/>
          <w:sz w:val="19"/>
          <w:szCs w:val="19"/>
        </w:rPr>
        <w:t xml:space="preserve">Use a URL structure like:</w:t>
      </w:r>
      <w:r>
        <w:br/>
        <w:t xml:space="preserve"/>
      </w:r>
      <w:r>
        <w:rPr>
          <w:rFonts w:ascii="IBM Plex Mono" w:cs="IBM Plex Mono" w:eastAsia="IBM Plex Mono" w:hAnsi="IBM Plex Mono"/>
          <w:color w:val="222222"/>
          <w:sz w:val="19"/>
          <w:szCs w:val="19"/>
        </w:rPr>
        <w:t xml:space="preserve"/>
      </w:r>
      <w:r>
        <w:br/>
        <w:t xml:space="preserve"/>
      </w:r>
      <w:r>
        <w:rPr>
          <w:rFonts w:ascii="IBM Plex Mono" w:cs="IBM Plex Mono" w:eastAsia="IBM Plex Mono" w:hAnsi="IBM Plex Mono"/>
          <w:color w:val="222222"/>
          <w:sz w:val="19"/>
          <w:szCs w:val="19"/>
        </w:rPr>
        <w:t xml:space="preserve">  /                        -&gt; Landing Page</w:t>
      </w:r>
      <w:r>
        <w:br/>
        <w:t xml:space="preserve"/>
      </w:r>
      <w:r>
        <w:rPr>
          <w:rFonts w:ascii="IBM Plex Mono" w:cs="IBM Plex Mono" w:eastAsia="IBM Plex Mono" w:hAnsi="IBM Plex Mono"/>
          <w:color w:val="222222"/>
          <w:sz w:val="19"/>
          <w:szCs w:val="19"/>
        </w:rPr>
        <w:t xml:space="preserve">  /login                   -&gt; role selection + sign-in</w:t>
      </w:r>
      <w:r>
        <w:br/>
        <w:t xml:space="preserve"/>
      </w:r>
      <w:r>
        <w:rPr>
          <w:rFonts w:ascii="IBM Plex Mono" w:cs="IBM Plex Mono" w:eastAsia="IBM Plex Mono" w:hAnsi="IBM Plex Mono"/>
          <w:color w:val="222222"/>
          <w:sz w:val="19"/>
          <w:szCs w:val="19"/>
        </w:rPr>
        <w:t xml:space="preserve">  /admin/dashboard, /admin/approvals, /admin/users, etc.</w:t>
      </w:r>
      <w:r>
        <w:br/>
        <w:t xml:space="preserve"/>
      </w:r>
      <w:r>
        <w:rPr>
          <w:rFonts w:ascii="IBM Plex Mono" w:cs="IBM Plex Mono" w:eastAsia="IBM Plex Mono" w:hAnsi="IBM Plex Mono"/>
          <w:color w:val="222222"/>
          <w:sz w:val="19"/>
          <w:szCs w:val="19"/>
        </w:rPr>
        <w:t xml:space="preserve">  /organizer/dashboard, /organizer/events, /organizer/qr, etc.</w:t>
      </w:r>
      <w:r>
        <w:br/>
        <w:t xml:space="preserve"/>
      </w:r>
      <w:r>
        <w:rPr>
          <w:rFonts w:ascii="IBM Plex Mono" w:cs="IBM Plex Mono" w:eastAsia="IBM Plex Mono" w:hAnsi="IBM Plex Mono"/>
          <w:color w:val="222222"/>
          <w:sz w:val="19"/>
          <w:szCs w:val="19"/>
        </w:rPr>
        <w:t xml:space="preserve">  /student/dashboard, /student/explore, /student/certificates, etc.</w:t>
      </w:r>
      <w:r>
        <w:br/>
        <w:t xml:space="preserve"/>
      </w:r>
      <w:r>
        <w:rPr>
          <w:rFonts w:ascii="IBM Plex Mono" w:cs="IBM Plex Mono" w:eastAsia="IBM Plex Mono" w:hAnsi="IBM Plex Mono"/>
          <w:color w:val="222222"/>
          <w:sz w:val="19"/>
          <w:szCs w:val="19"/>
        </w:rPr>
        <w:t xml:space="preserve">  /profile</w:t>
      </w:r>
      <w:r>
        <w:br/>
        <w:t xml:space="preserve"/>
      </w:r>
      <w:r>
        <w:rPr>
          <w:rFonts w:ascii="IBM Plex Mono" w:cs="IBM Plex Mono" w:eastAsia="IBM Plex Mono" w:hAnsi="IBM Plex Mono"/>
          <w:color w:val="222222"/>
          <w:sz w:val="19"/>
          <w:szCs w:val="19"/>
        </w:rPr>
        <w:t xml:space="preserve"/>
      </w:r>
      <w:r>
        <w:br/>
        <w:t xml:space="preserve"/>
      </w:r>
      <w:r>
        <w:rPr>
          <w:rFonts w:ascii="IBM Plex Mono" w:cs="IBM Plex Mono" w:eastAsia="IBM Plex Mono" w:hAnsi="IBM Plex Mono"/>
          <w:color w:val="222222"/>
          <w:sz w:val="19"/>
          <w:szCs w:val="19"/>
        </w:rPr>
        <w:t xml:space="preserve">Add a route guard so admin/organizer/student routes redirect to</w:t>
      </w:r>
      <w:r>
        <w:br/>
        <w:t xml:space="preserve"/>
      </w:r>
      <w:r>
        <w:rPr>
          <w:rFonts w:ascii="IBM Plex Mono" w:cs="IBM Plex Mono" w:eastAsia="IBM Plex Mono" w:hAnsi="IBM Plex Mono"/>
          <w:color w:val="222222"/>
          <w:sz w:val="19"/>
          <w:szCs w:val="19"/>
        </w:rPr>
        <w:t xml:space="preserve">/login if there is no authenticated Supabase session, and redirect</w:t>
      </w:r>
      <w:r>
        <w:br/>
        <w:t xml:space="preserve"/>
      </w:r>
      <w:r>
        <w:rPr>
          <w:rFonts w:ascii="IBM Plex Mono" w:cs="IBM Plex Mono" w:eastAsia="IBM Plex Mono" w:hAnsi="IBM Plex Mono"/>
          <w:color w:val="222222"/>
          <w:sz w:val="19"/>
          <w:szCs w:val="19"/>
        </w:rPr>
        <w:t xml:space="preserve">a signed-in user away from their own role's routes if they try to</w:t>
      </w:r>
      <w:r>
        <w:br/>
        <w:t xml:space="preserve"/>
      </w:r>
      <w:r>
        <w:rPr>
          <w:rFonts w:ascii="IBM Plex Mono" w:cs="IBM Plex Mono" w:eastAsia="IBM Plex Mono" w:hAnsi="IBM Plex Mono"/>
          <w:color w:val="222222"/>
          <w:sz w:val="19"/>
          <w:szCs w:val="19"/>
        </w:rPr>
        <w:t xml:space="preserve">access a different role's URL directly. Keep all page components,</w:t>
      </w:r>
      <w:r>
        <w:br/>
        <w:t xml:space="preserve"/>
      </w:r>
      <w:r>
        <w:rPr>
          <w:rFonts w:ascii="IBM Plex Mono" w:cs="IBM Plex Mono" w:eastAsia="IBM Plex Mono" w:hAnsi="IBM Plex Mono"/>
          <w:color w:val="222222"/>
          <w:sz w:val="19"/>
          <w:szCs w:val="19"/>
        </w:rPr>
        <w:t xml:space="preserve">layouts, and visual behavior exactly as they are — this only</w:t>
      </w:r>
      <w:r>
        <w:br/>
        <w:t xml:space="preserve"/>
      </w:r>
      <w:r>
        <w:rPr>
          <w:rFonts w:ascii="IBM Plex Mono" w:cs="IBM Plex Mono" w:eastAsia="IBM Plex Mono" w:hAnsi="IBM Plex Mono"/>
          <w:color w:val="222222"/>
          <w:sz w:val="19"/>
          <w:szCs w:val="19"/>
        </w:rPr>
        <w:t xml:space="preserve">changes how navigation and URLs work.</w:t>
      </w:r>
    </w:p>
    <w:p>
      <w:pPr>
        <w:spacing w:after="160" w:before="40"/>
      </w:pPr>
      <w:r>
        <w:rPr>
          <w:b/>
          <w:bCs/>
          <w:color w:val="1F5C4B"/>
          <w:sz w:val="20"/>
          <w:szCs w:val="20"/>
        </w:rPr>
        <w:t xml:space="preserve">Model &amp; Mode  </w:t>
      </w:r>
      <w:r>
        <w:rPr>
          <w:b/>
          <w:bCs/>
          <w:sz w:val="20"/>
          <w:szCs w:val="20"/>
        </w:rPr>
        <w:t xml:space="preserve">Spec Mode · Claude Sonnet 5</w:t>
      </w:r>
      <w:r>
        <w:rPr>
          <w:i/>
          <w:iCs/>
          <w:color w:val="6B6B6B"/>
          <w:sz w:val="20"/>
          <w:szCs w:val="20"/>
        </w:rPr>
        <w:t xml:space="preserve">  — default here — but bump to Opus 4.7 if the route guard needs to reason closely about the session logic from Step 3.2.</w:t>
      </w:r>
    </w:p>
    <w:p>
      <w:pPr>
        <w:pStyle w:val="Heading1"/>
        <w:pBdr>
          <w:bottom w:val="single" w:color="1F5C4B" w:sz="6" w:space="4"/>
        </w:pBdr>
        <w:spacing w:after="160" w:before="400"/>
      </w:pPr>
      <w:r>
        <w:rPr>
          <w:b/>
          <w:bCs/>
          <w:color w:val="111111"/>
        </w:rPr>
        <w:t xml:space="preserve">Step 8 — Final Verification Checklist</w:t>
      </w:r>
    </w:p>
    <w:p>
      <w:pPr>
        <w:spacing w:after="140"/>
      </w:pPr>
      <w:r>
        <w:t xml:space="preserve">Once every step above is done, walk through this list end-to-end before treating the app as production-ready.</w:t>
      </w:r>
    </w:p>
    <w:p>
      <w:pPr>
        <w:pStyle w:val="ListParagraph"/>
        <w:numPr>
          <w:ilvl w:val="0"/>
          <w:numId w:val="2"/>
        </w:numPr>
        <w:spacing w:after="80"/>
      </w:pPr>
      <w:r>
        <w:t xml:space="preserve">Sign up as a new user, confirm a profiles row is created with the correct role.</w:t>
      </w:r>
    </w:p>
    <w:p>
      <w:pPr>
        <w:pStyle w:val="ListParagraph"/>
        <w:numPr>
          <w:ilvl w:val="0"/>
          <w:numId w:val="2"/>
        </w:numPr>
        <w:spacing w:after="80"/>
      </w:pPr>
      <w:r>
        <w:t xml:space="preserve">Sign in as Admin, Organizer, and Student separately — confirm each lands on the correct dashboard automatically.</w:t>
      </w:r>
    </w:p>
    <w:p>
      <w:pPr>
        <w:pStyle w:val="ListParagraph"/>
        <w:numPr>
          <w:ilvl w:val="0"/>
          <w:numId w:val="2"/>
        </w:numPr>
        <w:spacing w:after="80"/>
      </w:pPr>
      <w:r>
        <w:t xml:space="preserve">Refresh the page mid-session — confirm you stay logged in and on the same screen (not bounced back to Landing).</w:t>
      </w:r>
    </w:p>
    <w:p>
      <w:pPr>
        <w:pStyle w:val="ListParagraph"/>
        <w:numPr>
          <w:ilvl w:val="0"/>
          <w:numId w:val="2"/>
        </w:numPr>
        <w:spacing w:after="80"/>
      </w:pPr>
      <w:r>
        <w:t xml:space="preserve">As an Organizer, confirm you cannot see or edit another organizer's events, even by inspecting network requests.</w:t>
      </w:r>
    </w:p>
    <w:p>
      <w:pPr>
        <w:pStyle w:val="ListParagraph"/>
        <w:numPr>
          <w:ilvl w:val="0"/>
          <w:numId w:val="2"/>
        </w:numPr>
        <w:spacing w:after="80"/>
      </w:pPr>
      <w:r>
        <w:t xml:space="preserve">As a Student, confirm write actions (approvals, template editing) are unavailable, not just visually hidden.</w:t>
      </w:r>
    </w:p>
    <w:p>
      <w:pPr>
        <w:pStyle w:val="ListParagraph"/>
        <w:numPr>
          <w:ilvl w:val="0"/>
          <w:numId w:val="2"/>
        </w:numPr>
        <w:spacing w:after="80"/>
      </w:pPr>
      <w:r>
        <w:t xml:space="preserve">Upload a certificate template background and a QR photo — confirm both are stored in Supabase Storage, not as base64.</w:t>
      </w:r>
    </w:p>
    <w:p>
      <w:pPr>
        <w:pStyle w:val="ListParagraph"/>
        <w:numPr>
          <w:ilvl w:val="0"/>
          <w:numId w:val="2"/>
        </w:numPr>
        <w:spacing w:after="80"/>
      </w:pPr>
      <w:r>
        <w:t xml:space="preserve">Test Guest mode for all three roles — confirm every write action is actually blocked, not just disabled-looking.</w:t>
      </w:r>
    </w:p>
    <w:p>
      <w:pPr>
        <w:pStyle w:val="ListParagraph"/>
        <w:numPr>
          <w:ilvl w:val="0"/>
          <w:numId w:val="2"/>
        </w:numPr>
        <w:spacing w:after="80"/>
      </w:pPr>
      <w:r>
        <w:t xml:space="preserve">Test on an actual mobile phone, not just a resized browser window.</w:t>
      </w:r>
    </w:p>
    <w:p>
      <w:pPr>
        <w:spacing w:after="160" w:before="40"/>
      </w:pPr>
      <w:r>
        <w:rPr>
          <w:b/>
          <w:bCs/>
          <w:color w:val="1F5C4B"/>
          <w:sz w:val="20"/>
          <w:szCs w:val="20"/>
        </w:rPr>
        <w:t xml:space="preserve">Model &amp; Mode  </w:t>
      </w:r>
      <w:r>
        <w:rPr>
          <w:b/>
          <w:bCs/>
          <w:sz w:val="20"/>
          <w:szCs w:val="20"/>
        </w:rPr>
        <w:t xml:space="preserve">Vibe Mode · Claude Sonnet 5</w:t>
      </w:r>
      <w:r>
        <w:rPr>
          <w:i/>
          <w:iCs/>
          <w:color w:val="6B6B6B"/>
          <w:sz w:val="20"/>
          <w:szCs w:val="20"/>
        </w:rPr>
        <w:t xml:space="preserve">  — this is manual click-through verification — fast mode is fine, and you can fix anything it turns up with a follow-up Vibe prompt.</w:t>
      </w:r>
    </w:p>
    <w:p>
      <w:pPr>
        <w:spacing w:after="140"/>
      </w:pPr>
      <w:r>
        <w:t xml:space="preserve">Optional: turn the security and storage checks above into a Kiro Hook (Hooks panel → "New Hook" → trigger on push to main) so the Supabase Advisor scan and a build check run automatically on every push from here on, instead of relying on remembering to run this list by hand.</w:t>
      </w:r>
    </w:p>
    <w:p>
      <w:pPr>
        <w:spacing w:after="160"/>
      </w:pPr>
      <w:r>
        <w:rPr>
          <w:i/>
          <w:iCs/>
          <w:color w:val="6B6B6B"/>
          <w:sz w:val="20"/>
          <w:szCs w:val="20"/>
        </w:rPr>
        <w:t xml:space="preserve">Note: Once this checklist passes, the app has moved from "prototype that looks real" to "product that behaves like one." That's the actual finish line for this migration.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2026-08-15T15:06:42.269Z</dcterms:created>
  <dcterms:modified xsi:type="dcterms:W3CDTF">2026-08-15T15:06:42.269Z</dcterms:modified>
</cp:coreProperties>
</file>

<file path=docProps/custom.xml><?xml version="1.0" encoding="utf-8"?>
<Properties xmlns="http://schemas.openxmlformats.org/officeDocument/2006/custom-properties" xmlns:vt="http://schemas.openxmlformats.org/officeDocument/2006/docPropsVTypes"/>
</file>