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C74"/>
          <w:sz w:val="20"/>
          <w:szCs w:val="20"/>
        </w:rPr>
        <w:t xml:space="preserve">SIWES CYBERSECURITY ATTACHMENT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Week 2: Vulnerability Scan Report — Top 10 Findings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Target: 192.168.56.20 (Metasploitable2)   |   Scanner: Nessus Essentials — Basic Network Scan   |   Findings: 69 unique, 9 Critical / 6 High / 23 Medium / 9 Low / 134 Info</w:t>
      </w:r>
    </w:p>
    <w:p>
      <w:pPr>
        <w:spacing w:after="80"/>
      </w:pP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pct" w:w="16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pct" w:w="9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pct" w:w="7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pct" w:w="12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CVE</w:t>
            </w:r>
          </w:p>
        </w:tc>
        <w:tc>
          <w:tcPr>
            <w:tcW w:type="pct" w:w="25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25%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1</w:t>
            </w:r>
          </w:p>
        </w:tc>
        <w:tc>
          <w:tcPr>
            <w:tcW w:type="pct" w:w="1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VNC Server 'password' Password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Critical</w:t>
            </w:r>
          </w:p>
        </w:tc>
        <w:tc>
          <w:tcPr>
            <w:tcW w:type="pct" w:w="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10.0</w:t>
            </w:r>
          </w:p>
        </w:tc>
        <w:tc>
          <w:tcPr>
            <w:tcW w:type="pct" w:w="12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N/A — weak/default credential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Attacker can log into VNC with a guessed or default password and get full interactive control of the desktop.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Disable VNC if it isn't needed; otherwise enforce a strong unique password and restrict access to trusted IPs via firewall/VPN.</w:t>
            </w:r>
          </w:p>
        </w:tc>
      </w:tr>
      <w:tr>
        <w:tc>
          <w:tcPr>
            <w:tcW w:type="pct" w:w="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2</w:t>
            </w:r>
          </w:p>
        </w:tc>
        <w:tc>
          <w:tcPr>
            <w:tcW w:type="pct" w:w="1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Canonical Ubuntu Linux SEoL (8.04.x)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Critical</w:t>
            </w:r>
          </w:p>
        </w:tc>
        <w:tc>
          <w:tcPr>
            <w:tcW w:type="pct" w:w="7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10.0</w:t>
            </w:r>
          </w:p>
        </w:tc>
        <w:tc>
          <w:tcPr>
            <w:tcW w:type="pct" w:w="12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N/A — end-of-life OS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The underlying OS no longer receives security patches, so every other vulnerability on this host stays permanently unpatched.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Upgrade to a currently supported Ubuntu LTS release. (Expected in this lab — Metasploitable2 is deliberately EoL — but correct to document.)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3</w:t>
            </w:r>
          </w:p>
        </w:tc>
        <w:tc>
          <w:tcPr>
            <w:tcW w:type="pct" w:w="1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Apache Tomcat AJP Connector Request Injection (Ghostcat)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Critical</w:t>
            </w:r>
          </w:p>
        </w:tc>
        <w:tc>
          <w:tcPr>
            <w:tcW w:type="pct" w:w="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9.8</w:t>
            </w:r>
          </w:p>
        </w:tc>
        <w:tc>
          <w:tcPr>
            <w:tcW w:type="pct" w:w="12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CVE-2020-1938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Unauthenticated attacker can read arbitrary files from the web app, and — if file upload is possible — achieve remote code execution.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Upgrade Tomcat to 9.0.31 / 8.5.51 / 7.0.100 or later, or disable/restrict the AJP connector to localhost only.</w:t>
            </w:r>
          </w:p>
        </w:tc>
      </w:tr>
      <w:tr>
        <w:tc>
          <w:tcPr>
            <w:tcW w:type="pct" w:w="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4</w:t>
            </w:r>
          </w:p>
        </w:tc>
        <w:tc>
          <w:tcPr>
            <w:tcW w:type="pct" w:w="1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Bind Shell Backdoor Detection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Critical</w:t>
            </w:r>
          </w:p>
        </w:tc>
        <w:tc>
          <w:tcPr>
            <w:tcW w:type="pct" w:w="7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9.8</w:t>
            </w:r>
          </w:p>
        </w:tc>
        <w:tc>
          <w:tcPr>
            <w:tcW w:type="pct" w:w="12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N/A — planted backdoor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 open, unauthenticated command shell is reachable directly over the network — equivalent to instant full compromise with no exploit needed.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Identify and shut down the backdoor process; block the port at the firewall; audit how it was introduced.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5</w:t>
            </w:r>
          </w:p>
        </w:tc>
        <w:tc>
          <w:tcPr>
            <w:tcW w:type="pct" w:w="1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SSL Version 2 and 3 Protocol Detection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Critical</w:t>
            </w:r>
          </w:p>
        </w:tc>
        <w:tc>
          <w:tcPr>
            <w:tcW w:type="pct" w:w="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9.8</w:t>
            </w:r>
          </w:p>
        </w:tc>
        <w:tc>
          <w:tcPr>
            <w:tcW w:type="pct" w:w="12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CVE-2014-3566 (POODLE)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Obsolete SSLv2/SSLv3 support lets a network-positioned attacker downgrade and decrypt traffic meant to be secure.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Disable SSLv2 and SSLv3 entirely; enforce TLS 1.2 or higher only.</w:t>
            </w:r>
          </w:p>
        </w:tc>
      </w:tr>
      <w:tr>
        <w:tc>
          <w:tcPr>
            <w:tcW w:type="pct" w:w="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6</w:t>
            </w:r>
          </w:p>
        </w:tc>
        <w:tc>
          <w:tcPr>
            <w:tcW w:type="pct" w:w="1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Samba Badlock Vulnerability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High</w:t>
            </w:r>
          </w:p>
        </w:tc>
        <w:tc>
          <w:tcPr>
            <w:tcW w:type="pct" w:w="7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7.5</w:t>
            </w:r>
          </w:p>
        </w:tc>
        <w:tc>
          <w:tcPr>
            <w:tcW w:type="pct" w:w="12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CVE-2016-2118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 man-in-the-middle attacker can manipulate the SAMR/LSAD authentication channel, potentially escalating privileges.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Upgrade Samba to 4.2.11 / 4.3.8 / 4.4.2 or later (matches Nessus's own remediation recommendation).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7</w:t>
            </w:r>
          </w:p>
        </w:tc>
        <w:tc>
          <w:tcPr>
            <w:tcW w:type="pct" w:w="1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NFS Shares World Readable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High</w:t>
            </w:r>
          </w:p>
        </w:tc>
        <w:tc>
          <w:tcPr>
            <w:tcW w:type="pct" w:w="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7.5</w:t>
            </w:r>
          </w:p>
        </w:tc>
        <w:tc>
          <w:tcPr>
            <w:tcW w:type="pct" w:w="12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N/A — misconfiguration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Any device on the network can read the exported NFS share's contents without any authentication.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Restrict NFS exports to specific trusted hosts, tighten export permissions, and firewall port 2049 from untrusted networks.</w:t>
            </w:r>
          </w:p>
        </w:tc>
      </w:tr>
      <w:tr>
        <w:tc>
          <w:tcPr>
            <w:tcW w:type="pct" w:w="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8</w:t>
            </w:r>
          </w:p>
        </w:tc>
        <w:tc>
          <w:tcPr>
            <w:tcW w:type="pct" w:w="1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rlogin Service Detection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High</w:t>
            </w:r>
          </w:p>
        </w:tc>
        <w:tc>
          <w:tcPr>
            <w:tcW w:type="pct" w:w="7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7.5</w:t>
            </w:r>
          </w:p>
        </w:tc>
        <w:tc>
          <w:tcPr>
            <w:tcW w:type="pct" w:w="12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N/A — inherently insecure protocol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rlogin authenticates via trust files or plaintext credentials, making session hijacking or impersonation trivial.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Disable rlogin entirely; use SSH for all remote login instead.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9</w:t>
            </w:r>
          </w:p>
        </w:tc>
        <w:tc>
          <w:tcPr>
            <w:tcW w:type="pct" w:w="16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ISC BIND (Multiple Issues)</w:t>
            </w:r>
          </w:p>
        </w:tc>
        <w:tc>
          <w:tcPr>
            <w:tcW w:type="pct" w:w="9%"/>
            <w:shd w:fill="FBF1D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7"/>
                <w:szCs w:val="17"/>
              </w:rPr>
              <w:t xml:space="preserve">Mixed (Critical–High)</w:t>
            </w:r>
          </w:p>
        </w:tc>
        <w:tc>
          <w:tcPr>
            <w:tcW w:type="pct" w:w="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Multiple</w:t>
            </w:r>
          </w:p>
        </w:tc>
        <w:tc>
          <w:tcPr>
            <w:tcW w:type="pct" w:w="12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Several CVEs (bundled)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Depending on the specific flaw, ranges from denial-of-service to potential remote compromise of the DNS service.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Upgrade BIND to 9.11.22 / 9.16.6 / 9.17.4 or later — Nessus's own stated remediation for this finding.</w:t>
            </w:r>
          </w:p>
        </w:tc>
      </w:tr>
      <w:tr>
        <w:tc>
          <w:tcPr>
            <w:tcW w:type="pct" w:w="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10</w:t>
            </w:r>
          </w:p>
        </w:tc>
        <w:tc>
          <w:tcPr>
            <w:tcW w:type="pct" w:w="16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SSL (Multiple Issues)</w:t>
            </w:r>
          </w:p>
        </w:tc>
        <w:tc>
          <w:tcPr>
            <w:tcW w:type="pct" w:w="9%"/>
            <w:shd w:fill="FBEAE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Critical (bucketed)</w:t>
            </w:r>
          </w:p>
        </w:tc>
        <w:tc>
          <w:tcPr>
            <w:tcW w:type="pct" w:w="7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Multiple</w:t>
            </w:r>
          </w:p>
        </w:tc>
        <w:tc>
          <w:tcPr>
            <w:tcW w:type="pct" w:w="12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Several CVEs (bundled)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Several concurrent SSL/TLS weaknesses across services raise the odds of traffic interception somewhere on the host.</w:t>
            </w:r>
          </w:p>
        </w:tc>
        <w:tc>
          <w:tcPr>
            <w:tcW w:type="pct" w:w="25%"/>
            <w:shd w:fill="F2F3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Standardize every service on modern TLS (1.2/1.3 only, strong ciphers), reissue certificates, retire legacy protocol support host-wide.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color w:val="1B2A4A"/>
          <w:sz w:val="30"/>
          <w:szCs w:val="30"/>
        </w:rPr>
        <w:t xml:space="preserve">Notes on This Table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Rows marked “N/A” in the CVE column are not software bugs tied to a single published CVE — they're configuration or exposure issues (a weak password, an end-of-life OS, an intentionally planted backdoor). They're just as serious, but the fix is procedural rather than a patch.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Rows 9 and 10 are Nessus “bucket” findings: each groups several related CVEs affecting the same service (ISC BIND and SSL/TLS respectively) rather than one specific flaw. The recommendation given is Nessus's own consolidated remediation for that group.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Full findings (all 69, including Medium/Low/Info) remain available in the live Nessus scan report under Week 2 – Metasploitable2 for reference during remediation planning.</w:t>
      </w:r>
    </w:p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3"/>
        <w:sz w:val="16"/>
        <w:szCs w:val="16"/>
      </w:rPr>
      <w:t xml:space="preserve">Page </w:t>
    </w:r>
    <w:r>
      <w:rPr>
        <w:rFonts w:ascii="Calibri" w:cs="Calibri" w:eastAsia="Calibri" w:hAnsi="Calibri"/>
        <w:color w:val="5B64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3"/>
        <w:sz w:val="16"/>
        <w:szCs w:val="16"/>
      </w:rPr>
      <w:t xml:space="preserve"> of </w:t>
    </w:r>
    <w:r>
      <w:rPr>
        <w:rFonts w:ascii="Calibri" w:cs="Calibri" w:eastAsia="Calibri" w:hAnsi="Calibri"/>
        <w:color w:val="5B64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473"/>
        <w:sz w:val="16"/>
        <w:szCs w:val="16"/>
      </w:rPr>
      <w:t xml:space="preserve">SIWES — Week 2 Vulnerability Scan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2026-08-20T02:01:07.788Z</dcterms:created>
  <dcterms:modified xsi:type="dcterms:W3CDTF">2026-08-20T02:01:07.802Z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