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C83A6" w14:textId="77777777" w:rsidR="007D72C2" w:rsidRPr="00A537D1" w:rsidRDefault="00A537D1">
      <w:pPr>
        <w:pStyle w:val="Title"/>
        <w:jc w:val="center"/>
        <w:rPr>
          <w:rFonts w:ascii="Arial" w:hAnsi="Arial" w:cs="Arial"/>
          <w:color w:val="000000" w:themeColor="text1"/>
        </w:rPr>
      </w:pPr>
      <w:r w:rsidRPr="00A537D1">
        <w:rPr>
          <w:rFonts w:ascii="Arial" w:hAnsi="Arial" w:cs="Arial"/>
          <w:color w:val="000000" w:themeColor="text1"/>
        </w:rPr>
        <w:t>Business Summary Report: Predictive Insights for Collections Strategy</w:t>
      </w:r>
    </w:p>
    <w:p w14:paraId="2F4337BF" w14:textId="77777777" w:rsidR="007D72C2" w:rsidRPr="00A537D1" w:rsidRDefault="00A537D1">
      <w:pPr>
        <w:pStyle w:val="Heading1"/>
        <w:rPr>
          <w:rFonts w:ascii="Arial" w:hAnsi="Arial" w:cs="Arial"/>
          <w:color w:val="000000" w:themeColor="text1"/>
        </w:rPr>
      </w:pPr>
      <w:r w:rsidRPr="00A537D1">
        <w:rPr>
          <w:rFonts w:ascii="Arial" w:hAnsi="Arial" w:cs="Arial"/>
          <w:color w:val="000000" w:themeColor="text1"/>
        </w:rPr>
        <w:t>1. Summary of Predictive Insights</w:t>
      </w:r>
    </w:p>
    <w:p w14:paraId="40BE55F5" w14:textId="77777777" w:rsidR="007D72C2" w:rsidRPr="00A537D1" w:rsidRDefault="00A537D1">
      <w:pPr>
        <w:spacing w:after="60" w:before="0" w:line="240" w:lineRule="auto"/>
        <w:rPr>
          <w:rFonts w:ascii="Arial" w:hAnsi="Arial" w:cs="Arial"/>
          <w:color w:val="000000" w:themeColor="text1"/>
        </w:rPr>
      </w:pPr>
      <w:r>
        <w:rPr>
          <w:b w:val="0"/>
          <w:sz w:val="19"/>
        </w:rPr>
        <w:t>Task 2's modelling framework was executed as a baseline check (500 customers, 16.0% delinquent): logistic regression, gradient boosting and a dummy baseline all scored at the no-skill floor (PR-AUC 0.16-0.15 vs a 0.16 base rate), confirming Task 1 - no recorded variable is yet a validated predictor. The segments below are the strongest observed (descriptive) gradients: fit for a controlled pilot, not automated decisions. Per the Dataset Description Guide, Missed_Payments covers 12 months and Month_1-6 cover 6 months; neither related to the target (p = 0.56).</w:t>
      </w:r>
    </w:p>
    <w:p>
      <w:pPr>
        <w:spacing w:after="60" w:before="0" w:line="240" w:lineRule="auto"/>
      </w:pPr>
      <w:r>
        <w:rPr>
          <w:b w:val="0"/>
          <w:sz w:val="19"/>
        </w:rPr>
        <w:t>- Heavy debt burden: Debt_to_Income_Ratio above 40% delinquent at 18.9% (14/74) - nearly double the 9.8% (8/82) below 20% (strongest gradient; not significant, p = 0.10).</w:t>
      </w:r>
    </w:p>
    <w:p>
      <w:pPr>
        <w:spacing w:after="60" w:before="0" w:line="240" w:lineRule="auto"/>
      </w:pPr>
      <w:r>
        <w:rPr>
          <w:b w:val="0"/>
          <w:sz w:val="19"/>
        </w:rPr>
        <w:t>- Income instability: unemployed delinquent at 19.4% (18/93) vs 11.5% (10/87) retired; Employment_Status needed label clean-up ('EMP'/'employed', 245 rows).</w:t>
      </w:r>
    </w:p>
    <w:p>
      <w:pPr>
        <w:spacing w:after="60" w:before="0" w:line="240" w:lineRule="auto"/>
      </w:pPr>
      <w:r>
        <w:rPr>
          <w:b w:val="0"/>
          <w:sz w:val="19"/>
        </w:rPr>
        <w:t>- Product concentration: Business cardholders delinquent at 21.3% (23/108) - highest of five Credit_Card_Type tiers - vs 11.8% (9/76) Platinum.</w:t>
      </w:r>
    </w:p>
    <w:p>
      <w:pPr>
        <w:spacing w:after="60" w:before="0" w:line="240" w:lineRule="auto"/>
      </w:pPr>
      <w:r>
        <w:rPr>
          <w:b/>
          <w:sz w:val="19"/>
        </w:rPr>
        <w:t>Top 3 Risk Factors (for easy communication):</w:t>
      </w:r>
    </w:p>
    <w:p>
      <w:pPr>
        <w:pStyle w:val="ListBullet"/>
        <w:spacing w:after="60" w:before="0" w:line="240" w:lineRule="auto"/>
      </w:pPr>
      <w:r>
        <w:rPr>
          <w:b w:val="0"/>
          <w:sz w:val="19"/>
        </w:rPr>
        <w:t>1. Debt-to-income ratio above 40% - roughly double the rate of the lowest band.</w:t>
      </w:r>
    </w:p>
    <w:p>
      <w:pPr>
        <w:pStyle w:val="ListBullet"/>
        <w:spacing w:after="60" w:before="0" w:line="240" w:lineRule="auto"/>
      </w:pPr>
      <w:r>
        <w:rPr>
          <w:b w:val="0"/>
          <w:sz w:val="19"/>
        </w:rPr>
        <w:t>2. Unemployed customers - the highest delinquency of any employment group (19.4%).</w:t>
      </w:r>
    </w:p>
    <w:p>
      <w:pPr>
        <w:pStyle w:val="ListBullet"/>
        <w:spacing w:after="60" w:before="0" w:line="240" w:lineRule="auto"/>
      </w:pPr>
      <w:r>
        <w:rPr>
          <w:b w:val="0"/>
          <w:sz w:val="19"/>
        </w:rPr>
        <w:t>3. Business card tier - the highest of all product tiers (21.3%).</w:t>
      </w:r>
    </w:p>
    <w:p>
      <w:pPr>
        <w:spacing w:after="60" w:before="0" w:line="240" w:lineRule="auto"/>
      </w:pPr>
      <w:r>
        <w:rPr>
          <w:b w:val="0"/>
          <w:sz w:val="18"/>
        </w:rPr>
        <w:t>All three are descriptive candidates; none is statistically validated (Task 2 go/no-go gate applies).</w:t>
      </w:r>
    </w:p>
    <w:p w14:paraId="60F471FE" w14:textId="77777777" w:rsidR="007D72C2" w:rsidRDefault="00A537D1">
      <w:pPr>
        <w:spacing w:after="60" w:before="0" w:line="240" w:lineRule="auto"/>
        <w:rPr>
          <w:rFonts w:ascii="Arial" w:hAnsi="Arial" w:cs="Arial"/>
          <w:color w:val="000000" w:themeColor="text1"/>
        </w:rPr>
      </w:pPr>
      <w:r>
        <w:rPr>
          <w:b/>
          <w:sz w:val="19"/>
        </w:rPr>
        <w:t>Key Insights Summary Table:</w:t>
      </w:r>
    </w:p>
    <w:tbl>
      <w:tblPr>
        <w:tblW w:w="5000" w:type="pct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113"/>
        <w:gridCol w:w="1488"/>
        <w:gridCol w:w="3882"/>
        <w:gridCol w:w="2217"/>
      </w:tblGrid>
      <w:tr w:rsidR="00A537D1" w:rsidRPr="00A537D1" w14:paraId="36311A05" w14:textId="77777777" w:rsidTr="00A537D1">
        <w:tblPrEx>
          <w:tblCellMar>
            <w:top w:w="0" w:type="dxa"/>
            <w:bottom w:w="0" w:type="dxa"/>
          </w:tblCellMar>
        </w:tblPrEx>
        <w:trPr>
          <w:trHeight w:val="332"/>
        </w:trPr>
        <w:tc>
          <w:tcPr>
            <w:tcW w:w="6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D6A7EA" w14:textId="77777777" w:rsidR="00A537D1" w:rsidRPr="00A537D1" w:rsidRDefault="00A537D1" w:rsidP="00A537D1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</w:pPr>
            <w:r w:rsidRPr="00A537D1"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  <w:t>Key Insight</w:t>
            </w:r>
          </w:p>
        </w:tc>
        <w:tc>
          <w:tcPr>
            <w:tcW w:w="8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F469F1" w14:textId="77777777" w:rsidR="00A537D1" w:rsidRPr="00A537D1" w:rsidRDefault="00A537D1" w:rsidP="00A537D1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</w:pPr>
            <w:r w:rsidRPr="00A537D1"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  <w:t>Customer Segment</w:t>
            </w:r>
          </w:p>
        </w:tc>
        <w:tc>
          <w:tcPr>
            <w:tcW w:w="223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91034A" w14:textId="77777777" w:rsidR="00A537D1" w:rsidRPr="00A537D1" w:rsidRDefault="00A537D1" w:rsidP="00A537D1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</w:pPr>
            <w:r w:rsidRPr="00A537D1"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  <w:t>Influencing Variables</w:t>
            </w:r>
          </w:p>
        </w:tc>
        <w:tc>
          <w:tcPr>
            <w:tcW w:w="12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380553" w14:textId="77777777" w:rsidR="00A537D1" w:rsidRPr="00A537D1" w:rsidRDefault="00A537D1" w:rsidP="00A537D1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</w:pPr>
            <w:r w:rsidRPr="00A537D1"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  <w:t>Potential Impact</w:t>
            </w:r>
          </w:p>
        </w:tc>
      </w:tr>
      <w:tr w:rsidR="00A537D1" w:rsidRPr="00A537D1" w14:paraId="4217145F" w14:textId="77777777" w:rsidTr="00A537D1">
        <w:tblPrEx>
          <w:tblCellMar>
            <w:top w:w="0" w:type="dxa"/>
            <w:bottom w:w="0" w:type="dxa"/>
          </w:tblCellMar>
        </w:tblPrEx>
        <w:trPr>
          <w:trHeight w:val="782"/>
        </w:trPr>
        <w:tc>
          <w:tcPr>
            <w:tcW w:w="6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BFF5A1" w14:textId="77777777" w:rsidR="00A537D1" w:rsidRPr="00A537D1" w:rsidRDefault="00A537D1" w:rsidP="00A537D1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</w:pPr>
            <w:r>
              <w:rPr>
                <w:sz w:val="16"/>
              </w:rPr>
              <w:t>Debt burden roughly doubles delinquency</w:t>
            </w:r>
          </w:p>
        </w:tc>
        <w:tc>
          <w:tcPr>
            <w:tcW w:w="8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3EE3BA" w14:textId="77777777" w:rsidR="00A537D1" w:rsidRPr="00A537D1" w:rsidRDefault="00A537D1" w:rsidP="00A537D1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</w:pPr>
            <w:r>
              <w:rPr>
                <w:sz w:val="16"/>
              </w:rPr>
              <w:t>Accounts with DTI &gt; 40% (n = 74, ~15% of book)</w:t>
            </w:r>
          </w:p>
        </w:tc>
        <w:tc>
          <w:tcPr>
            <w:tcW w:w="223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B31FED" w14:textId="77777777" w:rsidR="00A537D1" w:rsidRPr="00A537D1" w:rsidRDefault="00A537D1" w:rsidP="00A537D1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</w:pPr>
            <w:r>
              <w:rPr>
                <w:sz w:val="16"/>
              </w:rPr>
              <w:t>Debt_to_Income_Ratio; Loan_Balance</w:t>
            </w:r>
          </w:p>
        </w:tc>
        <w:tc>
          <w:tcPr>
            <w:tcW w:w="12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DC9A44" w14:textId="77777777" w:rsidR="00A537D1" w:rsidRPr="00A537D1" w:rsidRDefault="00A537D1" w:rsidP="00A537D1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</w:pPr>
            <w:r>
              <w:rPr>
                <w:sz w:val="16"/>
              </w:rPr>
              <w:t>Priority cohort for proactive restructuring outreach</w:t>
            </w:r>
          </w:p>
        </w:tc>
      </w:tr>
      <w:tr>
        <w:tc>
          <w:tcPr>
            <w:tcW w:type="dxa" w:w="1113"/>
          </w:tcPr>
          <w:p>
            <w:r>
              <w:rPr>
                <w:sz w:val="16"/>
              </w:rPr>
              <w:t>Income instability elevates risk</w:t>
            </w:r>
          </w:p>
        </w:tc>
        <w:tc>
          <w:tcPr>
            <w:tcW w:type="dxa" w:w="1488"/>
          </w:tcPr>
          <w:p>
            <w:r>
              <w:rPr>
                <w:sz w:val="16"/>
              </w:rPr>
              <w:t>Unemployed customers (n = 93)</w:t>
            </w:r>
          </w:p>
        </w:tc>
        <w:tc>
          <w:tcPr>
            <w:tcW w:type="dxa" w:w="3882"/>
          </w:tcPr>
          <w:p>
            <w:r>
              <w:rPr>
                <w:sz w:val="16"/>
              </w:rPr>
              <w:t>Employment_Status; Income</w:t>
            </w:r>
          </w:p>
        </w:tc>
        <w:tc>
          <w:tcPr>
            <w:tcW w:type="dxa" w:w="2217"/>
          </w:tcPr>
          <w:p>
            <w:r>
              <w:rPr>
                <w:sz w:val="16"/>
              </w:rPr>
              <w:t>Route to hardship and collections-support programmes</w:t>
            </w:r>
          </w:p>
        </w:tc>
      </w:tr>
      <w:tr>
        <w:tc>
          <w:tcPr>
            <w:tcW w:type="dxa" w:w="1113"/>
          </w:tcPr>
          <w:p>
            <w:r>
              <w:rPr>
                <w:sz w:val="16"/>
              </w:rPr>
              <w:t>Risk concentrated in one product tier</w:t>
            </w:r>
          </w:p>
        </w:tc>
        <w:tc>
          <w:tcPr>
            <w:tcW w:type="dxa" w:w="1488"/>
          </w:tcPr>
          <w:p>
            <w:r>
              <w:rPr>
                <w:sz w:val="16"/>
              </w:rPr>
              <w:t>Business cardholders (n = 108)</w:t>
            </w:r>
          </w:p>
        </w:tc>
        <w:tc>
          <w:tcPr>
            <w:tcW w:type="dxa" w:w="3882"/>
          </w:tcPr>
          <w:p>
            <w:r>
              <w:rPr>
                <w:sz w:val="16"/>
              </w:rPr>
              <w:t>Credit_Card_Type</w:t>
            </w:r>
          </w:p>
        </w:tc>
        <w:tc>
          <w:tcPr>
            <w:tcW w:type="dxa" w:w="2217"/>
          </w:tcPr>
          <w:p>
            <w:r>
              <w:rPr>
                <w:sz w:val="16"/>
              </w:rPr>
              <w:t>Product-level review of limits and underwriting</w:t>
            </w:r>
          </w:p>
        </w:tc>
      </w:tr>
    </w:tbl>
    <w:p w14:paraId="50978634" w14:textId="77777777" w:rsidR="00A537D1" w:rsidRPr="00A537D1" w:rsidRDefault="00A537D1">
      <w:pPr>
        <w:spacing w:after="60" w:before="0" w:line="240" w:lineRule="auto"/>
        <w:rPr>
          <w:rFonts w:ascii="Arial" w:hAnsi="Arial" w:cs="Arial"/>
          <w:color w:val="000000" w:themeColor="text1"/>
        </w:rPr>
      </w:pPr>
    </w:p>
    <w:p w14:paraId="72833B3F" w14:textId="77777777" w:rsidR="007D72C2" w:rsidRPr="00A537D1" w:rsidRDefault="00A537D1">
      <w:pPr>
        <w:pStyle w:val="Heading1"/>
        <w:rPr>
          <w:rFonts w:ascii="Arial" w:hAnsi="Arial" w:cs="Arial"/>
          <w:color w:val="000000" w:themeColor="text1"/>
        </w:rPr>
      </w:pPr>
      <w:r w:rsidRPr="00A537D1">
        <w:rPr>
          <w:rFonts w:ascii="Arial" w:hAnsi="Arial" w:cs="Arial"/>
          <w:color w:val="000000" w:themeColor="text1"/>
        </w:rPr>
        <w:t>2. Recommendation Framework</w:t>
      </w:r>
    </w:p>
    <w:p w14:paraId="2F84D53A" w14:textId="77777777" w:rsidR="007D72C2" w:rsidRPr="00A537D1" w:rsidRDefault="00A537D1">
      <w:pPr>
        <w:spacing w:after="60" w:before="0" w:line="240" w:lineRule="auto"/>
        <w:rPr>
          <w:rFonts w:ascii="Arial" w:hAnsi="Arial" w:cs="Arial"/>
          <w:color w:val="000000" w:themeColor="text1"/>
        </w:rPr>
      </w:pPr>
      <w:r>
        <w:rPr>
          <w:b w:val="0"/>
          <w:sz w:val="19"/>
        </w:rPr>
        <w:t>The recommendation converts the strongest observed EDA insight into a SMART intervention, respecting the Task 2 finding that no model may yet be deployed.</w:t>
      </w:r>
    </w:p>
    <w:p w14:paraId="15F4D6C8" w14:textId="77777777" w:rsidR="007D72C2" w:rsidRPr="00A537D1" w:rsidRDefault="00A537D1">
      <w:pPr>
        <w:spacing w:after="60" w:before="0" w:line="240" w:lineRule="auto"/>
        <w:rPr>
          <w:rFonts w:ascii="Arial" w:hAnsi="Arial" w:cs="Arial"/>
          <w:color w:val="000000" w:themeColor="text1"/>
        </w:rPr>
      </w:pPr>
      <w:r>
        <w:rPr>
          <w:b w:val="0"/>
        </w:rPr>
      </w:r>
    </w:p>
    <w:p w14:paraId="6CE07FC9" w14:textId="77777777" w:rsidR="007D72C2" w:rsidRPr="00A537D1" w:rsidRDefault="00A537D1">
      <w:pPr>
        <w:pStyle w:val="ListBullet"/>
        <w:spacing w:after="60" w:before="0" w:line="240" w:lineRule="auto"/>
        <w:rPr>
          <w:rFonts w:ascii="Arial" w:hAnsi="Arial" w:cs="Arial"/>
          <w:color w:val="000000" w:themeColor="text1"/>
        </w:rPr>
      </w:pPr>
      <w:r>
        <w:rPr>
          <w:b/>
          <w:sz w:val="19"/>
        </w:rPr>
        <w:t xml:space="preserve">Restated Insight: </w:t>
      </w:r>
      <w:r>
        <w:rPr>
          <w:sz w:val="19"/>
        </w:rPr>
        <w:t>DTI above 40% delinquent at 18.9% vs 9.8% below 20% - the strongest observed gradient, not yet statistically confirmed.</w:t>
      </w:r>
    </w:p>
    <w:p w14:paraId="7B9326A5" w14:textId="77777777" w:rsidR="007D72C2" w:rsidRPr="00A537D1" w:rsidRDefault="00A537D1">
      <w:pPr>
        <w:pStyle w:val="ListBullet"/>
        <w:spacing w:after="60" w:before="0" w:line="240" w:lineRule="auto"/>
        <w:rPr>
          <w:rFonts w:ascii="Arial" w:hAnsi="Arial" w:cs="Arial"/>
          <w:color w:val="000000" w:themeColor="text1"/>
        </w:rPr>
      </w:pPr>
      <w:r>
        <w:rPr>
          <w:b/>
          <w:sz w:val="19"/>
        </w:rPr>
        <w:t xml:space="preserve">Proposed Recommendation: </w:t>
      </w:r>
      <w:r>
        <w:rPr>
          <w:sz w:val="19"/>
        </w:rPr>
        <w:t>Run a controlled 90-day Collections pilot: proactive, supportive outreach (hardship restructuring, limit review) to every account with DTI above 40%, against a matched control.</w:t>
      </w:r>
    </w:p>
    <w:p w14:paraId="573E860B" w14:textId="0AE081C0" w:rsidR="007D72C2" w:rsidRPr="00A537D1" w:rsidRDefault="00A537D1">
      <w:pPr>
        <w:pStyle w:val="ListBullet2"/>
        <w:spacing w:after="60" w:before="0" w:line="240" w:lineRule="auto"/>
        <w:rPr>
          <w:rFonts w:ascii="Arial" w:hAnsi="Arial" w:cs="Arial"/>
          <w:color w:val="000000" w:themeColor="text1"/>
        </w:rPr>
      </w:pPr>
      <w:r>
        <w:rPr>
          <w:b/>
          <w:sz w:val="19"/>
        </w:rPr>
        <w:t xml:space="preserve">Specific: </w:t>
      </w:r>
      <w:r>
        <w:rPr>
          <w:sz w:val="19"/>
        </w:rPr>
        <w:t>Target the DTI &gt; 40% cohort (74 accounts, ~15% of book); matched control from the 20-30% band.</w:t>
      </w:r>
    </w:p>
    <w:p w14:paraId="14A948D0" w14:textId="2A45793E" w:rsidR="007D72C2" w:rsidRPr="00A537D1" w:rsidRDefault="00A537D1">
      <w:pPr>
        <w:pStyle w:val="ListBullet2"/>
        <w:spacing w:after="60" w:before="0" w:line="240" w:lineRule="auto"/>
        <w:rPr>
          <w:rFonts w:ascii="Arial" w:hAnsi="Arial" w:cs="Arial"/>
          <w:color w:val="000000" w:themeColor="text1"/>
        </w:rPr>
      </w:pPr>
      <w:r>
        <w:rPr>
          <w:b/>
          <w:sz w:val="19"/>
        </w:rPr>
        <w:t xml:space="preserve">Measurable: </w:t>
      </w:r>
      <w:r>
        <w:rPr>
          <w:sz w:val="19"/>
        </w:rPr>
        <w:t>&gt;= 15% relative delinquency reduction vs control at day 90; track contact, cure and complaint rates and cost per account, monthly.</w:t>
      </w:r>
    </w:p>
    <w:p w14:paraId="3D5B0DDB" w14:textId="7BFA667D" w:rsidR="007D72C2" w:rsidRPr="00A537D1" w:rsidRDefault="00A537D1">
      <w:pPr>
        <w:pStyle w:val="ListBullet2"/>
        <w:spacing w:after="60" w:before="0" w:line="240" w:lineRule="auto"/>
        <w:rPr>
          <w:rFonts w:ascii="Arial" w:hAnsi="Arial" w:cs="Arial"/>
          <w:color w:val="000000" w:themeColor="text1"/>
        </w:rPr>
      </w:pPr>
      <w:r>
        <w:rPr>
          <w:b/>
          <w:sz w:val="19"/>
        </w:rPr>
        <w:t xml:space="preserve">Actionable: </w:t>
      </w:r>
      <w:r>
        <w:rPr>
          <w:sz w:val="19"/>
        </w:rPr>
        <w:t>Existing Collections team and CRM; rule-based campaign, no model deployment (Task 2 gate).</w:t>
      </w:r>
    </w:p>
    <w:p w14:paraId="692F7089" w14:textId="7C1B8958" w:rsidR="007D72C2" w:rsidRPr="00A537D1" w:rsidRDefault="00A537D1">
      <w:pPr>
        <w:pStyle w:val="ListBullet2"/>
        <w:spacing w:after="60" w:before="0" w:line="240" w:lineRule="auto"/>
        <w:rPr>
          <w:rFonts w:ascii="Arial" w:hAnsi="Arial" w:cs="Arial"/>
          <w:color w:val="000000" w:themeColor="text1"/>
        </w:rPr>
      </w:pPr>
      <w:r>
        <w:rPr>
          <w:b/>
          <w:sz w:val="19"/>
        </w:rPr>
        <w:t xml:space="preserve">Relevant: </w:t>
      </w:r>
      <w:r>
        <w:rPr>
          <w:sz w:val="19"/>
        </w:rPr>
        <w:t>Targets the highest-observed-delinquency segment, supporting credit-loss reduction while data remediation proceeds.</w:t>
      </w:r>
    </w:p>
    <w:p w14:paraId="5BFD19C6" w14:textId="549CBD98" w:rsidR="007D72C2" w:rsidRPr="00A537D1" w:rsidRDefault="00A537D1">
      <w:pPr>
        <w:pStyle w:val="ListBullet2"/>
        <w:spacing w:after="60" w:before="0" w:line="240" w:lineRule="auto"/>
        <w:rPr>
          <w:rFonts w:ascii="Arial" w:hAnsi="Arial" w:cs="Arial"/>
          <w:color w:val="000000" w:themeColor="text1"/>
        </w:rPr>
      </w:pPr>
      <w:r>
        <w:rPr>
          <w:b/>
          <w:sz w:val="19"/>
        </w:rPr>
        <w:t xml:space="preserve">Time-bound: </w:t>
      </w:r>
      <w:r>
        <w:rPr>
          <w:sz w:val="19"/>
        </w:rPr>
        <w:t>Launch within 4 weeks, run 90 days, scale-or-stop decision at day 91.</w:t>
      </w:r>
    </w:p>
    <w:p w14:paraId="17D2B140" w14:textId="77777777" w:rsidR="007D72C2" w:rsidRPr="00A537D1" w:rsidRDefault="00A537D1">
      <w:pPr>
        <w:pStyle w:val="ListBullet"/>
        <w:spacing w:after="60" w:before="0" w:line="240" w:lineRule="auto"/>
        <w:rPr>
          <w:rFonts w:ascii="Arial" w:hAnsi="Arial" w:cs="Arial"/>
          <w:color w:val="000000" w:themeColor="text1"/>
        </w:rPr>
      </w:pPr>
      <w:r>
        <w:rPr>
          <w:b/>
          <w:sz w:val="19"/>
        </w:rPr>
        <w:t xml:space="preserve">Justification and Business Rationale: </w:t>
      </w:r>
      <w:r>
        <w:rPr>
          <w:sz w:val="19"/>
        </w:rPr>
        <w:t>Lowest-cost way to test the top observed gradient under controlled conditions: if confirmed, Geldium gains a validated, explainable targeting rule; if not, the gate redirects effort to data remediation instead of acting on noise. Transparent, feasible with current resources, and avoids model investment while predictors remain unvalidated (PR-AUC at the 0.16 no-skill floor).</w:t>
      </w:r>
    </w:p>
    <w:p w14:paraId="08E6A272" w14:textId="77777777" w:rsidR="007D72C2" w:rsidRPr="00A537D1" w:rsidRDefault="00A537D1">
      <w:pPr>
        <w:pStyle w:val="Heading1"/>
        <w:rPr>
          <w:rFonts w:ascii="Arial" w:hAnsi="Arial" w:cs="Arial"/>
          <w:color w:val="000000" w:themeColor="text1"/>
        </w:rPr>
      </w:pPr>
      <w:r w:rsidRPr="00A537D1">
        <w:rPr>
          <w:rFonts w:ascii="Arial" w:hAnsi="Arial" w:cs="Arial"/>
          <w:color w:val="000000" w:themeColor="text1"/>
        </w:rPr>
        <w:t>3. Ethical and Responsible AI Considerations</w:t>
      </w:r>
    </w:p>
    <w:p w14:paraId="12F299C0" w14:textId="77777777" w:rsidR="007D72C2" w:rsidRPr="00A537D1" w:rsidRDefault="00A537D1">
      <w:pPr>
        <w:spacing w:after="60" w:before="0" w:line="240" w:lineRule="auto"/>
        <w:rPr>
          <w:rFonts w:ascii="Arial" w:hAnsi="Arial" w:cs="Arial"/>
          <w:color w:val="000000" w:themeColor="text1"/>
        </w:rPr>
      </w:pPr>
      <w:r>
        <w:rPr>
          <w:b w:val="0"/>
          <w:sz w:val="19"/>
        </w:rPr>
        <w:t>With no validated signal in the data, the main ethical risk is acting on noise as if it were fact. Two fairness risks and mitigations:</w:t>
      </w:r>
    </w:p>
    <w:p w14:paraId="00012648" w14:textId="6B4C09F0" w:rsidR="007D72C2" w:rsidRPr="00A537D1" w:rsidRDefault="00A537D1">
      <w:pPr>
        <w:pStyle w:val="ListBullet"/>
        <w:spacing w:after="60" w:before="0" w:line="240" w:lineRule="auto"/>
        <w:rPr>
          <w:rFonts w:ascii="Arial" w:hAnsi="Arial" w:cs="Arial"/>
          <w:color w:val="000000" w:themeColor="text1"/>
        </w:rPr>
      </w:pPr>
      <w:r>
        <w:rPr>
          <w:b/>
          <w:sz w:val="19"/>
        </w:rPr>
        <w:t xml:space="preserve">Fairness risk 1 - proxy discrimination: </w:t>
      </w:r>
      <w:r>
        <w:rPr>
          <w:sz w:val="19"/>
        </w:rPr>
        <w:t>Location and Employment_Status correlate with ethnicity and socioeconomic status; punitive use (limit cuts, rejections) could disadvantage protected groups. Mitigation: DTI targeting for supportive offers only, exclude Location from scoring, audit pilot outcomes by age, employment group and region.</w:t>
      </w:r>
    </w:p>
    <w:p w14:paraId="47264F3A" w14:textId="553BA44A" w:rsidR="007D72C2" w:rsidRPr="00A537D1" w:rsidRDefault="00A537D1">
      <w:pPr>
        <w:pStyle w:val="ListBullet"/>
        <w:spacing w:after="60" w:before="0" w:line="240" w:lineRule="auto"/>
        <w:rPr>
          <w:rFonts w:ascii="Arial" w:hAnsi="Arial" w:cs="Arial"/>
          <w:color w:val="000000" w:themeColor="text1"/>
        </w:rPr>
      </w:pPr>
      <w:r>
        <w:rPr>
          <w:b/>
          <w:sz w:val="19"/>
        </w:rPr>
        <w:t xml:space="preserve">Fairness risk 2 - vulnerable-group impact: </w:t>
      </w:r>
      <w:r>
        <w:rPr>
          <w:sz w:val="19"/>
        </w:rPr>
        <w:t>Unemployed customers already show the highest delinquency (19.4%); aggressive collections could deepen hardship. Mitigation: human-in-the-loop review, hardship-programme routing, plain-language reason codes (e.g., 'your debt obligations are close to your income').</w:t>
      </w:r>
    </w:p>
    <w:p w14:paraId="23BA5152" w14:textId="510C173F" w:rsidR="007D72C2" w:rsidRPr="00A537D1" w:rsidRDefault="00A537D1">
      <w:pPr>
        <w:pStyle w:val="ListBullet"/>
        <w:spacing w:after="60" w:before="0" w:line="240" w:lineRule="auto"/>
        <w:rPr>
          <w:rFonts w:ascii="Arial" w:hAnsi="Arial" w:cs="Arial"/>
          <w:color w:val="000000" w:themeColor="text1"/>
        </w:rPr>
      </w:pPr>
      <w:r>
        <w:rPr>
          <w:b/>
          <w:sz w:val="19"/>
        </w:rPr>
        <w:t xml:space="preserve">Explainability for non-technical stakeholders: </w:t>
      </w:r>
      <w:r>
        <w:rPr>
          <w:sz w:val="19"/>
        </w:rPr>
        <w:t>The recommendation is a transparent DTI-band rule, not a black box; any future model must give per-decision reason codes. Predictions are communicated as probabilities with uncertainty - the executed baseline showed no better than chance, so no automated adverse decisions are justified.</w:t>
      </w:r>
    </w:p>
    <w:p w14:paraId="3DCE71AF" w14:textId="7D76B70B" w:rsidR="007D72C2" w:rsidRPr="00A537D1" w:rsidRDefault="00A537D1">
      <w:pPr>
        <w:pStyle w:val="ListBullet"/>
        <w:spacing w:after="60" w:before="0" w:line="240" w:lineRule="auto"/>
        <w:rPr>
          <w:rFonts w:ascii="Arial" w:hAnsi="Arial" w:cs="Arial"/>
          <w:color w:val="000000" w:themeColor="text1"/>
        </w:rPr>
      </w:pPr>
      <w:r>
        <w:rPr>
          <w:b/>
          <w:sz w:val="19"/>
        </w:rPr>
        <w:t xml:space="preserve">Responsible and transparent AI use: </w:t>
      </w:r>
      <w:r>
        <w:rPr>
          <w:sz w:val="19"/>
        </w:rPr>
        <w:t>Transparency (pilot limits documented, including 7.8% missing Income affecting banding), accountability (named owner, model card, stop rule), data privacy (income/debt data minimised), and a fairness re-audit before scale-up.</w:t>
      </w:r>
    </w:p>
    <w:p w14:paraId="33EC1793" w14:textId="77777777" w:rsidR="007D72C2" w:rsidRPr="00A537D1" w:rsidRDefault="00A537D1">
      <w:pPr>
        <w:spacing w:after="60" w:before="0" w:line="240" w:lineRule="auto"/>
        <w:rPr>
          <w:rFonts w:ascii="Arial" w:hAnsi="Arial" w:cs="Arial"/>
          <w:color w:val="000000" w:themeColor="text1"/>
        </w:rPr>
      </w:pPr>
      <w:r>
        <w:rPr>
          <w:b w:val="0"/>
        </w:rPr>
      </w:r>
    </w:p>
    <w:sectPr w:rsidR="007D72C2" w:rsidRPr="00A537D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9674117">
    <w:abstractNumId w:val="8"/>
  </w:num>
  <w:num w:numId="2" w16cid:durableId="1801531605">
    <w:abstractNumId w:val="6"/>
  </w:num>
  <w:num w:numId="3" w16cid:durableId="486094038">
    <w:abstractNumId w:val="5"/>
  </w:num>
  <w:num w:numId="4" w16cid:durableId="255750852">
    <w:abstractNumId w:val="4"/>
  </w:num>
  <w:num w:numId="5" w16cid:durableId="1951626911">
    <w:abstractNumId w:val="7"/>
  </w:num>
  <w:num w:numId="6" w16cid:durableId="1111168920">
    <w:abstractNumId w:val="3"/>
  </w:num>
  <w:num w:numId="7" w16cid:durableId="124276201">
    <w:abstractNumId w:val="2"/>
  </w:num>
  <w:num w:numId="8" w16cid:durableId="1778476411">
    <w:abstractNumId w:val="1"/>
  </w:num>
  <w:num w:numId="9" w16cid:durableId="1111129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D72C2"/>
    <w:rsid w:val="008237CA"/>
    <w:rsid w:val="00A537D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4DB5BE"/>
  <w14:defaultImageDpi w14:val="300"/>
  <w15:docId w15:val="{578686E3-F8AA-B641-B7B7-8F5C3F9AF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37D1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A5A5A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DDDDD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DDDDD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DDDDD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DDDDD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A5A5A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DDDDD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DDDDD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DDDDD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DDDDD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DDDDD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DDDDD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6E6E6E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DDDDD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DDDDD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DDDDDD" w:themeColor="accent1"/>
      </w:pBdr>
      <w:spacing w:before="200" w:after="280"/>
      <w:ind w:left="936" w:right="936"/>
    </w:pPr>
    <w:rPr>
      <w:b/>
      <w:bCs/>
      <w:i/>
      <w:iCs/>
      <w:color w:val="DDDDD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DDDDD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DDDDD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B2B2B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B2B2B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A5A5A5" w:themeColor="accent1" w:themeShade="BF"/>
    </w:rPr>
    <w:tblPr>
      <w:tblStyleRowBandSize w:val="1"/>
      <w:tblStyleColBandSize w:val="1"/>
      <w:tblBorders>
        <w:top w:val="single" w:sz="8" w:space="0" w:color="DDDDDD" w:themeColor="accent1"/>
        <w:bottom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1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  <w:shd w:val="clear" w:color="auto" w:fill="F6F6F6" w:themeFill="accent1" w:themeFillTint="3F"/>
      </w:tcPr>
    </w:tblStylePr>
    <w:tblStylePr w:type="band2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F6F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bottom w:val="single" w:sz="8" w:space="0" w:color="DDDDD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DDDD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shd w:val="clear" w:color="auto" w:fill="F6F6F6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DDD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DDDDD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DDD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DDD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F6F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B2B2B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69696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808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F5F5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D4D4D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  <w:insideV w:val="single" w:sz="8" w:space="0" w:color="E5E5E5" w:themeColor="accent1" w:themeTint="BF"/>
      </w:tblBorders>
    </w:tblPr>
    <w:tcPr>
      <w:shd w:val="clear" w:color="auto" w:fill="F6F6F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E5E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</w:tblPr>
    <w:tcPr>
      <w:shd w:val="clear" w:color="auto" w:fill="F6F6F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BFB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8F8" w:themeFill="accent1" w:themeFillTint="33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tcBorders>
          <w:insideH w:val="single" w:sz="6" w:space="0" w:color="DDDDDD" w:themeColor="accent1"/>
          <w:insideV w:val="single" w:sz="6" w:space="0" w:color="DDDDDD" w:themeColor="accent1"/>
        </w:tcBorders>
        <w:shd w:val="clear" w:color="auto" w:fill="EEEEE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F6F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EEE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EEE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DDDD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E6E6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5A5A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DDDDDD" w:themeColor="accent1"/>
        <w:bottom w:val="single" w:sz="4" w:space="0" w:color="DDDDDD" w:themeColor="accent1"/>
        <w:right w:val="single" w:sz="4" w:space="0" w:color="DDDDD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B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4848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48484" w:themeColor="accent1" w:themeShade="99"/>
          <w:insideV w:val="nil"/>
        </w:tcBorders>
        <w:shd w:val="clear" w:color="auto" w:fill="84848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8484" w:themeFill="accent1" w:themeFillShade="99"/>
      </w:tcPr>
    </w:tblStylePr>
    <w:tblStylePr w:type="band1Vert">
      <w:tblPr/>
      <w:tcPr>
        <w:shd w:val="clear" w:color="auto" w:fill="F1F1F1" w:themeFill="accent1" w:themeFillTint="66"/>
      </w:tcPr>
    </w:tblStylePr>
    <w:tblStylePr w:type="band1Horz">
      <w:tblPr/>
      <w:tcPr>
        <w:shd w:val="clear" w:color="auto" w:fill="EEEEE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BFB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F8F8" w:themeFill="accent1" w:themeFillTint="33"/>
    </w:tcPr>
    <w:tblStylePr w:type="firstRow">
      <w:rPr>
        <w:b/>
        <w:bCs/>
      </w:rPr>
      <w:tblPr/>
      <w:tcPr>
        <w:shd w:val="clear" w:color="auto" w:fill="F1F1F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F1F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Gre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291</Words>
  <Characters>1662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Geldium Business Summary Report - Predictive Insights for Collections Strategy</dc:title>
  <dc:subject/>
  <dc:creator>Tata iQ Forage Simulation - Data Analytics</dc:creator>
  <cp:keywords/>
  <dc:description>generated by python-docx</dc:description>
  <cp:lastModifiedBy>Tran, Tammy</cp:lastModifiedBy>
  <cp:revision>2</cp:revision>
  <dcterms:created xsi:type="dcterms:W3CDTF">2013-12-23T23:15:00Z</dcterms:created>
  <dcterms:modified xsi:type="dcterms:W3CDTF">2025-03-23T11:41:00Z</dcterms:modified>
  <cp:category/>
</cp:coreProperties>
</file>