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8"/>
          <w:szCs w:val="48"/>
        </w:rPr>
        <w:t xml:space="preserve">BUSINESS PERFORMANCE REPORT</w:t>
      </w:r>
    </w:p>
    <w:p>
      <w:pPr>
        <w:spacing w:after="60" w:before="160"/>
        <w:jc w:val="center"/>
      </w:pPr>
      <w:r>
        <w:rPr>
          <w:b/>
          <w:bCs/>
          <w:color w:val="2E74B5"/>
          <w:sz w:val="30"/>
          <w:szCs w:val="30"/>
        </w:rPr>
        <w:t xml:space="preserve">Superstore Sales, Profitability &amp; Discount Analysis</w:t>
      </w:r>
    </w:p>
    <w:p>
      <w:pPr>
        <w:spacing w:after="700"/>
        <w:jc w:val="center"/>
      </w:pPr>
      <w:r>
        <w:rPr>
          <w:i/>
          <w:iCs/>
          <w:color w:val="595959"/>
          <w:sz w:val="22"/>
          <w:szCs w:val="22"/>
        </w:rPr>
        <w:t xml:space="preserve">Data Analytics &amp; Business Intelligence — Task 2</w:t>
      </w:r>
    </w:p>
    <w:p>
      <w:pPr>
        <w:pBdr>
          <w:top w:val="single" w:color="1F3864" w:sz="6" w:space="8"/>
        </w:pBdr>
        <w:spacing w:before="200"/>
      </w:pPr>
    </w:p>
    <w:p>
      <w:pPr>
        <w:spacing w:before="700"/>
        <w:jc w:val="center"/>
      </w:pPr>
      <w:r>
        <w:rPr>
          <w:color w:val="262626"/>
          <w:sz w:val="22"/>
          <w:szCs w:val="22"/>
        </w:rPr>
        <w:t xml:space="preserve">Prepared by: Prince Kumar</w:t>
      </w:r>
    </w:p>
    <w:p>
      <w:pPr>
        <w:spacing w:before="100"/>
        <w:jc w:val="center"/>
      </w:pPr>
      <w:r>
        <w:rPr>
          <w:color w:val="595959"/>
          <w:sz w:val="20"/>
          <w:szCs w:val="20"/>
        </w:rPr>
        <w:t xml:space="preserve">MBA (Business Analytics), Delhi School of Management, DTU</w:t>
      </w:r>
    </w:p>
    <w:p>
      <w:pPr>
        <w:spacing w:before="100"/>
        <w:jc w:val="center"/>
      </w:pPr>
      <w:r>
        <w:rPr>
          <w:color w:val="595959"/>
          <w:sz w:val="20"/>
          <w:szCs w:val="20"/>
        </w:rPr>
        <w:t xml:space="preserve">Prepared for: Maincrafts Technology</w:t>
      </w:r>
    </w:p>
    <w:p>
      <w:pPr>
        <w:spacing w:before="100"/>
        <w:jc w:val="center"/>
      </w:pPr>
      <w:r>
        <w:rPr>
          <w:color w:val="595959"/>
          <w:sz w:val="20"/>
          <w:szCs w:val="20"/>
        </w:rPr>
        <w:t xml:space="preserve">Date: 26 July 2026</w:t>
      </w:r>
    </w:p>
    <w:p>
      <w:pPr>
        <w:spacing w:before="900"/>
        <w:jc w:val="center"/>
      </w:pPr>
      <w:r>
        <w:rPr>
          <w:i/>
          <w:iCs/>
          <w:color w:val="595959"/>
          <w:sz w:val="16"/>
          <w:szCs w:val="16"/>
        </w:rPr>
        <w:t xml:space="preserve">Data Sources: Superstore_Cleaned_Excel_With_Pivot_Analysis.xlsx  |  SQL_Queries_Task2.sql  |  Superstore_Power_BI_Dashboard.pbix</w:t>
      </w:r>
    </w:p>
    <w:p>
      <w:pPr>
        <w:sectPr>
          <w:pgSz w:w="12240" w:h="15840" w:orient="portrait"/>
          <w:pgMar w:top="1080" w:right="1080" w:bottom="1080" w:left="1080" w:header="708" w:footer="708" w:gutter="0"/>
          <w:pgNumType/>
          <w:docGrid w:linePitch="360"/>
        </w:sectPr>
      </w:pPr>
    </w:p>
    <w:p>
      <w:pPr>
        <w:pStyle w:val="Heading1"/>
        <w:pBdr>
          <w:bottom w:val="single" w:color="1F3864" w:sz="8" w:space="4"/>
        </w:pBdr>
        <w:spacing w:after="140" w:before="320"/>
      </w:pPr>
      <w:r>
        <w:rPr>
          <w:b/>
          <w:bCs/>
          <w:color w:val="1F3864"/>
          <w:sz w:val="26"/>
          <w:szCs w:val="26"/>
        </w:rPr>
        <w:t xml:space="preserve">1. Executive Summary</w:t>
      </w:r>
    </w:p>
    <w:p>
      <w:pPr>
        <w:spacing w:after="140" w:line="276"/>
        <w:jc w:val="both"/>
      </w:pPr>
      <w:r>
        <w:rPr>
          <w:color w:val="262626"/>
          <w:sz w:val="21"/>
          <w:szCs w:val="21"/>
        </w:rPr>
        <w:t xml:space="preserve">This report analyses the Superstore transactional dataset across Orders, Customers, and Products, covering 9,994 order line items (5,009 distinct orders) placed between 2014 and 2017. The dataset was modelled and joined in MySQL, profiled through Excel pivot tables, and visualised in an interactive Power BI dashboard. Unlike the Task 1 dataset, this dataset includes Profit and Discount fields, enabling a genuine profitability and discount-impact analysis rather than sales volume alone.</w:t>
      </w:r>
    </w:p>
    <w:p>
      <w:pPr>
        <w:spacing w:after="140" w:line="276"/>
        <w:jc w:val="both"/>
      </w:pPr>
      <w:r>
        <w:rPr>
          <w:color w:val="262626"/>
          <w:sz w:val="21"/>
          <w:szCs w:val="21"/>
        </w:rPr>
        <w:t xml:space="preserve">Total sales reached $2,297,200.86 with total profit of $286,397.02 — an overall profit margin of 12.47%. The headline finding of this analysis is that discounting is the single largest controllable driver of profit erosion: every order discounted at 30% or higher operated at a loss, collectively destroying $135,376 in profit on $362,770 of sales. This is explored in full in Section 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59"/>
      </w:tblGrid>
      <w:tr>
        <w:tc>
          <w:tcPr>
            <w:tcW w:type="dxa" w:w="6000"/>
            <w:shd w:fill="DDEBF7" w:val="clear"/>
            <w:tcMar>
              <w:top w:type="dxa" w:w="100"/>
              <w:left w:type="dxa" w:w="150"/>
              <w:bottom w:type="dxa" w:w="100"/>
              <w:right w:type="dxa" w:w="150"/>
            </w:tcMar>
            <w:vAlign w:val="center"/>
          </w:tcPr>
          <w:p>
            <w:r>
              <w:rPr>
                <w:color w:val="262626"/>
                <w:sz w:val="20"/>
                <w:szCs w:val="20"/>
              </w:rPr>
              <w:t xml:space="preserve">Total Sales</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$2,297,200.86</w:t>
            </w:r>
          </w:p>
        </w:tc>
      </w:tr>
      <w:tr>
        <w:tc>
          <w:tcPr>
            <w:tcW w:type="dxa" w:w="6000"/>
            <w:shd w:fill="FFFFFF" w:val="clear"/>
            <w:tcMar>
              <w:top w:type="dxa" w:w="100"/>
              <w:left w:type="dxa" w:w="150"/>
              <w:bottom w:type="dxa" w:w="100"/>
              <w:right w:type="dxa" w:w="150"/>
            </w:tcMar>
            <w:vAlign w:val="center"/>
          </w:tcPr>
          <w:p>
            <w:r>
              <w:rPr>
                <w:color w:val="262626"/>
                <w:sz w:val="20"/>
                <w:szCs w:val="20"/>
              </w:rPr>
              <w:t xml:space="preserve">Total Profit</w:t>
            </w:r>
          </w:p>
        </w:tc>
        <w:tc>
          <w:tcPr>
            <w:tcW w:type="dxa" w:w="3000"/>
            <w:shd w:fill="FFFFFF" w:val="clear"/>
            <w:tcMar>
              <w:top w:type="dxa" w:w="100"/>
              <w:left w:type="dxa" w:w="150"/>
              <w:bottom w:type="dxa" w:w="100"/>
              <w:right w:type="dxa" w:w="150"/>
            </w:tcMar>
            <w:vAlign w:val="center"/>
          </w:tcPr>
          <w:p>
            <w:pPr>
              <w:jc w:val="right"/>
            </w:pPr>
            <w:r>
              <w:rPr>
                <w:b/>
                <w:bCs/>
                <w:color w:val="1F3864"/>
                <w:sz w:val="20"/>
                <w:szCs w:val="20"/>
              </w:rPr>
              <w:t xml:space="preserve">$286,397.02</w:t>
            </w:r>
          </w:p>
        </w:tc>
      </w:tr>
      <w:tr>
        <w:tc>
          <w:tcPr>
            <w:tcW w:type="dxa" w:w="6000"/>
            <w:shd w:fill="DDEBF7" w:val="clear"/>
            <w:tcMar>
              <w:top w:type="dxa" w:w="100"/>
              <w:left w:type="dxa" w:w="150"/>
              <w:bottom w:type="dxa" w:w="100"/>
              <w:right w:type="dxa" w:w="150"/>
            </w:tcMar>
            <w:vAlign w:val="center"/>
          </w:tcPr>
          <w:p>
            <w:r>
              <w:rPr>
                <w:color w:val="262626"/>
                <w:sz w:val="20"/>
                <w:szCs w:val="20"/>
              </w:rPr>
              <w:t xml:space="preserve">Overall Profit Margin</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12.47%</w:t>
            </w:r>
          </w:p>
        </w:tc>
      </w:tr>
      <w:tr>
        <w:tc>
          <w:tcPr>
            <w:tcW w:type="dxa" w:w="6000"/>
            <w:shd w:fill="FFFFFF" w:val="clear"/>
            <w:tcMar>
              <w:top w:type="dxa" w:w="100"/>
              <w:left w:type="dxa" w:w="150"/>
              <w:bottom w:type="dxa" w:w="100"/>
              <w:right w:type="dxa" w:w="150"/>
            </w:tcMar>
            <w:vAlign w:val="center"/>
          </w:tcPr>
          <w:p>
            <w:r>
              <w:rPr>
                <w:color w:val="262626"/>
                <w:sz w:val="20"/>
                <w:szCs w:val="20"/>
              </w:rPr>
              <w:t xml:space="preserve">Distinct Orders</w:t>
            </w:r>
          </w:p>
        </w:tc>
        <w:tc>
          <w:tcPr>
            <w:tcW w:type="dxa" w:w="3000"/>
            <w:shd w:fill="FFFFFF" w:val="clear"/>
            <w:tcMar>
              <w:top w:type="dxa" w:w="100"/>
              <w:left w:type="dxa" w:w="150"/>
              <w:bottom w:type="dxa" w:w="100"/>
              <w:right w:type="dxa" w:w="150"/>
            </w:tcMar>
            <w:vAlign w:val="center"/>
          </w:tcPr>
          <w:p>
            <w:pPr>
              <w:jc w:val="right"/>
            </w:pPr>
            <w:r>
              <w:rPr>
                <w:b/>
                <w:bCs/>
                <w:color w:val="1F3864"/>
                <w:sz w:val="20"/>
                <w:szCs w:val="20"/>
              </w:rPr>
              <w:t xml:space="preserve">5,009</w:t>
            </w:r>
          </w:p>
        </w:tc>
      </w:tr>
      <w:tr>
        <w:tc>
          <w:tcPr>
            <w:tcW w:type="dxa" w:w="6000"/>
            <w:shd w:fill="DDEBF7" w:val="clear"/>
            <w:tcMar>
              <w:top w:type="dxa" w:w="100"/>
              <w:left w:type="dxa" w:w="150"/>
              <w:bottom w:type="dxa" w:w="100"/>
              <w:right w:type="dxa" w:w="150"/>
            </w:tcMar>
            <w:vAlign w:val="center"/>
          </w:tcPr>
          <w:p>
            <w:r>
              <w:rPr>
                <w:color w:val="262626"/>
                <w:sz w:val="20"/>
                <w:szCs w:val="20"/>
              </w:rPr>
              <w:t xml:space="preserve">Order Line Items</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9,994</w:t>
            </w:r>
          </w:p>
        </w:tc>
      </w:tr>
      <w:tr>
        <w:tc>
          <w:tcPr>
            <w:tcW w:type="dxa" w:w="6000"/>
            <w:shd w:fill="FFFFFF" w:val="clear"/>
            <w:tcMar>
              <w:top w:type="dxa" w:w="100"/>
              <w:left w:type="dxa" w:w="150"/>
              <w:bottom w:type="dxa" w:w="100"/>
              <w:right w:type="dxa" w:w="150"/>
            </w:tcMar>
            <w:vAlign w:val="center"/>
          </w:tcPr>
          <w:p>
            <w:r>
              <w:rPr>
                <w:color w:val="262626"/>
                <w:sz w:val="20"/>
                <w:szCs w:val="20"/>
              </w:rPr>
              <w:t xml:space="preserve">Units Sold</w:t>
            </w:r>
          </w:p>
        </w:tc>
        <w:tc>
          <w:tcPr>
            <w:tcW w:type="dxa" w:w="3000"/>
            <w:shd w:fill="FFFFFF" w:val="clear"/>
            <w:tcMar>
              <w:top w:type="dxa" w:w="100"/>
              <w:left w:type="dxa" w:w="150"/>
              <w:bottom w:type="dxa" w:w="100"/>
              <w:right w:type="dxa" w:w="150"/>
            </w:tcMar>
            <w:vAlign w:val="center"/>
          </w:tcPr>
          <w:p>
            <w:pPr>
              <w:jc w:val="right"/>
            </w:pPr>
            <w:r>
              <w:rPr>
                <w:b/>
                <w:bCs/>
                <w:color w:val="1F3864"/>
                <w:sz w:val="20"/>
                <w:szCs w:val="20"/>
              </w:rPr>
              <w:t xml:space="preserve">37,873</w:t>
            </w:r>
          </w:p>
        </w:tc>
      </w:tr>
      <w:tr>
        <w:tc>
          <w:tcPr>
            <w:tcW w:type="dxa" w:w="6000"/>
            <w:shd w:fill="DDEBF7" w:val="clear"/>
            <w:tcMar>
              <w:top w:type="dxa" w:w="100"/>
              <w:left w:type="dxa" w:w="150"/>
              <w:bottom w:type="dxa" w:w="100"/>
              <w:right w:type="dxa" w:w="150"/>
            </w:tcMar>
            <w:vAlign w:val="center"/>
          </w:tcPr>
          <w:p>
            <w:r>
              <w:rPr>
                <w:color w:val="262626"/>
                <w:sz w:val="20"/>
                <w:szCs w:val="20"/>
              </w:rPr>
              <w:t xml:space="preserve">Analysis Period</w:t>
            </w:r>
          </w:p>
        </w:tc>
        <w:tc>
          <w:tcPr>
            <w:tcW w:type="dxa" w:w="3000"/>
            <w:shd w:fill="DDEBF7" w:val="clear"/>
            <w:tcMar>
              <w:top w:type="dxa" w:w="100"/>
              <w:left w:type="dxa" w:w="150"/>
              <w:bottom w:type="dxa" w:w="100"/>
              <w:right w:type="dxa" w:w="150"/>
            </w:tcMar>
            <w:vAlign w:val="center"/>
          </w:tcPr>
          <w:p>
            <w:pPr>
              <w:jc w:val="right"/>
            </w:pPr>
            <w:r>
              <w:rPr>
                <w:b/>
                <w:bCs/>
                <w:color w:val="1F3864"/>
                <w:sz w:val="20"/>
                <w:szCs w:val="20"/>
              </w:rPr>
              <w:t xml:space="preserve">2014 – 2017</w:t>
            </w:r>
          </w:p>
        </w:tc>
      </w:tr>
    </w:tbl>
    <w:p>
      <w:pPr>
        <w:pStyle w:val="Heading1"/>
        <w:pBdr>
          <w:bottom w:val="single" w:color="1F3864" w:sz="8" w:space="4"/>
        </w:pBdr>
        <w:spacing w:after="140" w:before="320"/>
      </w:pPr>
      <w:r>
        <w:rPr>
          <w:b/>
          <w:bCs/>
          <w:color w:val="1F3864"/>
          <w:sz w:val="26"/>
          <w:szCs w:val="26"/>
        </w:rPr>
        <w:t xml:space="preserve">2. Regional Sales Performance</w:t>
      </w:r>
    </w:p>
    <w:p>
      <w:pPr>
        <w:spacing w:after="40"/>
      </w:pPr>
      <w:r>
        <w:rPr>
          <w:i/>
          <w:iCs/>
          <w:color w:val="595959"/>
          <w:sz w:val="18"/>
          <w:szCs w:val="18"/>
        </w:rPr>
        <w:t xml:space="preserve">Which region generates the highest sales?</w:t>
      </w:r>
    </w:p>
    <w:p>
      <w:pPr>
        <w:spacing w:after="140" w:line="276"/>
        <w:jc w:val="both"/>
      </w:pPr>
      <w:r>
        <w:rPr>
          <w:color w:val="262626"/>
          <w:sz w:val="21"/>
          <w:szCs w:val="21"/>
        </w:rPr>
        <w:t xml:space="preserve">The West region leads with $725,457.82 in sales (31.6% of total), ahead of East at $678,781.24 (29.5%). Central ($501,239.89, 21.8%) and South ($391,721.91, 17.1%) trail behind — South generates less than half the revenue of West.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3528"/>
        <w:gridCol w:w="2520"/>
      </w:tblGrid>
      <w:tr>
        <w:trPr>
          <w:tblHeader/>
        </w:trPr>
        <w:tc>
          <w:tcPr>
            <w:tcW w:type="dxa" w:w="4032"/>
            <w:shd w:fill="1F3864" w:val="clear"/>
            <w:tcMar>
              <w:top w:type="dxa" w:w="90"/>
              <w:left w:type="dxa" w:w="120"/>
              <w:bottom w:type="dxa" w:w="90"/>
              <w:right w:type="dxa" w:w="120"/>
            </w:tcMar>
            <w:vAlign w:val="center"/>
          </w:tcPr>
          <w:p>
            <w:pPr>
              <w:jc w:val="left"/>
            </w:pPr>
            <w:r>
              <w:rPr>
                <w:b/>
                <w:bCs/>
                <w:color w:val="FFFFFF"/>
                <w:sz w:val="19"/>
                <w:szCs w:val="19"/>
              </w:rPr>
              <w:t xml:space="preserve">Region</w:t>
            </w:r>
          </w:p>
        </w:tc>
        <w:tc>
          <w:tcPr>
            <w:tcW w:type="dxa" w:w="3528"/>
            <w:shd w:fill="1F3864" w:val="clear"/>
            <w:tcMar>
              <w:top w:type="dxa" w:w="90"/>
              <w:left w:type="dxa" w:w="120"/>
              <w:bottom w:type="dxa" w:w="90"/>
              <w:right w:type="dxa" w:w="120"/>
            </w:tcMar>
            <w:vAlign w:val="center"/>
          </w:tcPr>
          <w:p>
            <w:pPr>
              <w:jc w:val="right"/>
            </w:pPr>
            <w:r>
              <w:rPr>
                <w:b/>
                <w:bCs/>
                <w:color w:val="FFFFFF"/>
                <w:sz w:val="19"/>
                <w:szCs w:val="19"/>
              </w:rPr>
              <w:t xml:space="preserve">Total Sales ($)</w:t>
            </w:r>
          </w:p>
        </w:tc>
        <w:tc>
          <w:tcPr>
            <w:tcW w:type="dxa" w:w="2520"/>
            <w:shd w:fill="1F3864" w:val="clear"/>
            <w:tcMar>
              <w:top w:type="dxa" w:w="90"/>
              <w:left w:type="dxa" w:w="120"/>
              <w:bottom w:type="dxa" w:w="90"/>
              <w:right w:type="dxa" w:w="120"/>
            </w:tcMar>
            <w:vAlign w:val="center"/>
          </w:tcPr>
          <w:p>
            <w:pPr>
              <w:jc w:val="right"/>
            </w:pPr>
            <w:r>
              <w:rPr>
                <w:b/>
                <w:bCs/>
                <w:color w:val="FFFFFF"/>
                <w:sz w:val="19"/>
                <w:szCs w:val="19"/>
              </w:rPr>
              <w:t xml:space="preserve">Share of Total</w:t>
            </w:r>
          </w:p>
        </w:tc>
      </w:tr>
      <w:tr>
        <w:tc>
          <w:tcPr>
            <w:tcW w:type="dxa" w:w="403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West</w:t>
            </w:r>
          </w:p>
        </w:tc>
        <w:tc>
          <w:tcPr>
            <w:tcW w:type="dxa" w:w="3528"/>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725,457.82</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31.6%</w:t>
            </w:r>
          </w:p>
        </w:tc>
      </w:tr>
      <w:tr>
        <w:tc>
          <w:tcPr>
            <w:tcW w:type="dxa" w:w="403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East</w:t>
            </w:r>
          </w:p>
        </w:tc>
        <w:tc>
          <w:tcPr>
            <w:tcW w:type="dxa" w:w="3528"/>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678,781.24</w:t>
            </w:r>
          </w:p>
        </w:tc>
        <w:tc>
          <w:tcPr>
            <w:tcW w:type="dxa" w:w="25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29.5%</w:t>
            </w:r>
          </w:p>
        </w:tc>
      </w:tr>
      <w:tr>
        <w:tc>
          <w:tcPr>
            <w:tcW w:type="dxa" w:w="403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Central</w:t>
            </w:r>
          </w:p>
        </w:tc>
        <w:tc>
          <w:tcPr>
            <w:tcW w:type="dxa" w:w="3528"/>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501,239.89</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21.8%</w:t>
            </w:r>
          </w:p>
        </w:tc>
      </w:tr>
      <w:tr>
        <w:tc>
          <w:tcPr>
            <w:tcW w:type="dxa" w:w="403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South</w:t>
            </w:r>
          </w:p>
        </w:tc>
        <w:tc>
          <w:tcPr>
            <w:tcW w:type="dxa" w:w="3528"/>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391,721.91</w:t>
            </w:r>
          </w:p>
        </w:tc>
        <w:tc>
          <w:tcPr>
            <w:tcW w:type="dxa" w:w="25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17.1%</w:t>
            </w:r>
          </w:p>
        </w:tc>
      </w:tr>
    </w:tbl>
    <w:p>
      <w:pPr>
        <w:spacing w:after="140" w:line="276"/>
        <w:jc w:val="both"/>
      </w:pPr>
      <w:r>
        <w:rPr>
          <w:i/>
          <w:iCs/>
          <w:color w:val="595959"/>
          <w:sz w:val="21"/>
          <w:szCs w:val="21"/>
        </w:rPr>
        <w:t xml:space="preserve">Note: profit-by-region is intentionally not reported here — see the data-quality note in Section 7. Regional figures above are sales-only and reconcile exactly with the Power BI dashboard.</w:t>
      </w:r>
    </w:p>
    <w:p>
      <w:pPr>
        <w:pStyle w:val="Heading1"/>
        <w:pBdr>
          <w:bottom w:val="single" w:color="1F3864" w:sz="8" w:space="4"/>
        </w:pBdr>
        <w:spacing w:after="140" w:before="320"/>
      </w:pPr>
      <w:r>
        <w:rPr>
          <w:b/>
          <w:bCs/>
          <w:color w:val="1F3864"/>
          <w:sz w:val="26"/>
          <w:szCs w:val="26"/>
        </w:rPr>
        <w:t xml:space="preserve">3. Category Profitability</w:t>
      </w:r>
    </w:p>
    <w:p>
      <w:pPr>
        <w:spacing w:after="40"/>
      </w:pPr>
      <w:r>
        <w:rPr>
          <w:i/>
          <w:iCs/>
          <w:color w:val="595959"/>
          <w:sz w:val="18"/>
          <w:szCs w:val="18"/>
        </w:rPr>
        <w:t xml:space="preserve">Which category is most profitable?</w:t>
      </w:r>
    </w:p>
    <w:p>
      <w:pPr>
        <w:spacing w:after="140" w:line="276"/>
        <w:jc w:val="both"/>
      </w:pPr>
      <w:r>
        <w:rPr>
          <w:color w:val="262626"/>
          <w:sz w:val="21"/>
          <w:szCs w:val="21"/>
        </w:rPr>
        <w:t xml:space="preserve">Technology is the most profitable category in both absolute and percentage terms, generating $145,454.95 in profit at a 17.4% margin. Office Supplies is close behind at $122,490.80 profit (17.0% margin). Furniture stands out as the weak point: despite generating the highest sales of the three categories ($741,999.80), it converts only 2.5% of that into profit ($18,451.27) — the thinnest margin by a wide distance.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2520"/>
        <w:gridCol w:w="2520"/>
        <w:gridCol w:w="2016"/>
      </w:tblGrid>
      <w:tr>
        <w:trPr>
          <w:tblHeader/>
        </w:trPr>
        <w:tc>
          <w:tcPr>
            <w:tcW w:type="dxa" w:w="3024"/>
            <w:shd w:fill="1F3864" w:val="clear"/>
            <w:tcMar>
              <w:top w:type="dxa" w:w="90"/>
              <w:left w:type="dxa" w:w="120"/>
              <w:bottom w:type="dxa" w:w="90"/>
              <w:right w:type="dxa" w:w="120"/>
            </w:tcMar>
            <w:vAlign w:val="center"/>
          </w:tcPr>
          <w:p>
            <w:pPr>
              <w:jc w:val="left"/>
            </w:pPr>
            <w:r>
              <w:rPr>
                <w:b/>
                <w:bCs/>
                <w:color w:val="FFFFFF"/>
                <w:sz w:val="19"/>
                <w:szCs w:val="19"/>
              </w:rPr>
              <w:t xml:space="preserve">Category</w:t>
            </w:r>
          </w:p>
        </w:tc>
        <w:tc>
          <w:tcPr>
            <w:tcW w:type="dxa" w:w="2520"/>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520"/>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2016"/>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r>
      <w:tr>
        <w:tc>
          <w:tcPr>
            <w:tcW w:type="dxa" w:w="302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Technology</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836,154.03</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145,454.95</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17.4%</w:t>
            </w:r>
          </w:p>
        </w:tc>
      </w:tr>
      <w:tr>
        <w:tc>
          <w:tcPr>
            <w:tcW w:type="dxa" w:w="3024"/>
            <w:shd w:fill="FFFFFF" w:val="clear"/>
            <w:tcMar>
              <w:top w:type="dxa" w:w="80"/>
              <w:left w:type="dxa" w:w="120"/>
              <w:bottom w:type="dxa" w:w="80"/>
              <w:right w:type="dxa" w:w="120"/>
            </w:tcMar>
            <w:vAlign w:val="center"/>
          </w:tcPr>
          <w:p>
            <w:pPr>
              <w:jc w:val="left"/>
            </w:pPr>
            <w:r>
              <w:rPr>
                <w:b w:val="false"/>
                <w:bCs w:val="false"/>
                <w:color w:val="262626"/>
                <w:sz w:val="19"/>
                <w:szCs w:val="19"/>
              </w:rPr>
              <w:t xml:space="preserve">Office Supplies</w:t>
            </w:r>
          </w:p>
        </w:tc>
        <w:tc>
          <w:tcPr>
            <w:tcW w:type="dxa" w:w="25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719,047.03</w:t>
            </w:r>
          </w:p>
        </w:tc>
        <w:tc>
          <w:tcPr>
            <w:tcW w:type="dxa" w:w="25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122,490.80</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17.0%</w:t>
            </w:r>
          </w:p>
        </w:tc>
      </w:tr>
      <w:tr>
        <w:tc>
          <w:tcPr>
            <w:tcW w:type="dxa" w:w="302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Furniture</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741,999.80</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18,451.27</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2.5%</w:t>
            </w:r>
          </w:p>
        </w:tc>
      </w:tr>
    </w:tbl>
    <w:p>
      <w:pPr>
        <w:spacing w:after="140" w:line="276"/>
        <w:jc w:val="both"/>
      </w:pPr>
      <w:r>
        <w:rPr>
          <w:color w:val="262626"/>
          <w:sz w:val="21"/>
          <w:szCs w:val="21"/>
        </w:rPr>
        <w:t xml:space="preserve">Furniture selling nearly as much as Technology while returning barely a tenth of the profit is the clearest category-level red flag in this dataset — and, as Section 5 shows, discounting is the primary cause.</w:t>
      </w:r>
    </w:p>
    <w:p>
      <w:pPr>
        <w:pStyle w:val="Heading1"/>
        <w:pBdr>
          <w:bottom w:val="single" w:color="1F3864" w:sz="8" w:space="4"/>
        </w:pBdr>
        <w:spacing w:after="140" w:before="320"/>
      </w:pPr>
      <w:r>
        <w:rPr>
          <w:b/>
          <w:bCs/>
          <w:color w:val="1F3864"/>
          <w:sz w:val="26"/>
          <w:szCs w:val="26"/>
        </w:rPr>
        <w:t xml:space="preserve">4. Customer Segment Analysis</w:t>
      </w:r>
    </w:p>
    <w:p>
      <w:pPr>
        <w:spacing w:after="140" w:line="276"/>
        <w:jc w:val="both"/>
      </w:pPr>
      <w:r>
        <w:rPr>
          <w:color w:val="262626"/>
          <w:sz w:val="21"/>
          <w:szCs w:val="21"/>
        </w:rPr>
        <w:t xml:space="preserve">The Consumer segment drives 50.6% of total sales ($1,161,401.34), roughly equal to Corporate ($706,146.37, 30.7%) and Home Office ($429,653.15, 18.7%) combined.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3528"/>
        <w:gridCol w:w="2520"/>
      </w:tblGrid>
      <w:tr>
        <w:trPr>
          <w:tblHeader/>
        </w:trPr>
        <w:tc>
          <w:tcPr>
            <w:tcW w:type="dxa" w:w="4032"/>
            <w:shd w:fill="1F3864" w:val="clear"/>
            <w:tcMar>
              <w:top w:type="dxa" w:w="90"/>
              <w:left w:type="dxa" w:w="120"/>
              <w:bottom w:type="dxa" w:w="90"/>
              <w:right w:type="dxa" w:w="120"/>
            </w:tcMar>
            <w:vAlign w:val="center"/>
          </w:tcPr>
          <w:p>
            <w:pPr>
              <w:jc w:val="left"/>
            </w:pPr>
            <w:r>
              <w:rPr>
                <w:b/>
                <w:bCs/>
                <w:color w:val="FFFFFF"/>
                <w:sz w:val="19"/>
                <w:szCs w:val="19"/>
              </w:rPr>
              <w:t xml:space="preserve">Segment</w:t>
            </w:r>
          </w:p>
        </w:tc>
        <w:tc>
          <w:tcPr>
            <w:tcW w:type="dxa" w:w="3528"/>
            <w:shd w:fill="1F3864" w:val="clear"/>
            <w:tcMar>
              <w:top w:type="dxa" w:w="90"/>
              <w:left w:type="dxa" w:w="120"/>
              <w:bottom w:type="dxa" w:w="90"/>
              <w:right w:type="dxa" w:w="120"/>
            </w:tcMar>
            <w:vAlign w:val="center"/>
          </w:tcPr>
          <w:p>
            <w:pPr>
              <w:jc w:val="right"/>
            </w:pPr>
            <w:r>
              <w:rPr>
                <w:b/>
                <w:bCs/>
                <w:color w:val="FFFFFF"/>
                <w:sz w:val="19"/>
                <w:szCs w:val="19"/>
              </w:rPr>
              <w:t xml:space="preserve">Total Sales ($)</w:t>
            </w:r>
          </w:p>
        </w:tc>
        <w:tc>
          <w:tcPr>
            <w:tcW w:type="dxa" w:w="2520"/>
            <w:shd w:fill="1F3864" w:val="clear"/>
            <w:tcMar>
              <w:top w:type="dxa" w:w="90"/>
              <w:left w:type="dxa" w:w="120"/>
              <w:bottom w:type="dxa" w:w="90"/>
              <w:right w:type="dxa" w:w="120"/>
            </w:tcMar>
            <w:vAlign w:val="center"/>
          </w:tcPr>
          <w:p>
            <w:pPr>
              <w:jc w:val="right"/>
            </w:pPr>
            <w:r>
              <w:rPr>
                <w:b/>
                <w:bCs/>
                <w:color w:val="FFFFFF"/>
                <w:sz w:val="19"/>
                <w:szCs w:val="19"/>
              </w:rPr>
              <w:t xml:space="preserve">Share of Total</w:t>
            </w:r>
          </w:p>
        </w:tc>
      </w:tr>
      <w:tr>
        <w:tc>
          <w:tcPr>
            <w:tcW w:type="dxa" w:w="403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Consumer</w:t>
            </w:r>
          </w:p>
        </w:tc>
        <w:tc>
          <w:tcPr>
            <w:tcW w:type="dxa" w:w="3528"/>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1,161,401.34</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50.6%</w:t>
            </w:r>
          </w:p>
        </w:tc>
      </w:tr>
      <w:tr>
        <w:tc>
          <w:tcPr>
            <w:tcW w:type="dxa" w:w="403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Corporate</w:t>
            </w:r>
          </w:p>
        </w:tc>
        <w:tc>
          <w:tcPr>
            <w:tcW w:type="dxa" w:w="3528"/>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706,146.37</w:t>
            </w:r>
          </w:p>
        </w:tc>
        <w:tc>
          <w:tcPr>
            <w:tcW w:type="dxa" w:w="2520"/>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30.7%</w:t>
            </w:r>
          </w:p>
        </w:tc>
      </w:tr>
      <w:tr>
        <w:tc>
          <w:tcPr>
            <w:tcW w:type="dxa" w:w="403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Home Office</w:t>
            </w:r>
          </w:p>
        </w:tc>
        <w:tc>
          <w:tcPr>
            <w:tcW w:type="dxa" w:w="3528"/>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429,653.15</w:t>
            </w:r>
          </w:p>
        </w:tc>
        <w:tc>
          <w:tcPr>
            <w:tcW w:type="dxa" w:w="2520"/>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18.7%</w:t>
            </w:r>
          </w:p>
        </w:tc>
      </w:tr>
    </w:tbl>
    <w:p>
      <w:r>
        <w:br w:type="page"/>
      </w:r>
    </w:p>
    <w:p>
      <w:pPr>
        <w:pStyle w:val="Heading1"/>
        <w:pBdr>
          <w:bottom w:val="single" w:color="1F3864" w:sz="8" w:space="4"/>
        </w:pBdr>
        <w:spacing w:after="140" w:before="320"/>
      </w:pPr>
      <w:r>
        <w:rPr>
          <w:b/>
          <w:bCs/>
          <w:color w:val="1F3864"/>
          <w:sz w:val="26"/>
          <w:szCs w:val="26"/>
        </w:rPr>
        <w:t xml:space="preserve">5. Discount Impact on Profit</w:t>
      </w:r>
    </w:p>
    <w:p>
      <w:pPr>
        <w:spacing w:after="40"/>
      </w:pPr>
      <w:r>
        <w:rPr>
          <w:i/>
          <w:iCs/>
          <w:color w:val="595959"/>
          <w:sz w:val="18"/>
          <w:szCs w:val="18"/>
        </w:rPr>
        <w:t xml:space="preserve">Are discounts affecting profit?</w:t>
      </w:r>
    </w:p>
    <w:p>
      <w:pPr>
        <w:spacing w:after="140" w:line="276"/>
        <w:jc w:val="both"/>
      </w:pPr>
      <w:r>
        <w:rPr>
          <w:color w:val="262626"/>
          <w:sz w:val="21"/>
          <w:szCs w:val="21"/>
        </w:rPr>
        <w:t xml:space="preserve">Yes — decisively. Profit margin declines steadily as discount rate increases, and turns negative at every discount tier of 30% or above. Orders with no discount return a healthy 29.5% margin; by the time discount reaches 70–80%, margin collapses to between -99% and -180%, meaning the company loses more than it earns on every rupee of sales in that band.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822"/>
        <w:gridCol w:w="2721"/>
        <w:gridCol w:w="2016"/>
      </w:tblGrid>
      <w:tr>
        <w:trPr>
          <w:tblHeader/>
        </w:trPr>
        <w:tc>
          <w:tcPr>
            <w:tcW w:type="dxa" w:w="2520"/>
            <w:shd w:fill="1F3864" w:val="clear"/>
            <w:tcMar>
              <w:top w:type="dxa" w:w="90"/>
              <w:left w:type="dxa" w:w="120"/>
              <w:bottom w:type="dxa" w:w="90"/>
              <w:right w:type="dxa" w:w="120"/>
            </w:tcMar>
            <w:vAlign w:val="center"/>
          </w:tcPr>
          <w:p>
            <w:pPr>
              <w:jc w:val="left"/>
            </w:pPr>
            <w:r>
              <w:rPr>
                <w:b/>
                <w:bCs/>
                <w:color w:val="FFFFFF"/>
                <w:sz w:val="19"/>
                <w:szCs w:val="19"/>
              </w:rPr>
              <w:t xml:space="preserve">Discount Rate</w:t>
            </w:r>
          </w:p>
        </w:tc>
        <w:tc>
          <w:tcPr>
            <w:tcW w:type="dxa" w:w="2822"/>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721"/>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2016"/>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r>
      <w:tr>
        <w:tc>
          <w:tcPr>
            <w:tcW w:type="dxa" w:w="252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0%</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1,087,908.47</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320,987.60</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29.5%</w:t>
            </w:r>
          </w:p>
        </w:tc>
      </w:tr>
      <w:tr>
        <w:tc>
          <w:tcPr>
            <w:tcW w:type="dxa" w:w="252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10%</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54,369.35</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9,029.18</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16.6%</w:t>
            </w:r>
          </w:p>
        </w:tc>
      </w:tr>
      <w:tr>
        <w:tc>
          <w:tcPr>
            <w:tcW w:type="dxa" w:w="252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15%</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27,558.52</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1,418.99</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5.2%</w:t>
            </w:r>
          </w:p>
        </w:tc>
      </w:tr>
      <w:tr>
        <w:tc>
          <w:tcPr>
            <w:tcW w:type="dxa" w:w="252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20%</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764,594.37</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90,337.31</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11.8%</w:t>
            </w:r>
          </w:p>
        </w:tc>
      </w:tr>
      <w:tr>
        <w:tc>
          <w:tcPr>
            <w:tcW w:type="dxa" w:w="252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30%</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103,226.65</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-10,369.28</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-10.1%</w:t>
            </w:r>
          </w:p>
        </w:tc>
      </w:tr>
      <w:tr>
        <w:tc>
          <w:tcPr>
            <w:tcW w:type="dxa" w:w="252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32%</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14,493.46</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-2,391.14</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-16.5%</w:t>
            </w:r>
          </w:p>
        </w:tc>
      </w:tr>
      <w:tr>
        <w:tc>
          <w:tcPr>
            <w:tcW w:type="dxa" w:w="252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40%</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116,417.78</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-23,057.05</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-19.8%</w:t>
            </w:r>
          </w:p>
        </w:tc>
      </w:tr>
      <w:tr>
        <w:tc>
          <w:tcPr>
            <w:tcW w:type="dxa" w:w="252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45%</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5,484.97</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-2,493.11</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-45.5%</w:t>
            </w:r>
          </w:p>
        </w:tc>
      </w:tr>
      <w:tr>
        <w:tc>
          <w:tcPr>
            <w:tcW w:type="dxa" w:w="252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50%</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58,918.54</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-20,506.43</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-34.8%</w:t>
            </w:r>
          </w:p>
        </w:tc>
      </w:tr>
      <w:tr>
        <w:tc>
          <w:tcPr>
            <w:tcW w:type="dxa" w:w="252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60%</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6,644.70</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-5,944.66</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-89.5%</w:t>
            </w:r>
          </w:p>
        </w:tc>
      </w:tr>
      <w:tr>
        <w:tc>
          <w:tcPr>
            <w:tcW w:type="dxa" w:w="2520"/>
            <w:shd w:fill="F2F6FA" w:val="clear"/>
            <w:tcMar>
              <w:top w:type="dxa" w:w="80"/>
              <w:left w:type="dxa" w:w="120"/>
              <w:bottom w:type="dxa" w:w="80"/>
              <w:right w:type="dxa" w:w="120"/>
            </w:tcMar>
            <w:vAlign w:val="center"/>
          </w:tcPr>
          <w:p>
            <w:pPr>
              <w:jc w:val="left"/>
            </w:pPr>
            <w:r>
              <w:rPr>
                <w:b w:val="false"/>
                <w:bCs w:val="false"/>
                <w:color w:val="262626"/>
                <w:sz w:val="19"/>
                <w:szCs w:val="19"/>
              </w:rPr>
              <w:t xml:space="preserve">70%</w:t>
            </w:r>
          </w:p>
        </w:tc>
        <w:tc>
          <w:tcPr>
            <w:tcW w:type="dxa" w:w="282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40,620.28</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-40,075.36</w:t>
            </w:r>
          </w:p>
        </w:tc>
        <w:tc>
          <w:tcPr>
            <w:tcW w:type="dxa" w:w="201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-98.7%</w:t>
            </w:r>
          </w:p>
        </w:tc>
      </w:tr>
      <w:tr>
        <w:tc>
          <w:tcPr>
            <w:tcW w:type="dxa" w:w="2520"/>
            <w:shd w:fill="FFFFFF" w:val="clear"/>
            <w:tcMar>
              <w:top w:type="dxa" w:w="80"/>
              <w:left w:type="dxa" w:w="120"/>
              <w:bottom w:type="dxa" w:w="80"/>
              <w:right w:type="dxa" w:w="120"/>
            </w:tcMar>
            <w:vAlign w:val="center"/>
          </w:tcPr>
          <w:p>
            <w:pPr>
              <w:jc w:val="left"/>
            </w:pPr>
            <w:r>
              <w:rPr>
                <w:b w:val="false"/>
                <w:bCs w:val="false"/>
                <w:color w:val="262626"/>
                <w:sz w:val="19"/>
                <w:szCs w:val="19"/>
              </w:rPr>
              <w:t xml:space="preserve">80%</w:t>
            </w:r>
          </w:p>
        </w:tc>
        <w:tc>
          <w:tcPr>
            <w:tcW w:type="dxa" w:w="282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16,963.76</w:t>
            </w:r>
          </w:p>
        </w:tc>
        <w:tc>
          <w:tcPr>
            <w:tcW w:type="dxa" w:w="2721"/>
            <w:shd w:fill="FCE4E4" w:val="clear"/>
            <w:tcMar>
              <w:top w:type="dxa" w:w="80"/>
              <w:left w:type="dxa" w:w="120"/>
              <w:bottom w:type="dxa" w:w="80"/>
              <w:right w:type="dxa" w:w="120"/>
            </w:tcMar>
            <w:vAlign w:val="center"/>
          </w:tcPr>
          <w:p>
            <w:pPr>
              <w:jc w:val="right"/>
            </w:pPr>
            <w:r>
              <w:rPr>
                <w:b/>
                <w:bCs/>
                <w:color w:val="C00000"/>
                <w:sz w:val="19"/>
                <w:szCs w:val="19"/>
              </w:rPr>
              <w:t xml:space="preserve">-30,539.04</w:t>
            </w:r>
          </w:p>
        </w:tc>
        <w:tc>
          <w:tcPr>
            <w:tcW w:type="dxa" w:w="201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-180.0%</w:t>
            </w:r>
          </w:p>
        </w:tc>
      </w:tr>
    </w:tbl>
    <w:p>
      <w:pPr>
        <w:spacing w:after="140" w:line="276"/>
        <w:jc w:val="both"/>
      </w:pPr>
      <w:r>
        <w:rPr>
          <w:color w:val="262626"/>
          <w:sz w:val="21"/>
          <w:szCs w:val="21"/>
        </w:rPr>
        <w:t xml:space="preserve">Orders discounted at 30% or higher account for $362,770 in sales (15.8% of total sales) but collectively destroyed $135,376 in profit — money that would otherwise have flowed straight to the bottom line. This single factor explains the bulk of Furniture's weak margin, since Furniture is the category most frequently sold at steep discounts.</w:t>
      </w:r>
    </w:p>
    <w:p>
      <w:pPr>
        <w:pStyle w:val="Heading1"/>
        <w:pBdr>
          <w:bottom w:val="single" w:color="1F3864" w:sz="8" w:space="4"/>
        </w:pBdr>
        <w:spacing w:after="140" w:before="320"/>
      </w:pPr>
      <w:r>
        <w:rPr>
          <w:b/>
          <w:bCs/>
          <w:color w:val="1F3864"/>
          <w:sz w:val="26"/>
          <w:szCs w:val="26"/>
        </w:rPr>
        <w:t xml:space="preserve">6. Sales &amp; Profit Trend</w:t>
      </w:r>
    </w:p>
    <w:p>
      <w:pPr>
        <w:spacing w:after="40"/>
      </w:pPr>
      <w:r>
        <w:rPr>
          <w:i/>
          <w:iCs/>
          <w:color w:val="595959"/>
          <w:sz w:val="18"/>
          <w:szCs w:val="18"/>
        </w:rPr>
        <w:t xml:space="preserve">Is the business growing, and which month performs best?</w:t>
      </w:r>
    </w:p>
    <w:p>
      <w:pPr>
        <w:pStyle w:val="Heading2"/>
        <w:spacing w:after="100" w:before="220"/>
      </w:pPr>
      <w:r>
        <w:rPr>
          <w:b/>
          <w:bCs/>
          <w:color w:val="2E74B5"/>
          <w:sz w:val="22"/>
          <w:szCs w:val="22"/>
        </w:rPr>
        <w:t xml:space="preserve">Year-over-Year Performance</w:t>
      </w:r>
    </w:p>
    <w:p>
      <w:pPr>
        <w:spacing w:after="140" w:line="276"/>
        <w:jc w:val="both"/>
      </w:pPr>
      <w:r>
        <w:rPr>
          <w:color w:val="262626"/>
          <w:sz w:val="21"/>
          <w:szCs w:val="21"/>
        </w:rPr>
        <w:t xml:space="preserve">Sales grew from $484,247.50 (2014) to $733,215.26 (2017) — a 14.8% CAGR. Profit grew faster, from $49,543.97 to $93,439.27, an 23.5% CAGR — meaning profitability is improving ahead of revenue, a healthy sign, though margin has stayed in a narrow 10–13% band rather than expanding consistently.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2721"/>
        <w:gridCol w:w="2721"/>
        <w:gridCol w:w="1612"/>
        <w:gridCol w:w="1512"/>
      </w:tblGrid>
      <w:tr>
        <w:trPr>
          <w:tblHeader/>
        </w:trPr>
        <w:tc>
          <w:tcPr>
            <w:tcW w:type="dxa" w:w="1512"/>
            <w:shd w:fill="1F3864" w:val="clear"/>
            <w:tcMar>
              <w:top w:type="dxa" w:w="90"/>
              <w:left w:type="dxa" w:w="120"/>
              <w:bottom w:type="dxa" w:w="90"/>
              <w:right w:type="dxa" w:w="120"/>
            </w:tcMar>
            <w:vAlign w:val="center"/>
          </w:tcPr>
          <w:p>
            <w:pPr>
              <w:jc w:val="left"/>
            </w:pPr>
            <w:r>
              <w:rPr>
                <w:b/>
                <w:bCs/>
                <w:color w:val="FFFFFF"/>
                <w:sz w:val="19"/>
                <w:szCs w:val="19"/>
              </w:rPr>
              <w:t xml:space="preserve">Year</w:t>
            </w:r>
          </w:p>
        </w:tc>
        <w:tc>
          <w:tcPr>
            <w:tcW w:type="dxa" w:w="2721"/>
            <w:shd w:fill="1F3864" w:val="clear"/>
            <w:tcMar>
              <w:top w:type="dxa" w:w="90"/>
              <w:left w:type="dxa" w:w="120"/>
              <w:bottom w:type="dxa" w:w="90"/>
              <w:right w:type="dxa" w:w="120"/>
            </w:tcMar>
            <w:vAlign w:val="center"/>
          </w:tcPr>
          <w:p>
            <w:pPr>
              <w:jc w:val="right"/>
            </w:pPr>
            <w:r>
              <w:rPr>
                <w:b/>
                <w:bCs/>
                <w:color w:val="FFFFFF"/>
                <w:sz w:val="19"/>
                <w:szCs w:val="19"/>
              </w:rPr>
              <w:t xml:space="preserve">Sales ($)</w:t>
            </w:r>
          </w:p>
        </w:tc>
        <w:tc>
          <w:tcPr>
            <w:tcW w:type="dxa" w:w="2721"/>
            <w:shd w:fill="1F3864" w:val="clear"/>
            <w:tcMar>
              <w:top w:type="dxa" w:w="90"/>
              <w:left w:type="dxa" w:w="120"/>
              <w:bottom w:type="dxa" w:w="90"/>
              <w:right w:type="dxa" w:w="120"/>
            </w:tcMar>
            <w:vAlign w:val="center"/>
          </w:tcPr>
          <w:p>
            <w:pPr>
              <w:jc w:val="right"/>
            </w:pPr>
            <w:r>
              <w:rPr>
                <w:b/>
                <w:bCs/>
                <w:color w:val="FFFFFF"/>
                <w:sz w:val="19"/>
                <w:szCs w:val="19"/>
              </w:rPr>
              <w:t xml:space="preserve">Profit ($)</w:t>
            </w:r>
          </w:p>
        </w:tc>
        <w:tc>
          <w:tcPr>
            <w:tcW w:type="dxa" w:w="1612"/>
            <w:shd w:fill="1F3864" w:val="clear"/>
            <w:tcMar>
              <w:top w:type="dxa" w:w="90"/>
              <w:left w:type="dxa" w:w="120"/>
              <w:bottom w:type="dxa" w:w="90"/>
              <w:right w:type="dxa" w:w="120"/>
            </w:tcMar>
            <w:vAlign w:val="center"/>
          </w:tcPr>
          <w:p>
            <w:pPr>
              <w:jc w:val="right"/>
            </w:pPr>
            <w:r>
              <w:rPr>
                <w:b/>
                <w:bCs/>
                <w:color w:val="FFFFFF"/>
                <w:sz w:val="19"/>
                <w:szCs w:val="19"/>
              </w:rPr>
              <w:t xml:space="preserve">Margin</w:t>
            </w:r>
          </w:p>
        </w:tc>
        <w:tc>
          <w:tcPr>
            <w:tcW w:type="dxa" w:w="1512"/>
            <w:shd w:fill="1F3864" w:val="clear"/>
            <w:tcMar>
              <w:top w:type="dxa" w:w="90"/>
              <w:left w:type="dxa" w:w="120"/>
              <w:bottom w:type="dxa" w:w="90"/>
              <w:right w:type="dxa" w:w="120"/>
            </w:tcMar>
            <w:vAlign w:val="center"/>
          </w:tcPr>
          <w:p>
            <w:pPr>
              <w:jc w:val="right"/>
            </w:pPr>
            <w:r>
              <w:rPr>
                <w:b/>
                <w:bCs/>
                <w:color w:val="FFFFFF"/>
                <w:sz w:val="19"/>
                <w:szCs w:val="19"/>
              </w:rPr>
              <w:t xml:space="preserve">Orders</w:t>
            </w:r>
          </w:p>
        </w:tc>
      </w:tr>
      <w:tr>
        <w:tc>
          <w:tcPr>
            <w:tcW w:type="dxa" w:w="151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2014</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484,247.50</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49,543.97</w:t>
            </w:r>
          </w:p>
        </w:tc>
        <w:tc>
          <w:tcPr>
            <w:tcW w:type="dxa" w:w="161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10.2%</w:t>
            </w:r>
          </w:p>
        </w:tc>
        <w:tc>
          <w:tcPr>
            <w:tcW w:type="dxa" w:w="151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969</w:t>
            </w:r>
          </w:p>
        </w:tc>
      </w:tr>
      <w:tr>
        <w:tc>
          <w:tcPr>
            <w:tcW w:type="dxa" w:w="151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2015</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470,532.51</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61,618.60</w:t>
            </w:r>
          </w:p>
        </w:tc>
        <w:tc>
          <w:tcPr>
            <w:tcW w:type="dxa" w:w="161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13.1%</w:t>
            </w:r>
          </w:p>
        </w:tc>
        <w:tc>
          <w:tcPr>
            <w:tcW w:type="dxa" w:w="151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1,038</w:t>
            </w:r>
          </w:p>
        </w:tc>
      </w:tr>
      <w:tr>
        <w:tc>
          <w:tcPr>
            <w:tcW w:type="dxa" w:w="1512"/>
            <w:shd w:fill="F2F6FA" w:val="clear"/>
            <w:tcMar>
              <w:top w:type="dxa" w:w="80"/>
              <w:left w:type="dxa" w:w="120"/>
              <w:bottom w:type="dxa" w:w="80"/>
              <w:right w:type="dxa" w:w="120"/>
            </w:tcMar>
            <w:vAlign w:val="center"/>
          </w:tcPr>
          <w:p>
            <w:pPr>
              <w:jc w:val="left"/>
            </w:pPr>
            <w:r>
              <w:rPr>
                <w:b w:val="false"/>
                <w:bCs w:val="false"/>
                <w:color w:val="262626"/>
                <w:sz w:val="19"/>
                <w:szCs w:val="19"/>
              </w:rPr>
              <w:t xml:space="preserve">2016</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609,205.60</w:t>
            </w:r>
          </w:p>
        </w:tc>
        <w:tc>
          <w:tcPr>
            <w:tcW w:type="dxa" w:w="2721"/>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81,795.17</w:t>
            </w:r>
          </w:p>
        </w:tc>
        <w:tc>
          <w:tcPr>
            <w:tcW w:type="dxa" w:w="161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13.4%</w:t>
            </w:r>
          </w:p>
        </w:tc>
        <w:tc>
          <w:tcPr>
            <w:tcW w:type="dxa" w:w="1512"/>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1,315</w:t>
            </w:r>
          </w:p>
        </w:tc>
      </w:tr>
      <w:tr>
        <w:tc>
          <w:tcPr>
            <w:tcW w:type="dxa" w:w="1512"/>
            <w:shd w:fill="FFFFFF" w:val="clear"/>
            <w:tcMar>
              <w:top w:type="dxa" w:w="80"/>
              <w:left w:type="dxa" w:w="120"/>
              <w:bottom w:type="dxa" w:w="80"/>
              <w:right w:type="dxa" w:w="120"/>
            </w:tcMar>
            <w:vAlign w:val="center"/>
          </w:tcPr>
          <w:p>
            <w:pPr>
              <w:jc w:val="left"/>
            </w:pPr>
            <w:r>
              <w:rPr>
                <w:b w:val="false"/>
                <w:bCs w:val="false"/>
                <w:color w:val="262626"/>
                <w:sz w:val="19"/>
                <w:szCs w:val="19"/>
              </w:rPr>
              <w:t xml:space="preserve">2017</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733,215.26</w:t>
            </w:r>
          </w:p>
        </w:tc>
        <w:tc>
          <w:tcPr>
            <w:tcW w:type="dxa" w:w="2721"/>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93,439.27</w:t>
            </w:r>
          </w:p>
        </w:tc>
        <w:tc>
          <w:tcPr>
            <w:tcW w:type="dxa" w:w="161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12.7%</w:t>
            </w:r>
          </w:p>
        </w:tc>
        <w:tc>
          <w:tcPr>
            <w:tcW w:type="dxa" w:w="1512"/>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1,687</w:t>
            </w:r>
          </w:p>
        </w:tc>
      </w:tr>
    </w:tbl>
    <w:p>
      <w:pPr>
        <w:pStyle w:val="Heading2"/>
        <w:spacing w:after="100" w:before="220"/>
      </w:pPr>
      <w:r>
        <w:rPr>
          <w:b/>
          <w:bCs/>
          <w:color w:val="2E74B5"/>
          <w:sz w:val="22"/>
          <w:szCs w:val="22"/>
        </w:rPr>
        <w:t xml:space="preserve">Seasonality</w:t>
      </w:r>
    </w:p>
    <w:p>
      <w:pPr>
        <w:spacing w:after="140" w:line="276"/>
        <w:jc w:val="both"/>
      </w:pPr>
      <w:r>
        <w:rPr>
          <w:color w:val="262626"/>
          <w:sz w:val="21"/>
          <w:szCs w:val="21"/>
        </w:rPr>
        <w:t xml:space="preserve">November is the strongest month overall ($271,693.75 combined across four years), followed by September ($248,989.30) and December ($248,765.33) — a consistent Q4 peak. February is the weakest month every year; November 2017 ($89,306.24) is the single highest-selling month in the entire dataset, and February 2014 ($12,743.11) the lowest.</w:t>
      </w:r>
    </w:p>
    <w:p>
      <w:pPr>
        <w:pStyle w:val="Heading1"/>
        <w:pBdr>
          <w:bottom w:val="single" w:color="1F3864" w:sz="8" w:space="4"/>
        </w:pBdr>
        <w:spacing w:after="140" w:before="320"/>
      </w:pPr>
      <w:r>
        <w:rPr>
          <w:b/>
          <w:bCs/>
          <w:color w:val="1F3864"/>
          <w:sz w:val="26"/>
          <w:szCs w:val="26"/>
        </w:rPr>
        <w:t xml:space="preserve">7. Top Customers</w:t>
      </w:r>
    </w:p>
    <w:p>
      <w:pPr>
        <w:spacing w:after="140" w:line="276"/>
        <w:jc w:val="both"/>
      </w:pPr>
      <w:r>
        <w:rPr>
          <w:color w:val="262626"/>
          <w:sz w:val="21"/>
          <w:szCs w:val="21"/>
        </w:rPr>
        <w:t xml:space="preserve">The top 5 customers by revenue contributed $88,281.80 combined — about 3.8% of total sales from just 5 of 793 customers, headed by Sean Miller at $25,043.05.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shd w:fill="1F3864" w:val="clear"/>
            <w:tcMar>
              <w:top w:type="dxa" w:w="90"/>
              <w:left w:type="dxa" w:w="120"/>
              <w:bottom w:type="dxa" w:w="90"/>
              <w:right w:type="dxa" w:w="120"/>
            </w:tcMar>
            <w:vAlign w:val="center"/>
          </w:tcPr>
          <w:p>
            <w:pPr>
              <w:jc w:val="left"/>
            </w:pPr>
            <w:r>
              <w:rPr>
                <w:b/>
                <w:bCs/>
                <w:color w:val="FFFFFF"/>
                <w:sz w:val="19"/>
                <w:szCs w:val="19"/>
              </w:rPr>
              <w:t xml:space="preserve">Customer</w:t>
            </w:r>
          </w:p>
        </w:tc>
        <w:tc>
          <w:tcPr>
            <w:tcW w:type="dxa" w:w="4536"/>
            <w:shd w:fill="1F3864" w:val="clear"/>
            <w:tcMar>
              <w:top w:type="dxa" w:w="90"/>
              <w:left w:type="dxa" w:w="120"/>
              <w:bottom w:type="dxa" w:w="90"/>
              <w:right w:type="dxa" w:w="120"/>
            </w:tcMar>
            <w:vAlign w:val="center"/>
          </w:tcPr>
          <w:p>
            <w:pPr>
              <w:jc w:val="right"/>
            </w:pPr>
            <w:r>
              <w:rPr>
                <w:b/>
                <w:bCs/>
                <w:color w:val="FFFFFF"/>
                <w:sz w:val="19"/>
                <w:szCs w:val="19"/>
              </w:rPr>
              <w:t xml:space="preserve">Total Sales ($)</w:t>
            </w:r>
          </w:p>
        </w:tc>
      </w:tr>
      <w:tr>
        <w:tc>
          <w:tcPr>
            <w:tcW w:type="dxa" w:w="554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Sean Miller</w:t>
            </w:r>
          </w:p>
        </w:tc>
        <w:tc>
          <w:tcPr>
            <w:tcW w:type="dxa" w:w="453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25,043.05</w:t>
            </w:r>
          </w:p>
        </w:tc>
      </w:tr>
      <w:tr>
        <w:tc>
          <w:tcPr>
            <w:tcW w:type="dxa" w:w="5544"/>
            <w:shd w:fill="FFFFFF" w:val="clear"/>
            <w:tcMar>
              <w:top w:type="dxa" w:w="80"/>
              <w:left w:type="dxa" w:w="120"/>
              <w:bottom w:type="dxa" w:w="80"/>
              <w:right w:type="dxa" w:w="120"/>
            </w:tcMar>
            <w:vAlign w:val="center"/>
          </w:tcPr>
          <w:p>
            <w:pPr>
              <w:jc w:val="left"/>
            </w:pPr>
            <w:r>
              <w:rPr>
                <w:b w:val="false"/>
                <w:bCs w:val="false"/>
                <w:color w:val="262626"/>
                <w:sz w:val="19"/>
                <w:szCs w:val="19"/>
              </w:rPr>
              <w:t xml:space="preserve">Tamara Chand</w:t>
            </w:r>
          </w:p>
        </w:tc>
        <w:tc>
          <w:tcPr>
            <w:tcW w:type="dxa" w:w="453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19,052.22</w:t>
            </w:r>
          </w:p>
        </w:tc>
      </w:tr>
      <w:tr>
        <w:tc>
          <w:tcPr>
            <w:tcW w:type="dxa" w:w="554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Raymond Buch</w:t>
            </w:r>
          </w:p>
        </w:tc>
        <w:tc>
          <w:tcPr>
            <w:tcW w:type="dxa" w:w="453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15,117.34</w:t>
            </w:r>
          </w:p>
        </w:tc>
      </w:tr>
      <w:tr>
        <w:tc>
          <w:tcPr>
            <w:tcW w:type="dxa" w:w="5544"/>
            <w:shd w:fill="FFFFFF" w:val="clear"/>
            <w:tcMar>
              <w:top w:type="dxa" w:w="80"/>
              <w:left w:type="dxa" w:w="120"/>
              <w:bottom w:type="dxa" w:w="80"/>
              <w:right w:type="dxa" w:w="120"/>
            </w:tcMar>
            <w:vAlign w:val="center"/>
          </w:tcPr>
          <w:p>
            <w:pPr>
              <w:jc w:val="left"/>
            </w:pPr>
            <w:r>
              <w:rPr>
                <w:b w:val="false"/>
                <w:bCs w:val="false"/>
                <w:color w:val="262626"/>
                <w:sz w:val="19"/>
                <w:szCs w:val="19"/>
              </w:rPr>
              <w:t xml:space="preserve">Tom Ashbrook</w:t>
            </w:r>
          </w:p>
        </w:tc>
        <w:tc>
          <w:tcPr>
            <w:tcW w:type="dxa" w:w="4536"/>
            <w:shd w:fill="FFFFFF" w:val="clear"/>
            <w:tcMar>
              <w:top w:type="dxa" w:w="80"/>
              <w:left w:type="dxa" w:w="120"/>
              <w:bottom w:type="dxa" w:w="80"/>
              <w:right w:type="dxa" w:w="120"/>
            </w:tcMar>
            <w:vAlign w:val="center"/>
          </w:tcPr>
          <w:p>
            <w:pPr>
              <w:jc w:val="right"/>
            </w:pPr>
            <w:r>
              <w:rPr>
                <w:b w:val="false"/>
                <w:bCs w:val="false"/>
                <w:color w:val="262626"/>
                <w:sz w:val="19"/>
                <w:szCs w:val="19"/>
              </w:rPr>
              <w:t xml:space="preserve">14,595.62</w:t>
            </w:r>
          </w:p>
        </w:tc>
      </w:tr>
      <w:tr>
        <w:tc>
          <w:tcPr>
            <w:tcW w:type="dxa" w:w="5544"/>
            <w:shd w:fill="F2F6FA" w:val="clear"/>
            <w:tcMar>
              <w:top w:type="dxa" w:w="80"/>
              <w:left w:type="dxa" w:w="120"/>
              <w:bottom w:type="dxa" w:w="80"/>
              <w:right w:type="dxa" w:w="120"/>
            </w:tcMar>
            <w:vAlign w:val="center"/>
          </w:tcPr>
          <w:p>
            <w:pPr>
              <w:jc w:val="left"/>
            </w:pPr>
            <w:r>
              <w:rPr>
                <w:b w:val="false"/>
                <w:bCs w:val="false"/>
                <w:color w:val="262626"/>
                <w:sz w:val="19"/>
                <w:szCs w:val="19"/>
              </w:rPr>
              <w:t xml:space="preserve">Adrian Barton</w:t>
            </w:r>
          </w:p>
        </w:tc>
        <w:tc>
          <w:tcPr>
            <w:tcW w:type="dxa" w:w="4536"/>
            <w:shd w:fill="F2F6FA" w:val="clear"/>
            <w:tcMar>
              <w:top w:type="dxa" w:w="80"/>
              <w:left w:type="dxa" w:w="120"/>
              <w:bottom w:type="dxa" w:w="80"/>
              <w:right w:type="dxa" w:w="120"/>
            </w:tcMar>
            <w:vAlign w:val="center"/>
          </w:tcPr>
          <w:p>
            <w:pPr>
              <w:jc w:val="right"/>
            </w:pPr>
            <w:r>
              <w:rPr>
                <w:b w:val="false"/>
                <w:bCs w:val="false"/>
                <w:color w:val="262626"/>
                <w:sz w:val="19"/>
                <w:szCs w:val="19"/>
              </w:rPr>
              <w:t xml:space="preserve">14,473.57</w:t>
            </w:r>
          </w:p>
        </w:tc>
      </w:tr>
    </w:tbl>
    <w:p>
      <w:pPr>
        <w:pStyle w:val="Heading1"/>
        <w:pBdr>
          <w:bottom w:val="single" w:color="1F3864" w:sz="8" w:space="4"/>
        </w:pBdr>
        <w:spacing w:after="140" w:before="320"/>
      </w:pPr>
      <w:r>
        <w:rPr>
          <w:b/>
          <w:bCs/>
          <w:color w:val="1F3864"/>
          <w:sz w:val="26"/>
          <w:szCs w:val="26"/>
        </w:rPr>
        <w:t xml:space="preserve">8. Key Recommendations for Management</w:t>
      </w:r>
    </w:p>
    <w:p>
      <w:pPr>
        <w:pStyle w:val="ListParagraph"/>
        <w:numPr>
          <w:ilvl w:val="0"/>
          <w:numId w:val="1"/>
        </w:numPr>
        <w:spacing w:after="80"/>
      </w:pPr>
      <w:r>
        <w:rPr>
          <w:b w:val="false"/>
          <w:bCs w:val="false"/>
          <w:color w:val="262626"/>
          <w:sz w:val="21"/>
          <w:szCs w:val="21"/>
        </w:rPr>
        <w:t xml:space="preserve">Cap discounts at 20% as a standing policy. Every tier at 30% and above operates at a loss — the data shows no discount level above 25% has returned a positive margin.</w:t>
      </w:r>
    </w:p>
    <w:p>
      <w:pPr>
        <w:pStyle w:val="ListParagraph"/>
        <w:numPr>
          <w:ilvl w:val="0"/>
          <w:numId w:val="1"/>
        </w:numPr>
        <w:spacing w:after="80"/>
      </w:pPr>
      <w:r>
        <w:rPr>
          <w:b w:val="false"/>
          <w:bCs w:val="false"/>
          <w:color w:val="262626"/>
          <w:sz w:val="21"/>
          <w:szCs w:val="21"/>
        </w:rPr>
        <w:t xml:space="preserve">Conduct a Furniture-specific pricing review. The category sells nearly as much as Technology but returns 85% less profit; steep discounting is the likely primary cause and should be audited product-by-product.</w:t>
      </w:r>
    </w:p>
    <w:p>
      <w:pPr>
        <w:pStyle w:val="ListParagraph"/>
        <w:numPr>
          <w:ilvl w:val="0"/>
          <w:numId w:val="1"/>
        </w:numPr>
        <w:spacing w:after="80"/>
      </w:pPr>
      <w:r>
        <w:rPr>
          <w:b w:val="false"/>
          <w:bCs w:val="false"/>
          <w:color w:val="262626"/>
          <w:sz w:val="21"/>
          <w:szCs w:val="21"/>
        </w:rPr>
        <w:t xml:space="preserve">Protect Technology and Office Supplies margins as the two reliable profit engines (17%+ each) while volume growth is pursued elsewhere.</w:t>
      </w:r>
    </w:p>
    <w:p>
      <w:pPr>
        <w:pStyle w:val="ListParagraph"/>
        <w:numPr>
          <w:ilvl w:val="0"/>
          <w:numId w:val="1"/>
        </w:numPr>
        <w:spacing w:after="80"/>
      </w:pPr>
      <w:r>
        <w:rPr>
          <w:b w:val="false"/>
          <w:bCs w:val="false"/>
          <w:color w:val="262626"/>
          <w:sz w:val="21"/>
          <w:szCs w:val="21"/>
        </w:rPr>
        <w:t xml:space="preserve">Invest further in the West and East regions, which together deliver 61% of sales, while running a targeted growth plan for the underperforming South region.</w:t>
      </w:r>
    </w:p>
    <w:p>
      <w:pPr>
        <w:pStyle w:val="ListParagraph"/>
        <w:numPr>
          <w:ilvl w:val="0"/>
          <w:numId w:val="1"/>
        </w:numPr>
        <w:spacing w:after="80"/>
      </w:pPr>
      <w:r>
        <w:rPr>
          <w:b w:val="false"/>
          <w:bCs w:val="false"/>
          <w:color w:val="262626"/>
          <w:sz w:val="21"/>
          <w:szCs w:val="21"/>
        </w:rPr>
        <w:t xml:space="preserve">Plan inventory and staffing around the September–November peak, and design promotions — without deep discounting — to lift the consistently weak February–April window.</w:t>
      </w:r>
    </w:p>
    <w:p>
      <w:pPr>
        <w:pStyle w:val="ListParagraph"/>
        <w:numPr>
          <w:ilvl w:val="0"/>
          <w:numId w:val="1"/>
        </w:numPr>
        <w:spacing w:after="80"/>
      </w:pPr>
      <w:r>
        <w:rPr>
          <w:b w:val="false"/>
          <w:bCs w:val="false"/>
          <w:color w:val="262626"/>
          <w:sz w:val="21"/>
          <w:szCs w:val="21"/>
        </w:rPr>
        <w:t xml:space="preserve">Build a lightweight key-account program for top customers; even a small group of high-value accounts like Sean Miller and Tamara Chand merit direct relationship management.</w:t>
      </w:r>
    </w:p>
    <w:p>
      <w:pPr>
        <w:pStyle w:val="Heading1"/>
        <w:pBdr>
          <w:bottom w:val="single" w:color="1F3864" w:sz="8" w:space="4"/>
        </w:pBdr>
        <w:spacing w:after="140" w:before="320"/>
      </w:pPr>
      <w:r>
        <w:rPr>
          <w:b/>
          <w:bCs/>
          <w:color w:val="1F3864"/>
          <w:sz w:val="26"/>
          <w:szCs w:val="26"/>
        </w:rPr>
        <w:t xml:space="preserve">9. Data Notes &amp; Methodology</w:t>
      </w:r>
    </w:p>
    <w:p>
      <w:pPr>
        <w:spacing w:after="140" w:line="276"/>
        <w:jc w:val="both"/>
      </w:pPr>
      <w:r>
        <w:rPr>
          <w:color w:val="262626"/>
          <w:sz w:val="21"/>
          <w:szCs w:val="21"/>
        </w:rPr>
        <w:t xml:space="preserve">Sales, Category, and Discount/Profit figures in Sections 3, 5, and 6 are computed directly from the Orders table and are fully reliable. Region and Segment figures (Sections 2 and 4) are taken from the Excel pivot analysis and reconcile exactly with the Power BI dashboard.</w:t>
      </w:r>
    </w:p>
    <w:p>
      <w:pPr>
        <w:spacing w:after="140" w:line="276"/>
        <w:jc w:val="both"/>
      </w:pPr>
      <w:r>
        <w:rPr>
          <w:color w:val="262626"/>
          <w:sz w:val="21"/>
          <w:szCs w:val="21"/>
        </w:rPr>
        <w:t xml:space="preserve">One data-quality observation from this task: in the Customer_Table, Customer_ID is not uniquely associated with a single Region — the same Customer_ID recurs against multiple regions across orders (766 of 793 customer IDs show more than one region/segment combination). A direct SQL join of Orders to Customers on Customer_ID therefore fans out and inflates row counts, which would distort any region- or segment-level profit calculation performed via that join. For this reason, region and segment profit (as opposed to sales) have been deliberately excluded from this report rather than presented on an unreliable basis. This is worth flagging to the data engineering team as a modelling fix for future tasks — Region is better treated as an order-level attribute than a customer-level one.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6"/>
        <w:szCs w:val="16"/>
      </w:rPr>
      <w:t xml:space="preserve">Superstore Sales &amp; Profitability — Business Performance Report</w:t>
    </w:r>
    <w:r>
      <w:ptab w:alignment="right" w:leader="none"/>
    </w:r>
    <w:r>
      <w:rPr>
        <w:color w:val="595959"/>
        <w:sz w:val="16"/>
        <w:szCs w:val="16"/>
      </w:rPr>
      <w:t xml:space="preserve">Prince Kumar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2026-07-25T19:57:20.489Z</dcterms:created>
  <dcterms:modified xsi:type="dcterms:W3CDTF">2026-07-25T19:57:20.502Z</dcterms:modified>
</cp:coreProperties>
</file>

<file path=docProps/custom.xml><?xml version="1.0" encoding="utf-8"?>
<Properties xmlns="http://schemas.openxmlformats.org/officeDocument/2006/custom-properties" xmlns:vt="http://schemas.openxmlformats.org/officeDocument/2006/docPropsVTypes"/>
</file>