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BUSINESS INSIGHTS REPORT</w:t>
      </w:r>
    </w:p>
    <w:p>
      <w:pPr>
        <w:spacing w:after="60" w:before="160"/>
        <w:jc w:val="center"/>
      </w:pPr>
      <w:r>
        <w:rPr>
          <w:b/>
          <w:bCs/>
          <w:color w:val="2E74B5"/>
          <w:sz w:val="28"/>
          <w:szCs w:val="28"/>
        </w:rPr>
        <w:t xml:space="preserve">AdventureWorks Sales — Channel &amp; Profitability Analysis</w:t>
      </w:r>
    </w:p>
    <w:p>
      <w:pPr>
        <w:spacing w:after="700"/>
        <w:jc w:val="center"/>
      </w:pPr>
      <w:r>
        <w:rPr>
          <w:i/>
          <w:iCs/>
          <w:color w:val="595959"/>
          <w:sz w:val="22"/>
          <w:szCs w:val="22"/>
        </w:rPr>
        <w:t xml:space="preserve">Data Analytics &amp; Business Intelligence — Task 4</w:t>
      </w:r>
    </w:p>
    <w:p>
      <w:pPr>
        <w:pBdr>
          <w:top w:val="single" w:color="1F3864" w:sz="6" w:space="8"/>
        </w:pBdr>
        <w:spacing w:before="200"/>
      </w:pPr>
    </w:p>
    <w:p>
      <w:pPr>
        <w:spacing w:before="700"/>
        <w:jc w:val="center"/>
      </w:pPr>
      <w:r>
        <w:rPr>
          <w:color w:val="262626"/>
          <w:sz w:val="22"/>
          <w:szCs w:val="22"/>
        </w:rPr>
        <w:t xml:space="preserve">Prepared by: Prince Kumar</w:t>
      </w:r>
    </w:p>
    <w:p>
      <w:pPr>
        <w:spacing w:before="100"/>
        <w:jc w:val="center"/>
      </w:pPr>
      <w:r>
        <w:rPr>
          <w:color w:val="595959"/>
          <w:sz w:val="20"/>
          <w:szCs w:val="20"/>
        </w:rPr>
        <w:t xml:space="preserve">MBA (Business Analytics), Delhi School of Management, DTU</w:t>
      </w:r>
    </w:p>
    <w:p>
      <w:pPr>
        <w:spacing w:before="100"/>
        <w:jc w:val="center"/>
      </w:pPr>
      <w:r>
        <w:rPr>
          <w:color w:val="595959"/>
          <w:sz w:val="20"/>
          <w:szCs w:val="20"/>
        </w:rPr>
        <w:t xml:space="preserve">Prepared for: Maincrafts Technology</w:t>
      </w:r>
    </w:p>
    <w:p>
      <w:pPr>
        <w:spacing w:before="100"/>
        <w:jc w:val="center"/>
      </w:pPr>
      <w:r>
        <w:rPr>
          <w:color w:val="595959"/>
          <w:sz w:val="20"/>
          <w:szCs w:val="20"/>
        </w:rPr>
        <w:t xml:space="preserve">Date: 16 August 2026</w:t>
      </w:r>
    </w:p>
    <w:p>
      <w:pPr>
        <w:spacing w:before="900"/>
        <w:jc w:val="center"/>
      </w:pPr>
      <w:r>
        <w:rPr>
          <w:i/>
          <w:iCs/>
          <w:color w:val="595959"/>
          <w:sz w:val="16"/>
          <w:szCs w:val="16"/>
        </w:rPr>
        <w:t xml:space="preserve">Data Sources: AdventureWorks_Sales.xlsx (star schema)  |  Task_4_Dashboard.pbix  |  Task_4_Star_Schema_Model.png</w:t>
      </w:r>
    </w:p>
    <w:p>
      <w:pPr>
        <w:sectPr>
          <w:pgSz w:w="12240" w:h="15840" w:orient="portrait"/>
          <w:pgMar w:top="1080" w:right="1080" w:bottom="1080" w:left="1080" w:header="708" w:footer="708" w:gutter="0"/>
          <w:pgNumType/>
          <w:docGrid w:linePitch="360"/>
        </w:sectPr>
      </w:pPr>
    </w:p>
    <w:p>
      <w:pPr>
        <w:pStyle w:val="Heading1"/>
        <w:pBdr>
          <w:bottom w:val="single" w:color="1F3864" w:sz="8" w:space="4"/>
        </w:pBdr>
        <w:spacing w:after="140" w:before="320"/>
      </w:pPr>
      <w:r>
        <w:rPr>
          <w:b/>
          <w:bCs/>
          <w:color w:val="1F3864"/>
          <w:sz w:val="26"/>
          <w:szCs w:val="26"/>
        </w:rPr>
        <w:t xml:space="preserve">1. Executive Summary</w:t>
      </w:r>
    </w:p>
    <w:p>
      <w:pPr>
        <w:spacing w:after="140" w:line="276"/>
        <w:jc w:val="both"/>
      </w:pPr>
      <w:r>
        <w:rPr>
          <w:color w:val="262626"/>
          <w:sz w:val="21"/>
          <w:szCs w:val="21"/>
        </w:rPr>
        <w:t xml:space="preserve">This report analyses the AdventureWorks sales dataset, modelled as a star schema (Sales fact table joined to Date, Product, Customer, Reseller, and Sales Territory dimensions) covering 121,253 order lines across two sales channels — Internet (direct-to-consumer) and Reseller (B2B distribution) — from July 2017 through June 2020.</w:t>
      </w:r>
    </w:p>
    <w:p>
      <w:pPr>
        <w:spacing w:after="140" w:line="276"/>
        <w:jc w:val="both"/>
      </w:pPr>
      <w:r>
        <w:rPr>
          <w:color w:val="262626"/>
          <w:sz w:val="21"/>
          <w:szCs w:val="21"/>
        </w:rPr>
        <w:t xml:space="preserve">Total sales reached $109.81M with total profit of $12.55M (11.4% overall margin). The single most important finding in this dataset is a severe profitability imbalance between channels: Internet sales represent just 26.7% of revenue but generate 96.3% of total company profit, while the Reseller channel — 73.3% of revenue — returns almost no profit at all (0.6% margin) and includes 334 individual reseller accounts that are actively unprofitable. This report unpacks that finding and its implications across region, category, and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59"/>
      </w:tblGrid>
      <w:tr>
        <w:tc>
          <w:tcPr>
            <w:tcW w:type="dxa" w:w="6000"/>
            <w:shd w:fill="DDEBF7" w:val="clear"/>
            <w:tcMar>
              <w:top w:type="dxa" w:w="100"/>
              <w:left w:type="dxa" w:w="150"/>
              <w:bottom w:type="dxa" w:w="100"/>
              <w:right w:type="dxa" w:w="150"/>
            </w:tcMar>
            <w:vAlign w:val="center"/>
          </w:tcPr>
          <w:p>
            <w:r>
              <w:rPr>
                <w:color w:val="262626"/>
                <w:sz w:val="20"/>
                <w:szCs w:val="20"/>
              </w:rPr>
              <w:t xml:space="preserve">Total Sales</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$109,809,274.20</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Total Profit</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$12,551,366.25</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Overall Profit Margin</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11.4%</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Order Lines</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121,253</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Distinct Sales Orders</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31,455</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Units Sold</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274,776</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Customers / Active Resellers</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18,485 / 633</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Analysis Period</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FY2018 – FY2020</w:t>
            </w:r>
          </w:p>
        </w:tc>
      </w:tr>
    </w:tbl>
    <w:p>
      <w:pPr>
        <w:pStyle w:val="Heading1"/>
        <w:pBdr>
          <w:bottom w:val="single" w:color="1F3864" w:sz="8" w:space="4"/>
        </w:pBdr>
        <w:spacing w:after="140" w:before="320"/>
      </w:pPr>
      <w:r>
        <w:rPr>
          <w:b/>
          <w:bCs/>
          <w:color w:val="1F3864"/>
          <w:sz w:val="26"/>
          <w:szCs w:val="26"/>
        </w:rPr>
        <w:t xml:space="preserve">2. Channel Profitability — The Headline Finding</w:t>
      </w:r>
    </w:p>
    <w:p>
      <w:pPr>
        <w:spacing w:after="40"/>
      </w:pPr>
      <w:r>
        <w:rPr>
          <w:i/>
          <w:iCs/>
          <w:color w:val="595959"/>
          <w:sz w:val="18"/>
          <w:szCs w:val="18"/>
        </w:rPr>
        <w:t xml:space="preserve">Internet: 27% of sales, 96% of profit. Reseller: 73% of sales, 4% of profit.</w:t>
      </w:r>
    </w:p>
    <w:p>
      <w:pPr>
        <w:spacing w:after="140" w:line="276"/>
        <w:jc w:val="both"/>
      </w:pPr>
      <w:r>
        <w:rPr>
          <w:color w:val="262626"/>
          <w:sz w:val="21"/>
          <w:szCs w:val="21"/>
        </w:rPr>
        <w:t xml:space="preserve">The two sales channels could not be more different in profitability. Internet sales run at a 41.1% margin and, despite being the smaller channel by revenue, contribute the overwhelming majority of company profit. The Reseller channel moves nearly three times as much product by value but converts almost none of it into profit — a 0.6% margin that is effectively break-even once cost of goods is accounted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620"/>
        <w:gridCol w:w="2419"/>
        <w:gridCol w:w="1512"/>
        <w:gridCol w:w="1512"/>
      </w:tblGrid>
      <w:tr>
        <w:trPr>
          <w:tblHeader/>
        </w:trPr>
        <w:tc>
          <w:tcPr>
            <w:tcW w:type="dxa" w:w="2016"/>
            <w:shd w:fill="1F3864" w:val="clear"/>
            <w:tcMar>
              <w:top w:type="dxa" w:w="90"/>
              <w:left w:type="dxa" w:w="120"/>
              <w:bottom w:type="dxa" w:w="90"/>
              <w:right w:type="dxa" w:w="120"/>
            </w:tcMar>
            <w:vAlign w:val="center"/>
          </w:tcPr>
          <w:p>
            <w:pPr>
              <w:jc w:val="left"/>
            </w:pPr>
            <w:r>
              <w:rPr>
                <w:b/>
                <w:bCs/>
                <w:color w:val="FFFFFF"/>
                <w:sz w:val="19"/>
                <w:szCs w:val="19"/>
              </w:rPr>
              <w:t xml:space="preserve">Channel</w:t>
            </w:r>
          </w:p>
        </w:tc>
        <w:tc>
          <w:tcPr>
            <w:tcW w:type="dxa" w:w="2620"/>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419"/>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1512"/>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c>
          <w:tcPr>
            <w:tcW w:type="dxa" w:w="1512"/>
            <w:shd w:fill="1F3864" w:val="clear"/>
            <w:tcMar>
              <w:top w:type="dxa" w:w="90"/>
              <w:left w:type="dxa" w:w="120"/>
              <w:bottom w:type="dxa" w:w="90"/>
              <w:right w:type="dxa" w:w="120"/>
            </w:tcMar>
            <w:vAlign w:val="center"/>
          </w:tcPr>
          <w:p>
            <w:pPr>
              <w:jc w:val="right"/>
            </w:pPr>
            <w:r>
              <w:rPr>
                <w:b/>
                <w:bCs/>
                <w:color w:val="FFFFFF"/>
                <w:sz w:val="19"/>
                <w:szCs w:val="19"/>
              </w:rPr>
              <w:t xml:space="preserve">Share of Profit</w:t>
            </w:r>
          </w:p>
        </w:tc>
      </w:tr>
      <w:tr>
        <w:tc>
          <w:tcPr>
            <w:tcW w:type="dxa" w:w="2016"/>
            <w:shd w:fill="F2F6FA" w:val="clear"/>
            <w:tcMar>
              <w:top w:type="dxa" w:w="80"/>
              <w:left w:type="dxa" w:w="120"/>
              <w:bottom w:type="dxa" w:w="80"/>
              <w:right w:type="dxa" w:w="120"/>
            </w:tcMar>
            <w:vAlign w:val="center"/>
          </w:tcPr>
          <w:p>
            <w:pPr>
              <w:jc w:val="left"/>
            </w:pPr>
            <w:r>
              <w:rPr>
                <w:b w:val="false"/>
                <w:bCs w:val="false"/>
                <w:color w:val="262626"/>
                <w:sz w:val="19"/>
                <w:szCs w:val="19"/>
              </w:rPr>
              <w:t xml:space="preserve">Internet</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29,358,680</w:t>
            </w:r>
          </w:p>
        </w:tc>
        <w:tc>
          <w:tcPr>
            <w:tcW w:type="dxa" w:w="2419"/>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12,080,880</w:t>
            </w:r>
          </w:p>
        </w:tc>
        <w:tc>
          <w:tcPr>
            <w:tcW w:type="dxa" w:w="15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41.1%</w:t>
            </w:r>
          </w:p>
        </w:tc>
        <w:tc>
          <w:tcPr>
            <w:tcW w:type="dxa" w:w="15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96.3%</w:t>
            </w:r>
          </w:p>
        </w:tc>
      </w:tr>
      <w:tr>
        <w:tc>
          <w:tcPr>
            <w:tcW w:type="dxa" w:w="2016"/>
            <w:shd w:fill="FFFFFF" w:val="clear"/>
            <w:tcMar>
              <w:top w:type="dxa" w:w="80"/>
              <w:left w:type="dxa" w:w="120"/>
              <w:bottom w:type="dxa" w:w="80"/>
              <w:right w:type="dxa" w:w="120"/>
            </w:tcMar>
            <w:vAlign w:val="center"/>
          </w:tcPr>
          <w:p>
            <w:pPr>
              <w:jc w:val="left"/>
            </w:pPr>
            <w:r>
              <w:rPr>
                <w:b w:val="false"/>
                <w:bCs w:val="false"/>
                <w:color w:val="262626"/>
                <w:sz w:val="19"/>
                <w:szCs w:val="19"/>
              </w:rPr>
              <w:t xml:space="preserve">Reseller</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80,450,600</w:t>
            </w:r>
          </w:p>
        </w:tc>
        <w:tc>
          <w:tcPr>
            <w:tcW w:type="dxa" w:w="2419"/>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470,483</w:t>
            </w:r>
          </w:p>
        </w:tc>
        <w:tc>
          <w:tcPr>
            <w:tcW w:type="dxa" w:w="15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0.6%</w:t>
            </w:r>
          </w:p>
        </w:tc>
        <w:tc>
          <w:tcPr>
            <w:tcW w:type="dxa" w:w="15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3.7%</w:t>
            </w:r>
          </w:p>
        </w:tc>
      </w:tr>
    </w:tbl>
    <w:p>
      <w:pPr>
        <w:spacing w:after="140" w:line="276"/>
        <w:jc w:val="both"/>
      </w:pPr>
      <w:r>
        <w:rPr>
          <w:color w:val="262626"/>
          <w:sz w:val="21"/>
          <w:szCs w:val="21"/>
        </w:rPr>
        <w:t xml:space="preserve">This is the clearest strategic signal in the dataset: every dollar shifted from Reseller to Internet sales is worth roughly 70x more in profit terms. Section 5 breaks down why the Reseller channel performs this poorly.</w:t>
      </w:r>
    </w:p>
    <w:p>
      <w:pPr>
        <w:pStyle w:val="Heading1"/>
        <w:pBdr>
          <w:bottom w:val="single" w:color="1F3864" w:sz="8" w:space="4"/>
        </w:pBdr>
        <w:spacing w:after="140" w:before="320"/>
      </w:pPr>
      <w:r>
        <w:rPr>
          <w:b/>
          <w:bCs/>
          <w:color w:val="1F3864"/>
          <w:sz w:val="26"/>
          <w:szCs w:val="26"/>
        </w:rPr>
        <w:t xml:space="preserve">3. Regional &amp; Territory Performance</w:t>
      </w:r>
    </w:p>
    <w:p>
      <w:pPr>
        <w:spacing w:after="140" w:line="276"/>
        <w:jc w:val="both"/>
      </w:pPr>
      <w:r>
        <w:rPr>
          <w:color w:val="262626"/>
          <w:sz w:val="21"/>
          <w:szCs w:val="21"/>
        </w:rPr>
        <w:t xml:space="preserve">Southwest (US) is the largest market by sales ($24.2M), but Australia is the most profitable region by margin at 33.6% — more than triple the margin of Southwest (9.7%). Three US domestic territories — Central, Southeast, and Northeast — post the weakest margins in the dataset, all under 2%, despite meaningful sales volume. These three territories are also the most Reseller-dependent markets, which is consistent with the channel finding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620"/>
        <w:gridCol w:w="2620"/>
        <w:gridCol w:w="2016"/>
      </w:tblGrid>
      <w:tr>
        <w:trPr>
          <w:tblHeader/>
        </w:trPr>
        <w:tc>
          <w:tcPr>
            <w:tcW w:type="dxa" w:w="2822"/>
            <w:shd w:fill="1F3864" w:val="clear"/>
            <w:tcMar>
              <w:top w:type="dxa" w:w="90"/>
              <w:left w:type="dxa" w:w="120"/>
              <w:bottom w:type="dxa" w:w="90"/>
              <w:right w:type="dxa" w:w="120"/>
            </w:tcMar>
            <w:vAlign w:val="center"/>
          </w:tcPr>
          <w:p>
            <w:pPr>
              <w:jc w:val="left"/>
            </w:pPr>
            <w:r>
              <w:rPr>
                <w:b/>
                <w:bCs/>
                <w:color w:val="FFFFFF"/>
                <w:sz w:val="19"/>
                <w:szCs w:val="19"/>
              </w:rPr>
              <w:t xml:space="preserve">Region</w:t>
            </w:r>
          </w:p>
        </w:tc>
        <w:tc>
          <w:tcPr>
            <w:tcW w:type="dxa" w:w="2620"/>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6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2016"/>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r>
      <w:tr>
        <w:tc>
          <w:tcPr>
            <w:tcW w:type="dxa" w:w="282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Southwest</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24,184,610</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2,356,143</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9.7%</w:t>
            </w:r>
          </w:p>
        </w:tc>
      </w:tr>
      <w:tr>
        <w:tc>
          <w:tcPr>
            <w:tcW w:type="dxa" w:w="282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Canada</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16,355,770</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1,008,149</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6.2%</w:t>
            </w:r>
          </w:p>
        </w:tc>
      </w:tr>
      <w:tr>
        <w:tc>
          <w:tcPr>
            <w:tcW w:type="dxa" w:w="282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Northwest</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16,084,940</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1,740,528</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10.8%</w:t>
            </w:r>
          </w:p>
        </w:tc>
      </w:tr>
      <w:tr>
        <w:tc>
          <w:tcPr>
            <w:tcW w:type="dxa" w:w="282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Australia</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10,655,340</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3,577,134</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33.6%</w:t>
            </w:r>
          </w:p>
        </w:tc>
      </w:tr>
      <w:tr>
        <w:tc>
          <w:tcPr>
            <w:tcW w:type="dxa" w:w="282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Central</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7,909,009</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141,910</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1.8%</w:t>
            </w:r>
          </w:p>
        </w:tc>
      </w:tr>
      <w:tr>
        <w:tc>
          <w:tcPr>
            <w:tcW w:type="dxa" w:w="282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Southeast</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7,879,655</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125,404</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w:t>
            </w:r>
          </w:p>
        </w:tc>
      </w:tr>
      <w:tr>
        <w:tc>
          <w:tcPr>
            <w:tcW w:type="dxa" w:w="282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United Kingdom</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7,670,721</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1,396,873</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18.2%</w:t>
            </w:r>
          </w:p>
        </w:tc>
      </w:tr>
      <w:tr>
        <w:tc>
          <w:tcPr>
            <w:tcW w:type="dxa" w:w="282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France</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7,251,556</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1,048,955</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14.5%</w:t>
            </w:r>
          </w:p>
        </w:tc>
      </w:tr>
      <w:tr>
        <w:tc>
          <w:tcPr>
            <w:tcW w:type="dxa" w:w="282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Northeast</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6,939,374</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80,153</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1.2%</w:t>
            </w:r>
          </w:p>
        </w:tc>
      </w:tr>
      <w:tr>
        <w:tc>
          <w:tcPr>
            <w:tcW w:type="dxa" w:w="282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Germany</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4,878,300</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1,076,117</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22.1%</w:t>
            </w:r>
          </w:p>
        </w:tc>
      </w:tr>
    </w:tbl>
    <w:p>
      <w:pPr>
        <w:pStyle w:val="Heading1"/>
        <w:pBdr>
          <w:bottom w:val="single" w:color="1F3864" w:sz="8" w:space="4"/>
        </w:pBdr>
        <w:spacing w:after="140" w:before="320"/>
      </w:pPr>
      <w:r>
        <w:rPr>
          <w:b/>
          <w:bCs/>
          <w:color w:val="1F3864"/>
          <w:sz w:val="26"/>
          <w:szCs w:val="26"/>
        </w:rPr>
        <w:t xml:space="preserve">4. Category &amp; Sub-Category Profitability</w:t>
      </w:r>
    </w:p>
    <w:p>
      <w:pPr>
        <w:spacing w:after="140" w:line="276"/>
        <w:jc w:val="both"/>
      </w:pPr>
      <w:r>
        <w:rPr>
          <w:color w:val="262626"/>
          <w:sz w:val="21"/>
          <w:szCs w:val="21"/>
        </w:rPr>
        <w:t xml:space="preserve">Bikes dominate the portfolio, generating $94.6M — 86% of total sales — at an 11.1% margin. Accessories are the smallest category by sales ($1.27M) but by far the most profitable at 49.9% margin, nearly five times the margin of Bikes. Two sub-categories are actually unprofitable overall: Touring Frames (-$5,573) and Jerseys (-$92,921) both post a net loss across the full period.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721"/>
        <w:gridCol w:w="2520"/>
        <w:gridCol w:w="1814"/>
      </w:tblGrid>
      <w:tr>
        <w:trPr>
          <w:tblHeader/>
        </w:trPr>
        <w:tc>
          <w:tcPr>
            <w:tcW w:type="dxa" w:w="3024"/>
            <w:shd w:fill="1F3864" w:val="clear"/>
            <w:tcMar>
              <w:top w:type="dxa" w:w="90"/>
              <w:left w:type="dxa" w:w="120"/>
              <w:bottom w:type="dxa" w:w="90"/>
              <w:right w:type="dxa" w:w="120"/>
            </w:tcMar>
            <w:vAlign w:val="center"/>
          </w:tcPr>
          <w:p>
            <w:pPr>
              <w:jc w:val="left"/>
            </w:pPr>
            <w:r>
              <w:rPr>
                <w:b/>
                <w:bCs/>
                <w:color w:val="FFFFFF"/>
                <w:sz w:val="19"/>
                <w:szCs w:val="19"/>
              </w:rPr>
              <w:t xml:space="preserve">Category</w:t>
            </w:r>
          </w:p>
        </w:tc>
        <w:tc>
          <w:tcPr>
            <w:tcW w:type="dxa" w:w="2721"/>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1814"/>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Bikes</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94,620,530</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10,515,100</w:t>
            </w:r>
          </w:p>
        </w:tc>
        <w:tc>
          <w:tcPr>
            <w:tcW w:type="dxa" w:w="181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11.1%</w:t>
            </w:r>
          </w:p>
        </w:tc>
      </w:tr>
      <w:tr>
        <w:tc>
          <w:tcPr>
            <w:tcW w:type="dxa" w:w="302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Components</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11,799,080</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1,032,966</w:t>
            </w:r>
          </w:p>
        </w:tc>
        <w:tc>
          <w:tcPr>
            <w:tcW w:type="dxa" w:w="1814"/>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8.8%</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Clothing</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2,117,613</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368,836</w:t>
            </w:r>
          </w:p>
        </w:tc>
        <w:tc>
          <w:tcPr>
            <w:tcW w:type="dxa" w:w="181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17.4%</w:t>
            </w:r>
          </w:p>
        </w:tc>
      </w:tr>
      <w:tr>
        <w:tc>
          <w:tcPr>
            <w:tcW w:type="dxa" w:w="302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Accessories</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1,272,058</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634,467</w:t>
            </w:r>
          </w:p>
        </w:tc>
        <w:tc>
          <w:tcPr>
            <w:tcW w:type="dxa" w:w="1814"/>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49.9%</w:t>
            </w:r>
          </w:p>
        </w:tc>
      </w:tr>
    </w:tbl>
    <w:p>
      <w:pPr>
        <w:spacing w:after="140" w:line="276"/>
        <w:jc w:val="both"/>
      </w:pPr>
      <w:r>
        <w:rPr>
          <w:color w:val="262626"/>
          <w:sz w:val="21"/>
          <w:szCs w:val="21"/>
        </w:rPr>
        <w:t xml:space="preserve">Road Bikes ($43.9M) and Mountain Bikes ($36.4M) are the two largest sub-categories by sales, but Mountain Bikes are notably more profitable ($5.93M profit) than Road Bikes ($4.36M profit) despite lower revenue — a margin advantage worth factoring into merchandising and inventory priorities.</w:t>
      </w:r>
    </w:p>
    <w:p>
      <w:pPr>
        <w:pStyle w:val="Heading1"/>
        <w:pBdr>
          <w:bottom w:val="single" w:color="1F3864" w:sz="8" w:space="4"/>
        </w:pBdr>
        <w:spacing w:after="140" w:before="320"/>
      </w:pPr>
      <w:r>
        <w:rPr>
          <w:b/>
          <w:bCs/>
          <w:color w:val="1F3864"/>
          <w:sz w:val="26"/>
          <w:szCs w:val="26"/>
        </w:rPr>
        <w:t xml:space="preserve">5. Reseller Network Health</w:t>
      </w:r>
    </w:p>
    <w:p>
      <w:pPr>
        <w:spacing w:after="40"/>
      </w:pPr>
      <w:r>
        <w:rPr>
          <w:i/>
          <w:iCs/>
          <w:color w:val="595959"/>
          <w:sz w:val="18"/>
          <w:szCs w:val="18"/>
        </w:rPr>
        <w:t xml:space="preserve">334 of 633 active resellers — 52.8% — are losing the company money.</w:t>
      </w:r>
    </w:p>
    <w:p>
      <w:pPr>
        <w:spacing w:after="140" w:line="276"/>
        <w:jc w:val="both"/>
      </w:pPr>
      <w:r>
        <w:rPr>
          <w:color w:val="262626"/>
          <w:sz w:val="21"/>
          <w:szCs w:val="21"/>
        </w:rPr>
        <w:t xml:space="preserve">Drilling into the Reseller channel explains its weak overall margin: it is not that every reseller is marginally unprofitable, but that roughly half the network is losing money outright while the other half offsets it. Of 633 resellers with recorded sales, 334 operated at a net loss, collectively losing $2.17M — nearly five times the entire channel's reported net profit of $470K. Breaking resellers down by business type, Warehouse-type resellers are net-negative overall (-0.01% margin) on $38.7M of sales, the single largest and least profitable segment of the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721"/>
        <w:gridCol w:w="2520"/>
        <w:gridCol w:w="1814"/>
      </w:tblGrid>
      <w:tr>
        <w:trPr>
          <w:tblHeader/>
        </w:trPr>
        <w:tc>
          <w:tcPr>
            <w:tcW w:type="dxa" w:w="3024"/>
            <w:shd w:fill="1F3864" w:val="clear"/>
            <w:tcMar>
              <w:top w:type="dxa" w:w="90"/>
              <w:left w:type="dxa" w:w="120"/>
              <w:bottom w:type="dxa" w:w="90"/>
              <w:right w:type="dxa" w:w="120"/>
            </w:tcMar>
            <w:vAlign w:val="center"/>
          </w:tcPr>
          <w:p>
            <w:pPr>
              <w:jc w:val="left"/>
            </w:pPr>
            <w:r>
              <w:rPr>
                <w:b/>
                <w:bCs/>
                <w:color w:val="FFFFFF"/>
                <w:sz w:val="19"/>
                <w:szCs w:val="19"/>
              </w:rPr>
              <w:t xml:space="preserve">Business Type</w:t>
            </w:r>
          </w:p>
        </w:tc>
        <w:tc>
          <w:tcPr>
            <w:tcW w:type="dxa" w:w="2721"/>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1814"/>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Value Added Reseller</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34,967,520</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447,475</w:t>
            </w:r>
          </w:p>
        </w:tc>
        <w:tc>
          <w:tcPr>
            <w:tcW w:type="dxa" w:w="181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w:t>
            </w:r>
          </w:p>
        </w:tc>
      </w:tr>
      <w:tr>
        <w:tc>
          <w:tcPr>
            <w:tcW w:type="dxa" w:w="302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Warehouse</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38,726,910</w:t>
            </w:r>
          </w:p>
        </w:tc>
        <w:tc>
          <w:tcPr>
            <w:tcW w:type="dxa" w:w="2520"/>
            <w:shd w:fill="FCE4E4" w:val="clear"/>
            <w:tcMar>
              <w:top w:type="dxa" w:w="80"/>
              <w:left w:type="dxa" w:w="120"/>
              <w:bottom w:type="dxa" w:w="80"/>
              <w:right w:type="dxa" w:w="120"/>
            </w:tcMar>
            <w:vAlign w:val="center"/>
          </w:tcPr>
          <w:p>
            <w:pPr>
              <w:jc w:val="right"/>
            </w:pPr>
            <w:r>
              <w:rPr>
                <w:b/>
                <w:bCs/>
                <w:color w:val="C00000"/>
                <w:sz w:val="19"/>
                <w:szCs w:val="19"/>
              </w:rPr>
              <w:t xml:space="preserve">-4,790</w:t>
            </w:r>
          </w:p>
        </w:tc>
        <w:tc>
          <w:tcPr>
            <w:tcW w:type="dxa" w:w="1814"/>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0.0%</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Specialty Bike Shop</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6,756,166</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27,798</w:t>
            </w:r>
          </w:p>
        </w:tc>
        <w:tc>
          <w:tcPr>
            <w:tcW w:type="dxa" w:w="181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0.4%</w:t>
            </w:r>
          </w:p>
        </w:tc>
      </w:tr>
    </w:tbl>
    <w:p>
      <w:pPr>
        <w:spacing w:after="140" w:line="276"/>
        <w:jc w:val="both"/>
      </w:pPr>
      <w:r>
        <w:rPr>
          <w:color w:val="262626"/>
          <w:sz w:val="21"/>
          <w:szCs w:val="21"/>
        </w:rPr>
        <w:t xml:space="preserve">Even more striking: several of the highest-volume resellers by sales are themselves unprofitable. Among the top 5 resellers by revenue, three are running a net loss on the company's books.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3024"/>
        <w:gridCol w:w="2520"/>
      </w:tblGrid>
      <w:tr>
        <w:trPr>
          <w:tblHeader/>
        </w:trPr>
        <w:tc>
          <w:tcPr>
            <w:tcW w:type="dxa" w:w="4536"/>
            <w:shd w:fill="1F3864" w:val="clear"/>
            <w:tcMar>
              <w:top w:type="dxa" w:w="90"/>
              <w:left w:type="dxa" w:w="120"/>
              <w:bottom w:type="dxa" w:w="90"/>
              <w:right w:type="dxa" w:w="120"/>
            </w:tcMar>
            <w:vAlign w:val="center"/>
          </w:tcPr>
          <w:p>
            <w:pPr>
              <w:jc w:val="left"/>
            </w:pPr>
            <w:r>
              <w:rPr>
                <w:b/>
                <w:bCs/>
                <w:color w:val="FFFFFF"/>
                <w:sz w:val="19"/>
                <w:szCs w:val="19"/>
              </w:rPr>
              <w:t xml:space="preserve">Reseller</w:t>
            </w:r>
          </w:p>
        </w:tc>
        <w:tc>
          <w:tcPr>
            <w:tcW w:type="dxa" w:w="3024"/>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r>
      <w:tr>
        <w:tc>
          <w:tcPr>
            <w:tcW w:type="dxa" w:w="4536"/>
            <w:shd w:fill="F2F6FA" w:val="clear"/>
            <w:tcMar>
              <w:top w:type="dxa" w:w="80"/>
              <w:left w:type="dxa" w:w="120"/>
              <w:bottom w:type="dxa" w:w="80"/>
              <w:right w:type="dxa" w:w="120"/>
            </w:tcMar>
            <w:vAlign w:val="center"/>
          </w:tcPr>
          <w:p>
            <w:pPr>
              <w:jc w:val="left"/>
            </w:pPr>
            <w:r>
              <w:rPr>
                <w:b w:val="false"/>
                <w:bCs w:val="false"/>
                <w:color w:val="262626"/>
                <w:sz w:val="19"/>
                <w:szCs w:val="19"/>
              </w:rPr>
              <w:t xml:space="preserve">Brakes and Gears</w:t>
            </w:r>
          </w:p>
        </w:tc>
        <w:tc>
          <w:tcPr>
            <w:tcW w:type="dxa" w:w="302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877,107</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62,738</w:t>
            </w:r>
          </w:p>
        </w:tc>
      </w:tr>
      <w:tr>
        <w:tc>
          <w:tcPr>
            <w:tcW w:type="dxa" w:w="4536"/>
            <w:shd w:fill="FFFFFF" w:val="clear"/>
            <w:tcMar>
              <w:top w:type="dxa" w:w="80"/>
              <w:left w:type="dxa" w:w="120"/>
              <w:bottom w:type="dxa" w:w="80"/>
              <w:right w:type="dxa" w:w="120"/>
            </w:tcMar>
            <w:vAlign w:val="center"/>
          </w:tcPr>
          <w:p>
            <w:pPr>
              <w:jc w:val="left"/>
            </w:pPr>
            <w:r>
              <w:rPr>
                <w:b w:val="false"/>
                <w:bCs w:val="false"/>
                <w:color w:val="262626"/>
                <w:sz w:val="19"/>
                <w:szCs w:val="19"/>
              </w:rPr>
              <w:t xml:space="preserve">Excellent Riding Supplies</w:t>
            </w:r>
          </w:p>
        </w:tc>
        <w:tc>
          <w:tcPr>
            <w:tcW w:type="dxa" w:w="3024"/>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853,849</w:t>
            </w:r>
          </w:p>
        </w:tc>
        <w:tc>
          <w:tcPr>
            <w:tcW w:type="dxa" w:w="2520"/>
            <w:shd w:fill="FCE4E4" w:val="clear"/>
            <w:tcMar>
              <w:top w:type="dxa" w:w="80"/>
              <w:left w:type="dxa" w:w="120"/>
              <w:bottom w:type="dxa" w:w="80"/>
              <w:right w:type="dxa" w:w="120"/>
            </w:tcMar>
            <w:vAlign w:val="center"/>
          </w:tcPr>
          <w:p>
            <w:pPr>
              <w:jc w:val="right"/>
            </w:pPr>
            <w:r>
              <w:rPr>
                <w:b/>
                <w:bCs/>
                <w:color w:val="C00000"/>
                <w:sz w:val="19"/>
                <w:szCs w:val="19"/>
              </w:rPr>
              <w:t xml:space="preserve">-19,429</w:t>
            </w:r>
          </w:p>
        </w:tc>
      </w:tr>
      <w:tr>
        <w:tc>
          <w:tcPr>
            <w:tcW w:type="dxa" w:w="4536"/>
            <w:shd w:fill="F2F6FA" w:val="clear"/>
            <w:tcMar>
              <w:top w:type="dxa" w:w="80"/>
              <w:left w:type="dxa" w:w="120"/>
              <w:bottom w:type="dxa" w:w="80"/>
              <w:right w:type="dxa" w:w="120"/>
            </w:tcMar>
            <w:vAlign w:val="center"/>
          </w:tcPr>
          <w:p>
            <w:pPr>
              <w:jc w:val="left"/>
            </w:pPr>
            <w:r>
              <w:rPr>
                <w:b w:val="false"/>
                <w:bCs w:val="false"/>
                <w:color w:val="262626"/>
                <w:sz w:val="19"/>
                <w:szCs w:val="19"/>
              </w:rPr>
              <w:t xml:space="preserve">Vigorous Exercise Company</w:t>
            </w:r>
          </w:p>
        </w:tc>
        <w:tc>
          <w:tcPr>
            <w:tcW w:type="dxa" w:w="302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841,909</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2,130</w:t>
            </w:r>
          </w:p>
        </w:tc>
      </w:tr>
      <w:tr>
        <w:tc>
          <w:tcPr>
            <w:tcW w:type="dxa" w:w="4536"/>
            <w:shd w:fill="FFFFFF" w:val="clear"/>
            <w:tcMar>
              <w:top w:type="dxa" w:w="80"/>
              <w:left w:type="dxa" w:w="120"/>
              <w:bottom w:type="dxa" w:w="80"/>
              <w:right w:type="dxa" w:w="120"/>
            </w:tcMar>
            <w:vAlign w:val="center"/>
          </w:tcPr>
          <w:p>
            <w:pPr>
              <w:jc w:val="left"/>
            </w:pPr>
            <w:r>
              <w:rPr>
                <w:b w:val="false"/>
                <w:bCs w:val="false"/>
                <w:color w:val="262626"/>
                <w:sz w:val="19"/>
                <w:szCs w:val="19"/>
              </w:rPr>
              <w:t xml:space="preserve">Totes &amp; Baskets Company</w:t>
            </w:r>
          </w:p>
        </w:tc>
        <w:tc>
          <w:tcPr>
            <w:tcW w:type="dxa" w:w="3024"/>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816,756</w:t>
            </w:r>
          </w:p>
        </w:tc>
        <w:tc>
          <w:tcPr>
            <w:tcW w:type="dxa" w:w="2520"/>
            <w:shd w:fill="FCE4E4" w:val="clear"/>
            <w:tcMar>
              <w:top w:type="dxa" w:w="80"/>
              <w:left w:type="dxa" w:w="120"/>
              <w:bottom w:type="dxa" w:w="80"/>
              <w:right w:type="dxa" w:w="120"/>
            </w:tcMar>
            <w:vAlign w:val="center"/>
          </w:tcPr>
          <w:p>
            <w:pPr>
              <w:jc w:val="right"/>
            </w:pPr>
            <w:r>
              <w:rPr>
                <w:b/>
                <w:bCs/>
                <w:color w:val="C00000"/>
                <w:sz w:val="19"/>
                <w:szCs w:val="19"/>
              </w:rPr>
              <w:t xml:space="preserve">-18,640</w:t>
            </w:r>
          </w:p>
        </w:tc>
      </w:tr>
      <w:tr>
        <w:tc>
          <w:tcPr>
            <w:tcW w:type="dxa" w:w="4536"/>
            <w:shd w:fill="F2F6FA" w:val="clear"/>
            <w:tcMar>
              <w:top w:type="dxa" w:w="80"/>
              <w:left w:type="dxa" w:w="120"/>
              <w:bottom w:type="dxa" w:w="80"/>
              <w:right w:type="dxa" w:w="120"/>
            </w:tcMar>
            <w:vAlign w:val="center"/>
          </w:tcPr>
          <w:p>
            <w:pPr>
              <w:jc w:val="left"/>
            </w:pPr>
            <w:r>
              <w:rPr>
                <w:b w:val="false"/>
                <w:bCs w:val="false"/>
                <w:color w:val="262626"/>
                <w:sz w:val="19"/>
                <w:szCs w:val="19"/>
              </w:rPr>
              <w:t xml:space="preserve">Retail Mall</w:t>
            </w:r>
          </w:p>
        </w:tc>
        <w:tc>
          <w:tcPr>
            <w:tcW w:type="dxa" w:w="3024"/>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799,278</w:t>
            </w:r>
          </w:p>
        </w:tc>
        <w:tc>
          <w:tcPr>
            <w:tcW w:type="dxa" w:w="2520"/>
            <w:shd w:fill="FCE4E4" w:val="clear"/>
            <w:tcMar>
              <w:top w:type="dxa" w:w="80"/>
              <w:left w:type="dxa" w:w="120"/>
              <w:bottom w:type="dxa" w:w="80"/>
              <w:right w:type="dxa" w:w="120"/>
            </w:tcMar>
            <w:vAlign w:val="center"/>
          </w:tcPr>
          <w:p>
            <w:pPr>
              <w:jc w:val="right"/>
            </w:pPr>
            <w:r>
              <w:rPr>
                <w:b/>
                <w:bCs/>
                <w:color w:val="C00000"/>
                <w:sz w:val="19"/>
                <w:szCs w:val="19"/>
              </w:rPr>
              <w:t xml:space="preserve">-22,993</w:t>
            </w:r>
          </w:p>
        </w:tc>
      </w:tr>
    </w:tbl>
    <w:p>
      <w:pPr>
        <w:pStyle w:val="Heading1"/>
        <w:pBdr>
          <w:bottom w:val="single" w:color="1F3864" w:sz="8" w:space="4"/>
        </w:pBdr>
        <w:spacing w:after="140" w:before="320"/>
      </w:pPr>
      <w:r>
        <w:rPr>
          <w:b/>
          <w:bCs/>
          <w:color w:val="1F3864"/>
          <w:sz w:val="26"/>
          <w:szCs w:val="26"/>
        </w:rPr>
        <w:t xml:space="preserve">6. Top Products &amp; Customers</w:t>
      </w:r>
    </w:p>
    <w:p>
      <w:pPr>
        <w:pStyle w:val="Heading2"/>
        <w:spacing w:after="100" w:before="220"/>
      </w:pPr>
      <w:r>
        <w:rPr>
          <w:b/>
          <w:bCs/>
          <w:color w:val="2E74B5"/>
          <w:sz w:val="22"/>
          <w:szCs w:val="22"/>
        </w:rPr>
        <w:t xml:space="preserve">Top 5 Products by Sales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822"/>
        <w:gridCol w:w="2217"/>
      </w:tblGrid>
      <w:tr>
        <w:trPr>
          <w:tblHeader/>
        </w:trPr>
        <w:tc>
          <w:tcPr>
            <w:tcW w:type="dxa" w:w="5040"/>
            <w:shd w:fill="1F3864" w:val="clear"/>
            <w:tcMar>
              <w:top w:type="dxa" w:w="90"/>
              <w:left w:type="dxa" w:w="120"/>
              <w:bottom w:type="dxa" w:w="90"/>
              <w:right w:type="dxa" w:w="120"/>
            </w:tcMar>
            <w:vAlign w:val="center"/>
          </w:tcPr>
          <w:p>
            <w:pPr>
              <w:jc w:val="left"/>
            </w:pPr>
            <w:r>
              <w:rPr>
                <w:b/>
                <w:bCs/>
                <w:color w:val="FFFFFF"/>
                <w:sz w:val="19"/>
                <w:szCs w:val="19"/>
              </w:rPr>
              <w:t xml:space="preserve">Product</w:t>
            </w:r>
          </w:p>
        </w:tc>
        <w:tc>
          <w:tcPr>
            <w:tcW w:type="dxa" w:w="2822"/>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217"/>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r>
      <w:tr>
        <w:tc>
          <w:tcPr>
            <w:tcW w:type="dxa" w:w="504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Mountain-200 Black, 38</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4,400,593</w:t>
            </w:r>
          </w:p>
        </w:tc>
        <w:tc>
          <w:tcPr>
            <w:tcW w:type="dxa" w:w="2217"/>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872,822</w:t>
            </w:r>
          </w:p>
        </w:tc>
      </w:tr>
      <w:tr>
        <w:tc>
          <w:tcPr>
            <w:tcW w:type="dxa" w:w="504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Mountain-200 Black, 42</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4,009,495</w:t>
            </w:r>
          </w:p>
        </w:tc>
        <w:tc>
          <w:tcPr>
            <w:tcW w:type="dxa" w:w="2217"/>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863,801</w:t>
            </w:r>
          </w:p>
        </w:tc>
      </w:tr>
      <w:tr>
        <w:tc>
          <w:tcPr>
            <w:tcW w:type="dxa" w:w="504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Mountain-200 Silver, 38</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3,693,678</w:t>
            </w:r>
          </w:p>
        </w:tc>
        <w:tc>
          <w:tcPr>
            <w:tcW w:type="dxa" w:w="2217"/>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829,132</w:t>
            </w:r>
          </w:p>
        </w:tc>
      </w:tr>
      <w:tr>
        <w:tc>
          <w:tcPr>
            <w:tcW w:type="dxa" w:w="504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Mountain-200 Silver, 42</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3,438,479</w:t>
            </w:r>
          </w:p>
        </w:tc>
        <w:tc>
          <w:tcPr>
            <w:tcW w:type="dxa" w:w="2217"/>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775,989</w:t>
            </w:r>
          </w:p>
        </w:tc>
      </w:tr>
      <w:tr>
        <w:tc>
          <w:tcPr>
            <w:tcW w:type="dxa" w:w="504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Mountain-200 Silver, 46</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3,434,257</w:t>
            </w:r>
          </w:p>
        </w:tc>
        <w:tc>
          <w:tcPr>
            <w:tcW w:type="dxa" w:w="2217"/>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793,957</w:t>
            </w:r>
          </w:p>
        </w:tc>
      </w:tr>
    </w:tbl>
    <w:p>
      <w:pPr>
        <w:spacing w:after="140" w:line="276"/>
        <w:jc w:val="both"/>
      </w:pPr>
      <w:r>
        <w:rPr>
          <w:color w:val="262626"/>
          <w:sz w:val="21"/>
          <w:szCs w:val="21"/>
        </w:rPr>
        <w:t xml:space="preserve">The Mountain-200 line dominates the top-seller list outright — all five top products by sales are Mountain-200 variants, together contributing over $19M in sales and reinforcing Mountain Bikes as the strongest combination of volume and margin in the portfolio.</w:t>
      </w:r>
    </w:p>
    <w:p>
      <w:pPr>
        <w:pStyle w:val="Heading2"/>
        <w:spacing w:after="100" w:before="220"/>
      </w:pPr>
      <w:r>
        <w:rPr>
          <w:b/>
          <w:bCs/>
          <w:color w:val="2E74B5"/>
          <w:sz w:val="22"/>
          <w:szCs w:val="22"/>
        </w:rPr>
        <w:t xml:space="preserve">Top 5 Internet Customers by Sales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rPr>
          <w:tblHeader/>
        </w:trPr>
        <w:tc>
          <w:tcPr>
            <w:tcW w:type="dxa" w:w="6048"/>
            <w:shd w:fill="1F3864" w:val="clear"/>
            <w:tcMar>
              <w:top w:type="dxa" w:w="90"/>
              <w:left w:type="dxa" w:w="120"/>
              <w:bottom w:type="dxa" w:w="90"/>
              <w:right w:type="dxa" w:w="120"/>
            </w:tcMar>
            <w:vAlign w:val="center"/>
          </w:tcPr>
          <w:p>
            <w:pPr>
              <w:jc w:val="left"/>
            </w:pPr>
            <w:r>
              <w:rPr>
                <w:b/>
                <w:bCs/>
                <w:color w:val="FFFFFF"/>
                <w:sz w:val="19"/>
                <w:szCs w:val="19"/>
              </w:rPr>
              <w:t xml:space="preserve">Customer</w:t>
            </w:r>
          </w:p>
        </w:tc>
        <w:tc>
          <w:tcPr>
            <w:tcW w:type="dxa" w:w="4032"/>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r>
      <w:tr>
        <w:tc>
          <w:tcPr>
            <w:tcW w:type="dxa" w:w="6048"/>
            <w:shd w:fill="F2F6FA" w:val="clear"/>
            <w:tcMar>
              <w:top w:type="dxa" w:w="80"/>
              <w:left w:type="dxa" w:w="120"/>
              <w:bottom w:type="dxa" w:w="80"/>
              <w:right w:type="dxa" w:w="120"/>
            </w:tcMar>
            <w:vAlign w:val="center"/>
          </w:tcPr>
          <w:p>
            <w:pPr>
              <w:jc w:val="left"/>
            </w:pPr>
            <w:r>
              <w:rPr>
                <w:b w:val="false"/>
                <w:bCs w:val="false"/>
                <w:color w:val="262626"/>
                <w:sz w:val="19"/>
                <w:szCs w:val="19"/>
              </w:rPr>
              <w:t xml:space="preserve">Jordan Turner</w:t>
            </w:r>
          </w:p>
        </w:tc>
        <w:tc>
          <w:tcPr>
            <w:tcW w:type="dxa" w:w="403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15,999.10</w:t>
            </w:r>
          </w:p>
        </w:tc>
      </w:tr>
      <w:tr>
        <w:tc>
          <w:tcPr>
            <w:tcW w:type="dxa" w:w="6048"/>
            <w:shd w:fill="FFFFFF" w:val="clear"/>
            <w:tcMar>
              <w:top w:type="dxa" w:w="80"/>
              <w:left w:type="dxa" w:w="120"/>
              <w:bottom w:type="dxa" w:w="80"/>
              <w:right w:type="dxa" w:w="120"/>
            </w:tcMar>
            <w:vAlign w:val="center"/>
          </w:tcPr>
          <w:p>
            <w:pPr>
              <w:jc w:val="left"/>
            </w:pPr>
            <w:r>
              <w:rPr>
                <w:b w:val="false"/>
                <w:bCs w:val="false"/>
                <w:color w:val="262626"/>
                <w:sz w:val="19"/>
                <w:szCs w:val="19"/>
              </w:rPr>
              <w:t xml:space="preserve">Willie Xu</w:t>
            </w:r>
          </w:p>
        </w:tc>
        <w:tc>
          <w:tcPr>
            <w:tcW w:type="dxa" w:w="403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13,490.06</w:t>
            </w:r>
          </w:p>
        </w:tc>
      </w:tr>
      <w:tr>
        <w:tc>
          <w:tcPr>
            <w:tcW w:type="dxa" w:w="6048"/>
            <w:shd w:fill="F2F6FA" w:val="clear"/>
            <w:tcMar>
              <w:top w:type="dxa" w:w="80"/>
              <w:left w:type="dxa" w:w="120"/>
              <w:bottom w:type="dxa" w:w="80"/>
              <w:right w:type="dxa" w:w="120"/>
            </w:tcMar>
            <w:vAlign w:val="center"/>
          </w:tcPr>
          <w:p>
            <w:pPr>
              <w:jc w:val="left"/>
            </w:pPr>
            <w:r>
              <w:rPr>
                <w:b w:val="false"/>
                <w:bCs w:val="false"/>
                <w:color w:val="262626"/>
                <w:sz w:val="19"/>
                <w:szCs w:val="19"/>
              </w:rPr>
              <w:t xml:space="preserve">Nichole Nara</w:t>
            </w:r>
          </w:p>
        </w:tc>
        <w:tc>
          <w:tcPr>
            <w:tcW w:type="dxa" w:w="403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13,295.38</w:t>
            </w:r>
          </w:p>
        </w:tc>
      </w:tr>
      <w:tr>
        <w:tc>
          <w:tcPr>
            <w:tcW w:type="dxa" w:w="6048"/>
            <w:shd w:fill="FFFFFF" w:val="clear"/>
            <w:tcMar>
              <w:top w:type="dxa" w:w="80"/>
              <w:left w:type="dxa" w:w="120"/>
              <w:bottom w:type="dxa" w:w="80"/>
              <w:right w:type="dxa" w:w="120"/>
            </w:tcMar>
            <w:vAlign w:val="center"/>
          </w:tcPr>
          <w:p>
            <w:pPr>
              <w:jc w:val="left"/>
            </w:pPr>
            <w:r>
              <w:rPr>
                <w:b w:val="false"/>
                <w:bCs w:val="false"/>
                <w:color w:val="262626"/>
                <w:sz w:val="19"/>
                <w:szCs w:val="19"/>
              </w:rPr>
              <w:t xml:space="preserve">Kaitlyn Henderson</w:t>
            </w:r>
          </w:p>
        </w:tc>
        <w:tc>
          <w:tcPr>
            <w:tcW w:type="dxa" w:w="403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13,294.27</w:t>
            </w:r>
          </w:p>
        </w:tc>
      </w:tr>
      <w:tr>
        <w:tc>
          <w:tcPr>
            <w:tcW w:type="dxa" w:w="6048"/>
            <w:shd w:fill="F2F6FA" w:val="clear"/>
            <w:tcMar>
              <w:top w:type="dxa" w:w="80"/>
              <w:left w:type="dxa" w:w="120"/>
              <w:bottom w:type="dxa" w:w="80"/>
              <w:right w:type="dxa" w:w="120"/>
            </w:tcMar>
            <w:vAlign w:val="center"/>
          </w:tcPr>
          <w:p>
            <w:pPr>
              <w:jc w:val="left"/>
            </w:pPr>
            <w:r>
              <w:rPr>
                <w:b w:val="false"/>
                <w:bCs w:val="false"/>
                <w:color w:val="262626"/>
                <w:sz w:val="19"/>
                <w:szCs w:val="19"/>
              </w:rPr>
              <w:t xml:space="preserve">Margaret He</w:t>
            </w:r>
          </w:p>
        </w:tc>
        <w:tc>
          <w:tcPr>
            <w:tcW w:type="dxa" w:w="403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13,269.27</w:t>
            </w:r>
          </w:p>
        </w:tc>
      </w:tr>
    </w:tbl>
    <w:p>
      <w:pPr>
        <w:spacing w:after="140" w:line="276"/>
        <w:jc w:val="both"/>
      </w:pPr>
      <w:r>
        <w:rPr>
          <w:color w:val="262626"/>
          <w:sz w:val="21"/>
          <w:szCs w:val="21"/>
        </w:rPr>
        <w:t xml:space="preserve">Unlike the Reseller channel, individual Internet customer spend is small and broadly distributed across 18,485 customers — this channel's strength is volume and margin, not account concentration, and should be scaled through marketing reach rather than key-account management.</w:t>
      </w:r>
    </w:p>
    <w:p>
      <w:pPr>
        <w:pStyle w:val="Heading1"/>
        <w:pBdr>
          <w:bottom w:val="single" w:color="1F3864" w:sz="8" w:space="4"/>
        </w:pBdr>
        <w:spacing w:after="140" w:before="320"/>
      </w:pPr>
      <w:r>
        <w:rPr>
          <w:b/>
          <w:bCs/>
          <w:color w:val="1F3864"/>
          <w:sz w:val="26"/>
          <w:szCs w:val="26"/>
        </w:rPr>
        <w:t xml:space="preserve">7. Sales &amp; Profit Trend</w:t>
      </w:r>
    </w:p>
    <w:p>
      <w:pPr>
        <w:spacing w:after="140" w:line="276"/>
        <w:jc w:val="both"/>
      </w:pPr>
      <w:r>
        <w:rPr>
          <w:color w:val="262626"/>
          <w:sz w:val="21"/>
          <w:szCs w:val="21"/>
        </w:rPr>
        <w:t xml:space="preserve">Sales more than doubled from FY2018 ($23.86M) to FY2020 ($51.88M), but profit margin did not keep pace with that growth — slipping from 12.7% in FY2018 to 10.9% in FY2019 before partially recovering to 11.2% in FY2020. In other words, the business is growing largely by adding lower-margin Reseller volume rather than by growing the more profitable Internet channel proportionally.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2620"/>
        <w:gridCol w:w="2620"/>
        <w:gridCol w:w="1310"/>
        <w:gridCol w:w="1310"/>
      </w:tblGrid>
      <w:tr>
        <w:trPr>
          <w:tblHeader/>
        </w:trPr>
        <w:tc>
          <w:tcPr>
            <w:tcW w:type="dxa" w:w="2217"/>
            <w:shd w:fill="1F3864" w:val="clear"/>
            <w:tcMar>
              <w:top w:type="dxa" w:w="90"/>
              <w:left w:type="dxa" w:w="120"/>
              <w:bottom w:type="dxa" w:w="90"/>
              <w:right w:type="dxa" w:w="120"/>
            </w:tcMar>
            <w:vAlign w:val="center"/>
          </w:tcPr>
          <w:p>
            <w:pPr>
              <w:jc w:val="left"/>
            </w:pPr>
            <w:r>
              <w:rPr>
                <w:b/>
                <w:bCs/>
                <w:color w:val="FFFFFF"/>
                <w:sz w:val="19"/>
                <w:szCs w:val="19"/>
              </w:rPr>
              <w:t xml:space="preserve">Fiscal Year</w:t>
            </w:r>
          </w:p>
        </w:tc>
        <w:tc>
          <w:tcPr>
            <w:tcW w:type="dxa" w:w="2620"/>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6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1310"/>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c>
          <w:tcPr>
            <w:tcW w:type="dxa" w:w="1310"/>
            <w:shd w:fill="1F3864" w:val="clear"/>
            <w:tcMar>
              <w:top w:type="dxa" w:w="90"/>
              <w:left w:type="dxa" w:w="120"/>
              <w:bottom w:type="dxa" w:w="90"/>
              <w:right w:type="dxa" w:w="120"/>
            </w:tcMar>
            <w:vAlign w:val="center"/>
          </w:tcPr>
          <w:p>
            <w:pPr>
              <w:jc w:val="right"/>
            </w:pPr>
            <w:r>
              <w:rPr>
                <w:b/>
                <w:bCs/>
                <w:color w:val="FFFFFF"/>
                <w:sz w:val="19"/>
                <w:szCs w:val="19"/>
              </w:rPr>
              <w:t xml:space="preserve">Orders</w:t>
            </w:r>
          </w:p>
        </w:tc>
      </w:tr>
      <w:tr>
        <w:tc>
          <w:tcPr>
            <w:tcW w:type="dxa" w:w="2217"/>
            <w:shd w:fill="F2F6FA" w:val="clear"/>
            <w:tcMar>
              <w:top w:type="dxa" w:w="80"/>
              <w:left w:type="dxa" w:w="120"/>
              <w:bottom w:type="dxa" w:w="80"/>
              <w:right w:type="dxa" w:w="120"/>
            </w:tcMar>
            <w:vAlign w:val="center"/>
          </w:tcPr>
          <w:p>
            <w:pPr>
              <w:jc w:val="left"/>
            </w:pPr>
            <w:r>
              <w:rPr>
                <w:b w:val="false"/>
                <w:bCs w:val="false"/>
                <w:color w:val="262626"/>
                <w:sz w:val="19"/>
                <w:szCs w:val="19"/>
              </w:rPr>
              <w:t xml:space="preserve">FY2018</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23,860,890</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3,035,934</w:t>
            </w:r>
          </w:p>
        </w:tc>
        <w:tc>
          <w:tcPr>
            <w:tcW w:type="dxa" w:w="131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12.7%</w:t>
            </w:r>
          </w:p>
        </w:tc>
        <w:tc>
          <w:tcPr>
            <w:tcW w:type="dxa" w:w="131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3,198</w:t>
            </w:r>
          </w:p>
        </w:tc>
      </w:tr>
      <w:tr>
        <w:tc>
          <w:tcPr>
            <w:tcW w:type="dxa" w:w="2217"/>
            <w:shd w:fill="FFFFFF" w:val="clear"/>
            <w:tcMar>
              <w:top w:type="dxa" w:w="80"/>
              <w:left w:type="dxa" w:w="120"/>
              <w:bottom w:type="dxa" w:w="80"/>
              <w:right w:type="dxa" w:w="120"/>
            </w:tcMar>
            <w:vAlign w:val="center"/>
          </w:tcPr>
          <w:p>
            <w:pPr>
              <w:jc w:val="left"/>
            </w:pPr>
            <w:r>
              <w:rPr>
                <w:b w:val="false"/>
                <w:bCs w:val="false"/>
                <w:color w:val="262626"/>
                <w:sz w:val="19"/>
                <w:szCs w:val="19"/>
              </w:rPr>
              <w:t xml:space="preserve">FY2019</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34,070,110</w:t>
            </w:r>
          </w:p>
        </w:tc>
        <w:tc>
          <w:tcPr>
            <w:tcW w:type="dxa" w:w="26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3,708,000</w:t>
            </w:r>
          </w:p>
        </w:tc>
        <w:tc>
          <w:tcPr>
            <w:tcW w:type="dxa" w:w="131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10.9%</w:t>
            </w:r>
          </w:p>
        </w:tc>
        <w:tc>
          <w:tcPr>
            <w:tcW w:type="dxa" w:w="131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4,738</w:t>
            </w:r>
          </w:p>
        </w:tc>
      </w:tr>
      <w:tr>
        <w:tc>
          <w:tcPr>
            <w:tcW w:type="dxa" w:w="2217"/>
            <w:shd w:fill="F2F6FA" w:val="clear"/>
            <w:tcMar>
              <w:top w:type="dxa" w:w="80"/>
              <w:left w:type="dxa" w:w="120"/>
              <w:bottom w:type="dxa" w:w="80"/>
              <w:right w:type="dxa" w:w="120"/>
            </w:tcMar>
            <w:vAlign w:val="center"/>
          </w:tcPr>
          <w:p>
            <w:pPr>
              <w:jc w:val="left"/>
            </w:pPr>
            <w:r>
              <w:rPr>
                <w:b w:val="false"/>
                <w:bCs w:val="false"/>
                <w:color w:val="262626"/>
                <w:sz w:val="19"/>
                <w:szCs w:val="19"/>
              </w:rPr>
              <w:t xml:space="preserve">FY2020*</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51,878,270</w:t>
            </w:r>
          </w:p>
        </w:tc>
        <w:tc>
          <w:tcPr>
            <w:tcW w:type="dxa" w:w="26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5,807,433</w:t>
            </w:r>
          </w:p>
        </w:tc>
        <w:tc>
          <w:tcPr>
            <w:tcW w:type="dxa" w:w="131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11.2%</w:t>
            </w:r>
          </w:p>
        </w:tc>
        <w:tc>
          <w:tcPr>
            <w:tcW w:type="dxa" w:w="131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23,519</w:t>
            </w:r>
          </w:p>
        </w:tc>
      </w:tr>
    </w:tbl>
    <w:p>
      <w:pPr>
        <w:spacing w:after="140" w:line="276"/>
        <w:jc w:val="both"/>
      </w:pPr>
      <w:r>
        <w:rPr>
          <w:i/>
          <w:iCs/>
          <w:color w:val="595959"/>
          <w:sz w:val="21"/>
          <w:szCs w:val="21"/>
        </w:rPr>
        <w:t xml:space="preserve">*FY2020 data runs through 15 June 2020 (two weeks short of fiscal year-end) and is treated here as effectively complete.</w:t>
      </w:r>
    </w:p>
    <w:p>
      <w:pPr>
        <w:pStyle w:val="Heading1"/>
        <w:pBdr>
          <w:bottom w:val="single" w:color="1F3864" w:sz="8" w:space="4"/>
        </w:pBdr>
        <w:spacing w:after="140" w:before="320"/>
      </w:pPr>
      <w:r>
        <w:rPr>
          <w:b/>
          <w:bCs/>
          <w:color w:val="1F3864"/>
          <w:sz w:val="26"/>
          <w:szCs w:val="26"/>
        </w:rPr>
        <w:t xml:space="preserve">8. Strategic Recommendations for Management</w:t>
      </w:r>
    </w:p>
    <w:p>
      <w:pPr>
        <w:pStyle w:val="ListParagraph"/>
        <w:numPr>
          <w:ilvl w:val="0"/>
          <w:numId w:val="1"/>
        </w:numPr>
        <w:spacing w:after="80"/>
      </w:pPr>
      <w:r>
        <w:rPr>
          <w:b w:val="false"/>
          <w:bCs w:val="false"/>
          <w:color w:val="262626"/>
          <w:sz w:val="21"/>
          <w:szCs w:val="21"/>
        </w:rPr>
        <w:t xml:space="preserve">Rebalance channel mix deliberately. Every dollar of Internet sales is worth roughly 70x more in profit than a dollar of Reseller sales — growth strategy and marketing investment should favor Internet expansion over Reseller volume growth.</w:t>
      </w:r>
    </w:p>
    <w:p>
      <w:pPr>
        <w:pStyle w:val="ListParagraph"/>
        <w:numPr>
          <w:ilvl w:val="0"/>
          <w:numId w:val="1"/>
        </w:numPr>
        <w:spacing w:after="80"/>
      </w:pPr>
      <w:r>
        <w:rPr>
          <w:b w:val="false"/>
          <w:bCs w:val="false"/>
          <w:color w:val="262626"/>
          <w:sz w:val="21"/>
          <w:szCs w:val="21"/>
        </w:rPr>
        <w:t xml:space="preserve">Audit the 334 unprofitable resellers individually. A blanket channel-level fix will not work when the problem is concentrated in roughly half the network; pricing, rebate, or account-minimum terms should be renegotiated or the relationship discontinued where losses persist.</w:t>
      </w:r>
    </w:p>
    <w:p>
      <w:pPr>
        <w:pStyle w:val="ListParagraph"/>
        <w:numPr>
          <w:ilvl w:val="0"/>
          <w:numId w:val="1"/>
        </w:numPr>
        <w:spacing w:after="80"/>
      </w:pPr>
      <w:r>
        <w:rPr>
          <w:b w:val="false"/>
          <w:bCs w:val="false"/>
          <w:color w:val="262626"/>
          <w:sz w:val="21"/>
          <w:szCs w:val="21"/>
        </w:rPr>
        <w:t xml:space="preserve">Review Warehouse-type reseller terms specifically — this segment is net-negative overall and is the largest single piece of the Reseller channel's weak economics.</w:t>
      </w:r>
    </w:p>
    <w:p>
      <w:pPr>
        <w:pStyle w:val="ListParagraph"/>
        <w:numPr>
          <w:ilvl w:val="0"/>
          <w:numId w:val="1"/>
        </w:numPr>
        <w:spacing w:after="80"/>
      </w:pPr>
      <w:r>
        <w:rPr>
          <w:b w:val="false"/>
          <w:bCs w:val="false"/>
          <w:color w:val="262626"/>
          <w:sz w:val="21"/>
          <w:szCs w:val="21"/>
        </w:rPr>
        <w:t xml:space="preserve">Protect and expand Accessories and Clothing — both carry margins several times higher than Bikes and represent a straightforward, low-risk way to lift blended company margin.</w:t>
      </w:r>
    </w:p>
    <w:p>
      <w:pPr>
        <w:pStyle w:val="ListParagraph"/>
        <w:numPr>
          <w:ilvl w:val="0"/>
          <w:numId w:val="1"/>
        </w:numPr>
        <w:spacing w:after="80"/>
      </w:pPr>
      <w:r>
        <w:rPr>
          <w:b w:val="false"/>
          <w:bCs w:val="false"/>
          <w:color w:val="262626"/>
          <w:sz w:val="21"/>
          <w:szCs w:val="21"/>
        </w:rPr>
        <w:t xml:space="preserve">Discontinue or reprice Touring Frames and Jerseys, the only two sub-categories operating at a net loss across the full three-year period.</w:t>
      </w:r>
    </w:p>
    <w:p>
      <w:pPr>
        <w:pStyle w:val="ListParagraph"/>
        <w:numPr>
          <w:ilvl w:val="0"/>
          <w:numId w:val="1"/>
        </w:numPr>
        <w:spacing w:after="80"/>
      </w:pPr>
      <w:r>
        <w:rPr>
          <w:b w:val="false"/>
          <w:bCs w:val="false"/>
          <w:color w:val="262626"/>
          <w:sz w:val="21"/>
          <w:szCs w:val="21"/>
        </w:rPr>
        <w:t xml:space="preserve">Lean further into the Mountain-200 product line and Mountain Bikes sub-category, which combine the strongest sales volume with above-average margin — the clearest 'more of this' signal in the catalogue.</w:t>
      </w:r>
    </w:p>
    <w:p>
      <w:pPr>
        <w:pStyle w:val="ListParagraph"/>
        <w:numPr>
          <w:ilvl w:val="0"/>
          <w:numId w:val="1"/>
        </w:numPr>
        <w:spacing w:after="80"/>
      </w:pPr>
      <w:r>
        <w:rPr>
          <w:b w:val="false"/>
          <w:bCs w:val="false"/>
          <w:color w:val="262626"/>
          <w:sz w:val="21"/>
          <w:szCs w:val="21"/>
        </w:rPr>
        <w:t xml:space="preserve">Treat FY2020's sales growth with a margin lens, not just a revenue lens, in leadership reporting — rapid top-line growth driven by low-margin Reseller volume is a different (and less valuable) growth story than Internet-led growth.</w:t>
      </w:r>
    </w:p>
    <w:p>
      <w:pPr>
        <w:pStyle w:val="Heading1"/>
        <w:pBdr>
          <w:bottom w:val="single" w:color="1F3864" w:sz="8" w:space="4"/>
        </w:pBdr>
        <w:spacing w:after="140" w:before="320"/>
      </w:pPr>
      <w:r>
        <w:rPr>
          <w:b/>
          <w:bCs/>
          <w:color w:val="1F3864"/>
          <w:sz w:val="26"/>
          <w:szCs w:val="26"/>
        </w:rPr>
        <w:t xml:space="preserve">9. Data Notes &amp; Methodology</w:t>
      </w:r>
    </w:p>
    <w:p>
      <w:pPr>
        <w:spacing w:after="140" w:line="276"/>
        <w:jc w:val="both"/>
      </w:pPr>
      <w:r>
        <w:rPr>
          <w:color w:val="262626"/>
          <w:sz w:val="21"/>
          <w:szCs w:val="21"/>
        </w:rPr>
        <w:t xml:space="preserve">This analysis is built on a star schema model: a central Sales fact table (121,253 order lines) joined to Date, Product, Customer, Reseller, and Sales Territory dimension tables, plus a Sales Order bridge table carrying the Internet/Reseller channel flag. This structure — documented in the accompanying data model diagram and Power BI dashboard — supports the channel, region, category, and time-based cuts used throughout this report.</w:t>
      </w:r>
    </w:p>
    <w:p>
      <w:pPr>
        <w:spacing w:after="140" w:line="276"/>
        <w:jc w:val="both"/>
      </w:pPr>
      <w:r>
        <w:rPr>
          <w:color w:val="262626"/>
          <w:sz w:val="21"/>
          <w:szCs w:val="21"/>
        </w:rPr>
        <w:t xml:space="preserve">Profit is calculated as Sales Amount less Total Product Cost at the order-line level, then aggregated. The dataset's Unit Price Discount Pct field is present but populated at 0% for every order line, so no discount-impact analysis is included in this report (unlike Tasks 2 and 3, where discounting was a material driver of margin). All monetary figures are in USD, rounded to the nearest whole dollar in summary tables and to two decimal places for individual transactions.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AdventureWorks Sales — Business Insights Report</w:t>
    </w:r>
    <w:r>
      <w:ptab w:alignment="right" w:leader="none"/>
    </w:r>
    <w:r>
      <w:rPr>
        <w:color w:val="595959"/>
        <w:sz w:val="16"/>
        <w:szCs w:val="16"/>
      </w:rPr>
      <w:t xml:space="preserve">Prince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2026-08-17T20:17:30.321Z</dcterms:created>
  <dcterms:modified xsi:type="dcterms:W3CDTF">2026-08-17T20:17:30.334Z</dcterms:modified>
</cp:coreProperties>
</file>

<file path=docProps/custom.xml><?xml version="1.0" encoding="utf-8"?>
<Properties xmlns="http://schemas.openxmlformats.org/officeDocument/2006/custom-properties" xmlns:vt="http://schemas.openxmlformats.org/officeDocument/2006/docPropsVTypes"/>
</file>