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rPr>
          <w:color w:val="000000"/>
        </w:rPr>
      </w:pPr>
      <w:r w:rsidDel="00000000" w:rsidR="00000000" w:rsidRPr="00000000">
        <w:rPr>
          <w:color w:val="000000"/>
          <w:sz w:val="40"/>
          <w:szCs w:val="40"/>
          <w:rtl w:val="0"/>
        </w:rPr>
        <w:t xml:space="preserve">1.Real-Time Streaming Data Integration Enhancement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Style w:val="Heading2"/>
        <w:numPr>
          <w:ilvl w:val="0"/>
          <w:numId w:val="1"/>
        </w:numPr>
        <w:ind w:left="720" w:hanging="360"/>
        <w:rPr>
          <w:color w:val="000000"/>
          <w:sz w:val="28"/>
          <w:szCs w:val="28"/>
        </w:rPr>
      </w:pPr>
      <w:r w:rsidDel="00000000" w:rsidR="00000000" w:rsidRPr="00000000">
        <w:rPr>
          <w:color w:val="000000"/>
          <w:sz w:val="28"/>
          <w:szCs w:val="28"/>
          <w:rtl w:val="0"/>
        </w:rPr>
        <w:t xml:space="preserve">Current System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The current architecture processes batch CSV files manually placed inside the data/clinical directory. FastAPI reads the CSV and performs preprocessing and observability analysis.</w:t>
      </w:r>
    </w:p>
    <w:p w:rsidR="00000000" w:rsidDel="00000000" w:rsidP="00000000" w:rsidRDefault="00000000" w:rsidRPr="00000000" w14:paraId="00000004">
      <w:pPr>
        <w:pStyle w:val="Heading2"/>
        <w:numPr>
          <w:ilvl w:val="0"/>
          <w:numId w:val="4"/>
        </w:numPr>
        <w:ind w:left="720" w:hanging="360"/>
        <w:rPr>
          <w:color w:val="000000"/>
          <w:sz w:val="28"/>
          <w:szCs w:val="28"/>
        </w:rPr>
      </w:pPr>
      <w:r w:rsidDel="00000000" w:rsidR="00000000" w:rsidRPr="00000000">
        <w:rPr>
          <w:color w:val="000000"/>
          <w:sz w:val="28"/>
          <w:szCs w:val="28"/>
          <w:rtl w:val="0"/>
        </w:rPr>
        <w:t xml:space="preserve">Future Enhancement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The enhanced architecture enables continuous real-time clinical data ingestion through APIs that can be taken by AI System for observability Check and store it.</w:t>
      </w:r>
    </w:p>
    <w:p w:rsidR="00000000" w:rsidDel="00000000" w:rsidP="00000000" w:rsidRDefault="00000000" w:rsidRPr="00000000" w14:paraId="00000006">
      <w:pPr>
        <w:pStyle w:val="Heading2"/>
        <w:numPr>
          <w:ilvl w:val="0"/>
          <w:numId w:val="9"/>
        </w:numPr>
        <w:ind w:left="720" w:hanging="360"/>
        <w:rPr>
          <w:color w:val="000000"/>
          <w:sz w:val="28"/>
          <w:szCs w:val="28"/>
        </w:rPr>
      </w:pPr>
      <w:r w:rsidDel="00000000" w:rsidR="00000000" w:rsidRPr="00000000">
        <w:rPr>
          <w:color w:val="000000"/>
          <w:sz w:val="28"/>
          <w:szCs w:val="28"/>
          <w:rtl w:val="0"/>
        </w:rPr>
        <w:t xml:space="preserve">Updated Architecture Flow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1.Hospital APIs / EDC Systems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2.Apache Kafka 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3.Streaming Consumer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4.FastAPI Processing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5.Observability Agents</w:t>
      </w:r>
    </w:p>
    <w:p w:rsidR="00000000" w:rsidDel="00000000" w:rsidP="00000000" w:rsidRDefault="00000000" w:rsidRPr="00000000" w14:paraId="0000000C">
      <w:pPr>
        <w:pStyle w:val="Heading2"/>
        <w:numPr>
          <w:ilvl w:val="0"/>
          <w:numId w:val="11"/>
        </w:numPr>
        <w:ind w:left="720" w:hanging="360"/>
        <w:rPr>
          <w:color w:val="ff0000"/>
          <w:sz w:val="28"/>
          <w:szCs w:val="28"/>
        </w:rPr>
      </w:pPr>
      <w:r w:rsidDel="00000000" w:rsidR="00000000" w:rsidRPr="00000000">
        <w:rPr>
          <w:color w:val="ff0000"/>
          <w:sz w:val="28"/>
          <w:szCs w:val="28"/>
          <w:rtl w:val="0"/>
        </w:rPr>
        <w:t xml:space="preserve">Step 1 — Data Source APIs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Hospitals and laboratories expose APIs that continuously send patient records, side effects, glucose levels, and treatment updates to the platform.</w:t>
      </w:r>
    </w:p>
    <w:p w:rsidR="00000000" w:rsidDel="00000000" w:rsidP="00000000" w:rsidRDefault="00000000" w:rsidRPr="00000000" w14:paraId="0000000E">
      <w:pPr>
        <w:pStyle w:val="Heading2"/>
        <w:numPr>
          <w:ilvl w:val="0"/>
          <w:numId w:val="10"/>
        </w:numPr>
        <w:ind w:left="720" w:hanging="360"/>
        <w:rPr>
          <w:color w:val="ff0000"/>
          <w:sz w:val="28"/>
          <w:szCs w:val="28"/>
        </w:rPr>
      </w:pPr>
      <w:r w:rsidDel="00000000" w:rsidR="00000000" w:rsidRPr="00000000">
        <w:rPr>
          <w:color w:val="ff0000"/>
          <w:sz w:val="28"/>
          <w:szCs w:val="28"/>
          <w:rtl w:val="0"/>
        </w:rPr>
        <w:t xml:space="preserve">Step 2 — Kafka Streaming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Instead of storing uploaded CSV files, the APIs publish real-time patient events into Apache Kafka topics such as clinical_trial_events.</w:t>
      </w:r>
    </w:p>
    <w:p w:rsidR="00000000" w:rsidDel="00000000" w:rsidP="00000000" w:rsidRDefault="00000000" w:rsidRPr="00000000" w14:paraId="00000010">
      <w:pPr>
        <w:pStyle w:val="Heading2"/>
        <w:numPr>
          <w:ilvl w:val="0"/>
          <w:numId w:val="12"/>
        </w:numPr>
        <w:ind w:left="720" w:hanging="360"/>
        <w:rPr>
          <w:color w:val="ff0000"/>
          <w:sz w:val="28"/>
          <w:szCs w:val="28"/>
        </w:rPr>
      </w:pPr>
      <w:r w:rsidDel="00000000" w:rsidR="00000000" w:rsidRPr="00000000">
        <w:rPr>
          <w:color w:val="ff0000"/>
          <w:sz w:val="28"/>
          <w:szCs w:val="28"/>
          <w:rtl w:val="0"/>
        </w:rPr>
        <w:t xml:space="preserve">Step 3 — Streaming Consumer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Python Kafka Consumers continuously read streaming events from Kafka topics and pass them into the preprocessing layer.</w:t>
      </w:r>
    </w:p>
    <w:p w:rsidR="00000000" w:rsidDel="00000000" w:rsidP="00000000" w:rsidRDefault="00000000" w:rsidRPr="00000000" w14:paraId="00000012">
      <w:pPr>
        <w:pStyle w:val="Heading2"/>
        <w:numPr>
          <w:ilvl w:val="0"/>
          <w:numId w:val="7"/>
        </w:numPr>
        <w:ind w:left="720" w:hanging="360"/>
        <w:rPr>
          <w:color w:val="ff0000"/>
          <w:sz w:val="28"/>
          <w:szCs w:val="28"/>
        </w:rPr>
      </w:pPr>
      <w:r w:rsidDel="00000000" w:rsidR="00000000" w:rsidRPr="00000000">
        <w:rPr>
          <w:color w:val="ff0000"/>
          <w:sz w:val="28"/>
          <w:szCs w:val="28"/>
          <w:rtl w:val="0"/>
        </w:rPr>
        <w:t xml:space="preserve">Step 4 — Real-Time Preprocessing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The preprocessing layer continuously computes observability metrics such as freshness, volume, schema validation, drift detection, and anomaly monitoring in real time.</w:t>
      </w:r>
    </w:p>
    <w:p w:rsidR="00000000" w:rsidDel="00000000" w:rsidP="00000000" w:rsidRDefault="00000000" w:rsidRPr="00000000" w14:paraId="00000014">
      <w:pPr>
        <w:pStyle w:val="Heading2"/>
        <w:numPr>
          <w:ilvl w:val="0"/>
          <w:numId w:val="5"/>
        </w:numPr>
        <w:ind w:left="720" w:hanging="360"/>
        <w:rPr>
          <w:color w:val="ff0000"/>
          <w:sz w:val="28"/>
          <w:szCs w:val="28"/>
        </w:rPr>
      </w:pPr>
      <w:r w:rsidDel="00000000" w:rsidR="00000000" w:rsidRPr="00000000">
        <w:rPr>
          <w:color w:val="ff0000"/>
          <w:sz w:val="28"/>
          <w:szCs w:val="28"/>
          <w:rtl w:val="0"/>
        </w:rPr>
        <w:t xml:space="preserve">Step 5 — Snowflake Storage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Processed streaming data and observability metrics are stored in Snowflake for enterprise analytics, reporting, and historical analysis.</w:t>
      </w:r>
    </w:p>
    <w:p w:rsidR="00000000" w:rsidDel="00000000" w:rsidP="00000000" w:rsidRDefault="00000000" w:rsidRPr="00000000" w14:paraId="00000016">
      <w:pPr>
        <w:pStyle w:val="Heading2"/>
        <w:numPr>
          <w:ilvl w:val="0"/>
          <w:numId w:val="13"/>
        </w:numPr>
        <w:ind w:left="720" w:hanging="360"/>
        <w:rPr>
          <w:color w:val="ff0000"/>
          <w:sz w:val="28"/>
          <w:szCs w:val="28"/>
        </w:rPr>
      </w:pPr>
      <w:r w:rsidDel="00000000" w:rsidR="00000000" w:rsidRPr="00000000">
        <w:rPr>
          <w:color w:val="ff0000"/>
          <w:sz w:val="28"/>
          <w:szCs w:val="28"/>
          <w:rtl w:val="0"/>
        </w:rPr>
        <w:t xml:space="preserve">Step 6 — Real-Time Observability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AI agents continuously monitor streaming ingestion failures, API delays, Kafka consumer lag, schema drift, and operational anomalies.</w:t>
      </w:r>
    </w:p>
    <w:p w:rsidR="00000000" w:rsidDel="00000000" w:rsidP="00000000" w:rsidRDefault="00000000" w:rsidRPr="00000000" w14:paraId="00000018">
      <w:pPr>
        <w:pStyle w:val="Heading2"/>
        <w:rPr>
          <w:color w:val="000000"/>
        </w:rPr>
      </w:pPr>
      <w:r w:rsidDel="00000000" w:rsidR="00000000" w:rsidRPr="00000000">
        <w:rPr>
          <w:color w:val="000000"/>
          <w:sz w:val="28"/>
          <w:szCs w:val="28"/>
          <w:rtl w:val="0"/>
        </w:rPr>
        <w:t xml:space="preserve">New Components Added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Apache Kafka for event streaming, Snowflake for analytics storage, and API Gateways for hospital integrations.</w:t>
      </w:r>
    </w:p>
    <w:p w:rsidR="00000000" w:rsidDel="00000000" w:rsidP="00000000" w:rsidRDefault="00000000" w:rsidRPr="00000000" w14:paraId="0000001A">
      <w:pPr>
        <w:pStyle w:val="Heading2"/>
        <w:rPr>
          <w:color w:val="000000"/>
        </w:rPr>
      </w:pPr>
      <w:r w:rsidDel="00000000" w:rsidR="00000000" w:rsidRPr="00000000">
        <w:rPr>
          <w:color w:val="000000"/>
          <w:sz w:val="28"/>
          <w:szCs w:val="28"/>
          <w:rtl w:val="0"/>
        </w:rPr>
        <w:t xml:space="preserve">Enhanced ETL Logs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The ETL logging layer now captures streaming operational events such as Kafka failures, API timeouts, ingestion delays, and consumer disconnects.</w:t>
      </w:r>
    </w:p>
    <w:p w:rsidR="00000000" w:rsidDel="00000000" w:rsidP="00000000" w:rsidRDefault="00000000" w:rsidRPr="00000000" w14:paraId="0000001C">
      <w:pPr>
        <w:pStyle w:val="Heading2"/>
        <w:rPr>
          <w:color w:val="000000"/>
        </w:rPr>
      </w:pPr>
      <w:r w:rsidDel="00000000" w:rsidR="00000000" w:rsidRPr="00000000">
        <w:rPr>
          <w:color w:val="000000"/>
          <w:sz w:val="28"/>
          <w:szCs w:val="28"/>
          <w:rtl w:val="0"/>
        </w:rPr>
        <w:t xml:space="preserve">Benefits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The enhancement enables continuous monitoring, instant anomaly detection, reduced manual effort, scalable healthcare ingestion, and enterprise-grade real-time observability.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/>
        <w:drawing>
          <wp:inline distB="114300" distT="114300" distL="114300" distR="114300">
            <wp:extent cx="5486400" cy="365760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657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pStyle w:val="Heading1"/>
        <w:keepNext w:val="0"/>
        <w:keepLines w:val="0"/>
        <w:spacing w:after="120" w:lineRule="auto"/>
        <w:rPr>
          <w:rFonts w:ascii="Cambria" w:cs="Cambria" w:eastAsia="Cambria" w:hAnsi="Cambria"/>
          <w:color w:val="000000"/>
          <w:sz w:val="46"/>
          <w:szCs w:val="46"/>
        </w:rPr>
      </w:pPr>
      <w:bookmarkStart w:colFirst="0" w:colLast="0" w:name="_fcbwk0k7acgz" w:id="0"/>
      <w:bookmarkEnd w:id="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pStyle w:val="Heading1"/>
        <w:keepNext w:val="0"/>
        <w:keepLines w:val="0"/>
        <w:spacing w:after="120" w:lineRule="auto"/>
        <w:rPr>
          <w:rFonts w:ascii="Cambria" w:cs="Cambria" w:eastAsia="Cambria" w:hAnsi="Cambria"/>
          <w:color w:val="000000"/>
        </w:rPr>
      </w:pPr>
      <w:bookmarkStart w:colFirst="0" w:colLast="0" w:name="_szx9m2s78t4p" w:id="1"/>
      <w:bookmarkEnd w:id="1"/>
      <w:r w:rsidDel="00000000" w:rsidR="00000000" w:rsidRPr="00000000">
        <w:rPr>
          <w:rFonts w:ascii="Cambria" w:cs="Cambria" w:eastAsia="Cambria" w:hAnsi="Cambria"/>
          <w:color w:val="000000"/>
          <w:rtl w:val="0"/>
        </w:rPr>
        <w:t xml:space="preserve">Kafka Helps With</w:t>
      </w:r>
    </w:p>
    <w:p w:rsidR="00000000" w:rsidDel="00000000" w:rsidP="00000000" w:rsidRDefault="00000000" w:rsidRPr="00000000" w14:paraId="00000023">
      <w:pPr>
        <w:numPr>
          <w:ilvl w:val="0"/>
          <w:numId w:val="2"/>
        </w:numPr>
        <w:spacing w:after="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real-time ingestion</w:t>
      </w:r>
    </w:p>
    <w:p w:rsidR="00000000" w:rsidDel="00000000" w:rsidP="00000000" w:rsidRDefault="00000000" w:rsidRPr="00000000" w14:paraId="00000024">
      <w:pPr>
        <w:numPr>
          <w:ilvl w:val="0"/>
          <w:numId w:val="2"/>
        </w:numPr>
        <w:spacing w:after="0" w:before="0" w:lineRule="auto"/>
        <w:ind w:left="720" w:hanging="360"/>
        <w:rPr/>
      </w:pPr>
      <w:r w:rsidDel="00000000" w:rsidR="00000000" w:rsidRPr="00000000">
        <w:rPr>
          <w:rtl w:val="0"/>
        </w:rPr>
        <w:t xml:space="preserve">live anomaly detection</w:t>
      </w:r>
    </w:p>
    <w:p w:rsidR="00000000" w:rsidDel="00000000" w:rsidP="00000000" w:rsidRDefault="00000000" w:rsidRPr="00000000" w14:paraId="00000025">
      <w:pPr>
        <w:numPr>
          <w:ilvl w:val="0"/>
          <w:numId w:val="2"/>
        </w:numPr>
        <w:spacing w:after="240" w:before="0" w:lineRule="auto"/>
        <w:ind w:left="720" w:hanging="360"/>
        <w:rPr/>
      </w:pPr>
      <w:r w:rsidDel="00000000" w:rsidR="00000000" w:rsidRPr="00000000">
        <w:rPr>
          <w:rtl w:val="0"/>
        </w:rPr>
        <w:t xml:space="preserve">streaming observability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pStyle w:val="Heading1"/>
        <w:keepNext w:val="0"/>
        <w:keepLines w:val="0"/>
        <w:spacing w:after="120" w:lineRule="auto"/>
        <w:rPr>
          <w:rFonts w:ascii="Cambria" w:cs="Cambria" w:eastAsia="Cambria" w:hAnsi="Cambria"/>
          <w:color w:val="000000"/>
        </w:rPr>
      </w:pPr>
      <w:bookmarkStart w:colFirst="0" w:colLast="0" w:name="_fpmau9lz7hhk" w:id="2"/>
      <w:bookmarkEnd w:id="2"/>
      <w:r w:rsidDel="00000000" w:rsidR="00000000" w:rsidRPr="00000000">
        <w:rPr>
          <w:rFonts w:ascii="Cambria" w:cs="Cambria" w:eastAsia="Cambria" w:hAnsi="Cambria"/>
          <w:color w:val="000000"/>
          <w:rtl w:val="0"/>
        </w:rPr>
        <w:t xml:space="preserve">Snowflake Helps With</w:t>
      </w:r>
    </w:p>
    <w:p w:rsidR="00000000" w:rsidDel="00000000" w:rsidP="00000000" w:rsidRDefault="00000000" w:rsidRPr="00000000" w14:paraId="00000028">
      <w:pPr>
        <w:numPr>
          <w:ilvl w:val="0"/>
          <w:numId w:val="8"/>
        </w:numPr>
        <w:spacing w:after="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historical storage</w:t>
      </w:r>
    </w:p>
    <w:p w:rsidR="00000000" w:rsidDel="00000000" w:rsidP="00000000" w:rsidRDefault="00000000" w:rsidRPr="00000000" w14:paraId="00000029">
      <w:pPr>
        <w:numPr>
          <w:ilvl w:val="0"/>
          <w:numId w:val="8"/>
        </w:numPr>
        <w:spacing w:after="0" w:before="0" w:lineRule="auto"/>
        <w:ind w:left="720" w:hanging="360"/>
        <w:rPr/>
      </w:pPr>
      <w:r w:rsidDel="00000000" w:rsidR="00000000" w:rsidRPr="00000000">
        <w:rPr>
          <w:rtl w:val="0"/>
        </w:rPr>
        <w:t xml:space="preserve">enterprise analytics</w:t>
      </w:r>
    </w:p>
    <w:p w:rsidR="00000000" w:rsidDel="00000000" w:rsidP="00000000" w:rsidRDefault="00000000" w:rsidRPr="00000000" w14:paraId="0000002A">
      <w:pPr>
        <w:numPr>
          <w:ilvl w:val="0"/>
          <w:numId w:val="8"/>
        </w:numPr>
        <w:spacing w:after="0" w:before="0" w:lineRule="auto"/>
        <w:ind w:left="720" w:hanging="360"/>
        <w:rPr/>
      </w:pPr>
      <w:r w:rsidDel="00000000" w:rsidR="00000000" w:rsidRPr="00000000">
        <w:rPr>
          <w:rtl w:val="0"/>
        </w:rPr>
        <w:t xml:space="preserve">dashboard reporting</w:t>
      </w:r>
    </w:p>
    <w:p w:rsidR="00000000" w:rsidDel="00000000" w:rsidP="00000000" w:rsidRDefault="00000000" w:rsidRPr="00000000" w14:paraId="0000002B">
      <w:pPr>
        <w:numPr>
          <w:ilvl w:val="0"/>
          <w:numId w:val="8"/>
        </w:numPr>
        <w:spacing w:after="240" w:before="0" w:lineRule="auto"/>
        <w:ind w:left="720" w:hanging="360"/>
        <w:rPr/>
      </w:pPr>
      <w:r w:rsidDel="00000000" w:rsidR="00000000" w:rsidRPr="00000000">
        <w:rPr>
          <w:rtl w:val="0"/>
        </w:rPr>
        <w:t xml:space="preserve">large-scale querying</w:t>
      </w:r>
    </w:p>
    <w:p w:rsidR="00000000" w:rsidDel="00000000" w:rsidP="00000000" w:rsidRDefault="00000000" w:rsidRPr="00000000" w14:paraId="0000002C">
      <w:pPr>
        <w:pStyle w:val="Heading1"/>
        <w:keepNext w:val="0"/>
        <w:keepLines w:val="0"/>
        <w:spacing w:after="120" w:lineRule="auto"/>
        <w:rPr>
          <w:rFonts w:ascii="Cambria" w:cs="Cambria" w:eastAsia="Cambria" w:hAnsi="Cambria"/>
          <w:color w:val="000000"/>
          <w:sz w:val="34"/>
          <w:szCs w:val="34"/>
        </w:rPr>
      </w:pPr>
      <w:bookmarkStart w:colFirst="0" w:colLast="0" w:name="_w3fbv0p3hzkb" w:id="3"/>
      <w:bookmarkEnd w:id="3"/>
      <w:r w:rsidDel="00000000" w:rsidR="00000000" w:rsidRPr="00000000">
        <w:rPr>
          <w:rFonts w:ascii="Cambria" w:cs="Cambria" w:eastAsia="Cambria" w:hAnsi="Cambria"/>
          <w:color w:val="000000"/>
          <w:sz w:val="34"/>
          <w:szCs w:val="34"/>
          <w:rtl w:val="0"/>
        </w:rPr>
        <w:t xml:space="preserve">HOW AGENTS CHANGE</w:t>
      </w:r>
    </w:p>
    <w:p w:rsidR="00000000" w:rsidDel="00000000" w:rsidP="00000000" w:rsidRDefault="00000000" w:rsidRPr="00000000" w14:paraId="0000002D">
      <w:pPr>
        <w:pStyle w:val="Heading1"/>
        <w:keepNext w:val="0"/>
        <w:keepLines w:val="0"/>
        <w:spacing w:after="120" w:lineRule="auto"/>
        <w:rPr>
          <w:rFonts w:ascii="Cambria" w:cs="Cambria" w:eastAsia="Cambria" w:hAnsi="Cambria"/>
          <w:color w:val="000000"/>
        </w:rPr>
      </w:pPr>
      <w:bookmarkStart w:colFirst="0" w:colLast="0" w:name="_g2zzd5uwqi2q" w:id="4"/>
      <w:bookmarkEnd w:id="4"/>
      <w:r w:rsidDel="00000000" w:rsidR="00000000" w:rsidRPr="00000000">
        <w:rPr>
          <w:rFonts w:ascii="Cambria" w:cs="Cambria" w:eastAsia="Cambria" w:hAnsi="Cambria"/>
          <w:color w:val="000000"/>
          <w:rtl w:val="0"/>
        </w:rPr>
        <w:t xml:space="preserve">1.Data Quality Agent</w:t>
      </w:r>
    </w:p>
    <w:p w:rsidR="00000000" w:rsidDel="00000000" w:rsidP="00000000" w:rsidRDefault="00000000" w:rsidRPr="00000000" w14:paraId="0000002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Now analyzes:</w:t>
      </w:r>
    </w:p>
    <w:p w:rsidR="00000000" w:rsidDel="00000000" w:rsidP="00000000" w:rsidRDefault="00000000" w:rsidRPr="00000000" w14:paraId="0000002F">
      <w:pPr>
        <w:numPr>
          <w:ilvl w:val="0"/>
          <w:numId w:val="3"/>
        </w:numPr>
        <w:spacing w:after="24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real-time observability metrics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pStyle w:val="Heading1"/>
        <w:keepNext w:val="0"/>
        <w:keepLines w:val="0"/>
        <w:spacing w:after="120" w:lineRule="auto"/>
        <w:rPr>
          <w:rFonts w:ascii="Cambria" w:cs="Cambria" w:eastAsia="Cambria" w:hAnsi="Cambria"/>
          <w:color w:val="000000"/>
        </w:rPr>
      </w:pPr>
      <w:bookmarkStart w:colFirst="0" w:colLast="0" w:name="_4etmp4zcu6fo" w:id="5"/>
      <w:bookmarkEnd w:id="5"/>
      <w:r w:rsidDel="00000000" w:rsidR="00000000" w:rsidRPr="00000000">
        <w:rPr>
          <w:rFonts w:ascii="Cambria" w:cs="Cambria" w:eastAsia="Cambria" w:hAnsi="Cambria"/>
          <w:color w:val="000000"/>
          <w:rtl w:val="0"/>
        </w:rPr>
        <w:t xml:space="preserve">2.Log Analysis Agent</w:t>
      </w:r>
    </w:p>
    <w:p w:rsidR="00000000" w:rsidDel="00000000" w:rsidP="00000000" w:rsidRDefault="00000000" w:rsidRPr="00000000" w14:paraId="0000003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Now monitors:</w:t>
      </w:r>
    </w:p>
    <w:p w:rsidR="00000000" w:rsidDel="00000000" w:rsidP="00000000" w:rsidRDefault="00000000" w:rsidRPr="00000000" w14:paraId="00000032">
      <w:pPr>
        <w:numPr>
          <w:ilvl w:val="0"/>
          <w:numId w:val="6"/>
        </w:numPr>
        <w:spacing w:after="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API logs</w:t>
      </w:r>
    </w:p>
    <w:p w:rsidR="00000000" w:rsidDel="00000000" w:rsidP="00000000" w:rsidRDefault="00000000" w:rsidRPr="00000000" w14:paraId="00000033">
      <w:pPr>
        <w:numPr>
          <w:ilvl w:val="0"/>
          <w:numId w:val="6"/>
        </w:numPr>
        <w:spacing w:after="240" w:before="0" w:lineRule="auto"/>
        <w:ind w:left="720" w:hanging="360"/>
        <w:rPr/>
      </w:pPr>
      <w:r w:rsidDel="00000000" w:rsidR="00000000" w:rsidRPr="00000000">
        <w:rPr>
          <w:rtl w:val="0"/>
        </w:rPr>
        <w:t xml:space="preserve">stream failures</w:t>
      </w:r>
    </w:p>
    <w:p w:rsidR="00000000" w:rsidDel="00000000" w:rsidP="00000000" w:rsidRDefault="00000000" w:rsidRPr="00000000" w14:paraId="00000034">
      <w:pPr>
        <w:pStyle w:val="Heading1"/>
        <w:keepNext w:val="0"/>
        <w:keepLines w:val="0"/>
        <w:spacing w:after="120" w:lineRule="auto"/>
        <w:rPr>
          <w:rFonts w:ascii="Cambria" w:cs="Cambria" w:eastAsia="Cambria" w:hAnsi="Cambria"/>
          <w:color w:val="000000"/>
        </w:rPr>
      </w:pPr>
      <w:bookmarkStart w:colFirst="0" w:colLast="0" w:name="_yp4q42vuyxh" w:id="6"/>
      <w:bookmarkEnd w:id="6"/>
      <w:r w:rsidDel="00000000" w:rsidR="00000000" w:rsidRPr="00000000">
        <w:rPr>
          <w:rFonts w:ascii="Cambria" w:cs="Cambria" w:eastAsia="Cambria" w:hAnsi="Cambria"/>
          <w:color w:val="000000"/>
          <w:rtl w:val="0"/>
        </w:rPr>
        <w:t xml:space="preserve">3.RCA Agent</w:t>
      </w:r>
    </w:p>
    <w:p w:rsidR="00000000" w:rsidDel="00000000" w:rsidP="00000000" w:rsidRDefault="00000000" w:rsidRPr="00000000" w14:paraId="0000003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Can detect:</w:t>
      </w:r>
    </w:p>
    <w:p w:rsidR="00000000" w:rsidDel="00000000" w:rsidP="00000000" w:rsidRDefault="00000000" w:rsidRPr="00000000" w14:paraId="0000003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Hospital API latency caused delayed clinical ingestion.</w:t>
      </w:r>
    </w:p>
    <w:p w:rsidR="00000000" w:rsidDel="00000000" w:rsidP="00000000" w:rsidRDefault="00000000" w:rsidRPr="00000000" w14:paraId="00000037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pStyle w:val="Heading1"/>
        <w:keepNext w:val="0"/>
        <w:keepLines w:val="0"/>
        <w:spacing w:after="120" w:lineRule="auto"/>
        <w:rPr>
          <w:rFonts w:ascii="Cambria" w:cs="Cambria" w:eastAsia="Cambria" w:hAnsi="Cambria"/>
          <w:color w:val="000000"/>
          <w:sz w:val="46"/>
          <w:szCs w:val="46"/>
        </w:rPr>
      </w:pPr>
      <w:bookmarkStart w:colFirst="0" w:colLast="0" w:name="_2dizhcs6qokn" w:id="7"/>
      <w:bookmarkEnd w:id="7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pStyle w:val="Heading1"/>
        <w:keepNext w:val="0"/>
        <w:keepLines w:val="0"/>
        <w:spacing w:after="120" w:lineRule="auto"/>
        <w:rPr>
          <w:sz w:val="10"/>
          <w:szCs w:val="10"/>
        </w:rPr>
      </w:pPr>
      <w:bookmarkStart w:colFirst="0" w:colLast="0" w:name="_klnddvar82xn" w:id="8"/>
      <w:bookmarkEnd w:id="8"/>
      <w:r w:rsidDel="00000000" w:rsidR="00000000" w:rsidRPr="00000000">
        <w:rPr>
          <w:rFonts w:ascii="Cambria" w:cs="Cambria" w:eastAsia="Cambria" w:hAnsi="Cambria"/>
          <w:color w:val="000000"/>
          <w:rtl w:val="0"/>
        </w:rPr>
        <w:t xml:space="preserve">BENEFITS</w:t>
      </w:r>
      <w:r w:rsidDel="00000000" w:rsidR="00000000" w:rsidRPr="00000000">
        <w:rPr>
          <w:rtl w:val="0"/>
        </w:rPr>
      </w:r>
    </w:p>
    <w:tbl>
      <w:tblPr>
        <w:tblStyle w:val="Table1"/>
        <w:tblW w:w="8085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840"/>
        <w:gridCol w:w="4245"/>
        <w:tblGridChange w:id="0">
          <w:tblGrid>
            <w:gridCol w:w="3840"/>
            <w:gridCol w:w="4245"/>
          </w:tblGrid>
        </w:tblGridChange>
      </w:tblGrid>
      <w:tr>
        <w:trPr>
          <w:cantSplit w:val="0"/>
          <w:trHeight w:val="500" w:hRule="atLeast"/>
          <w:tblHeader w:val="0"/>
        </w:trPr>
        <w:tc>
          <w:tcPr/>
          <w:p w:rsidR="00000000" w:rsidDel="00000000" w:rsidP="00000000" w:rsidRDefault="00000000" w:rsidRPr="00000000" w14:paraId="0000003A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Before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B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After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/>
          <w:p w:rsidR="00000000" w:rsidDel="00000000" w:rsidP="00000000" w:rsidRDefault="00000000" w:rsidRPr="00000000" w14:paraId="0000003C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Batch monitoring</w:t>
            </w:r>
          </w:p>
        </w:tc>
        <w:tc>
          <w:tcPr/>
          <w:p w:rsidR="00000000" w:rsidDel="00000000" w:rsidP="00000000" w:rsidRDefault="00000000" w:rsidRPr="00000000" w14:paraId="0000003D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Real-time monitoring</w:t>
            </w:r>
          </w:p>
        </w:tc>
      </w:tr>
      <w:tr>
        <w:trPr>
          <w:cantSplit w:val="0"/>
          <w:trHeight w:val="500" w:hRule="atLeast"/>
          <w:tblHeader w:val="0"/>
        </w:trPr>
        <w:tc>
          <w:tcPr/>
          <w:p w:rsidR="00000000" w:rsidDel="00000000" w:rsidP="00000000" w:rsidRDefault="00000000" w:rsidRPr="00000000" w14:paraId="0000003E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Delayed detection</w:t>
            </w:r>
          </w:p>
        </w:tc>
        <w:tc>
          <w:tcPr/>
          <w:p w:rsidR="00000000" w:rsidDel="00000000" w:rsidP="00000000" w:rsidRDefault="00000000" w:rsidRPr="00000000" w14:paraId="0000003F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Instant detection</w:t>
            </w:r>
          </w:p>
        </w:tc>
      </w:tr>
      <w:tr>
        <w:trPr>
          <w:cantSplit w:val="0"/>
          <w:trHeight w:val="500" w:hRule="atLeast"/>
          <w:tblHeader w:val="0"/>
        </w:trPr>
        <w:tc>
          <w:tcPr/>
          <w:p w:rsidR="00000000" w:rsidDel="00000000" w:rsidP="00000000" w:rsidRDefault="00000000" w:rsidRPr="00000000" w14:paraId="00000040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Manual uploads</w:t>
            </w:r>
          </w:p>
        </w:tc>
        <w:tc>
          <w:tcPr/>
          <w:p w:rsidR="00000000" w:rsidDel="00000000" w:rsidP="00000000" w:rsidRDefault="00000000" w:rsidRPr="00000000" w14:paraId="00000041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Continuous ingestion</w:t>
            </w:r>
          </w:p>
        </w:tc>
      </w:tr>
      <w:tr>
        <w:trPr>
          <w:cantSplit w:val="0"/>
          <w:trHeight w:val="500" w:hRule="atLeast"/>
          <w:tblHeader w:val="0"/>
        </w:trPr>
        <w:tc>
          <w:tcPr/>
          <w:p w:rsidR="00000000" w:rsidDel="00000000" w:rsidP="00000000" w:rsidRDefault="00000000" w:rsidRPr="00000000" w14:paraId="00000042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Static analysis</w:t>
            </w:r>
          </w:p>
        </w:tc>
        <w:tc>
          <w:tcPr/>
          <w:p w:rsidR="00000000" w:rsidDel="00000000" w:rsidP="00000000" w:rsidRDefault="00000000" w:rsidRPr="00000000" w14:paraId="00000043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Live observability</w:t>
            </w:r>
          </w:p>
        </w:tc>
      </w:tr>
    </w:tbl>
    <w:p w:rsidR="00000000" w:rsidDel="00000000" w:rsidP="00000000" w:rsidRDefault="00000000" w:rsidRPr="00000000" w14:paraId="00000044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800" w:right="180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mbria"/>
  <w:font w:name="Calibri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mbria" w:cs="Cambria" w:eastAsia="Cambria" w:hAnsi="Cambria"/>
        <w:sz w:val="22"/>
        <w:szCs w:val="22"/>
        <w:lang w:val="en"/>
      </w:rPr>
    </w:rPrDefault>
    <w:pPrDefault>
      <w:pPr>
        <w:spacing w:after="20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480" w:lineRule="auto"/>
    </w:pPr>
    <w:rPr>
      <w:rFonts w:ascii="Calibri" w:cs="Calibri" w:eastAsia="Calibri" w:hAnsi="Calibri"/>
      <w:b w:val="1"/>
      <w:bCs w:val="1"/>
      <w:color w:val="366091"/>
      <w:sz w:val="28"/>
      <w:szCs w:val="28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i w:val="1"/>
      <w:iCs w:val="1"/>
      <w:color w:val="4f81bd"/>
    </w:rPr>
  </w:style>
  <w:style w:type="paragraph" w:styleId="Heading5">
    <w:name w:val="heading 5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color w:val="243f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i w:val="1"/>
      <w:iCs w:val="1"/>
      <w:color w:val="243f61"/>
    </w:rPr>
  </w:style>
  <w:style w:type="paragraph" w:styleId="Title">
    <w:name w:val="Title"/>
    <w:basedOn w:val="Normal"/>
    <w:next w:val="Normal"/>
    <w:pPr>
      <w:pBdr>
        <w:bottom w:color="4f81bd" w:space="4" w:sz="8" w:val="single"/>
      </w:pBdr>
      <w:spacing w:after="300" w:line="240" w:lineRule="auto"/>
    </w:pPr>
    <w:rPr>
      <w:rFonts w:ascii="Calibri" w:cs="Calibri" w:eastAsia="Calibri" w:hAnsi="Calibri"/>
      <w:color w:val="17365d"/>
      <w:sz w:val="52"/>
      <w:szCs w:val="52"/>
    </w:rPr>
  </w:style>
  <w:style w:type="paragraph" w:styleId="Subtitle">
    <w:name w:val="Subtitle"/>
    <w:basedOn w:val="Normal"/>
    <w:next w:val="Normal"/>
    <w:pPr/>
    <w:rPr>
      <w:rFonts w:ascii="Calibri" w:cs="Calibri" w:eastAsia="Calibri" w:hAnsi="Calibri"/>
      <w:i w:val="1"/>
      <w:iCs w:val="1"/>
      <w:color w:val="4f81bd"/>
      <w:sz w:val="24"/>
      <w:szCs w:val="24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