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Clinical Trial AI Observability System</w:t>
      </w:r>
    </w:p>
    <w:p>
      <w:pPr>
        <w:spacing w:after="60" w:before="40"/>
        <w:jc w:val="center"/>
      </w:pPr>
      <w:r>
        <w:rPr>
          <w:rFonts w:ascii="Arial" w:cs="Arial" w:eastAsia="Arial" w:hAnsi="Arial"/>
          <w:color w:val="2E5FA3"/>
          <w:sz w:val="28"/>
          <w:szCs w:val="28"/>
        </w:rPr>
        <w:t xml:space="preserve">Business Q&amp;A  ·  Client Presentation</w:t>
      </w:r>
    </w:p>
    <w:p>
      <w:pPr>
        <w:spacing w:after="480" w:before="20"/>
        <w:jc w:val="center"/>
      </w:pPr>
      <w:r>
        <w:rPr>
          <w:rFonts w:ascii="Arial" w:cs="Arial" w:eastAsia="Arial" w:hAnsi="Arial"/>
          <w:i/>
          <w:iCs/>
          <w:color w:val="888888"/>
          <w:sz w:val="20"/>
          <w:szCs w:val="20"/>
        </w:rPr>
        <w:t xml:space="preserve">POC Version  ·  2025</w:t>
      </w:r>
    </w:p>
    <w:p>
      <w:pPr>
        <w:pBdr>
          <w:bottom w:val="single" w:color="CCCCCC" w:sz="2" w:space="1"/>
        </w:pBdr>
        <w:spacing w:after="160" w:before="160"/>
      </w:pPr>
      <w:r>
        <w:t xml:space="preserve"/>
      </w:r>
    </w:p>
    <w:p>
      <w:pPr>
        <w:spacing w:after="80" w:before="80"/>
      </w:pPr>
      <w:r>
        <w:t xml:space="preserve"/>
      </w:r>
    </w:p>
    <w:p>
      <w:pPr>
        <w:pStyle w:val="Heading1"/>
        <w:spacing w:after="120" w:before="360"/>
      </w:pPr>
      <w:r>
        <w:rPr>
          <w:rFonts w:ascii="Arial" w:cs="Arial" w:eastAsia="Arial" w:hAnsi="Arial"/>
          <w:b/>
          <w:bCs/>
          <w:color w:val="1F3864"/>
          <w:sz w:val="36"/>
          <w:szCs w:val="36"/>
        </w:rPr>
        <w:t xml:space="preserve">1.  ROI &amp; Business benefits</w:t>
      </w:r>
    </w:p>
    <w:p>
      <w:pPr>
        <w:spacing w:after="60" w:before="220"/>
      </w:pPr>
      <w:r>
        <w:rPr>
          <w:rFonts w:ascii="Arial" w:cs="Arial" w:eastAsia="Arial" w:hAnsi="Arial"/>
          <w:b/>
          <w:bCs/>
          <w:color w:val="2E5FA3"/>
          <w:sz w:val="22"/>
          <w:szCs w:val="22"/>
        </w:rPr>
        <w:t xml:space="preserve">What does this system actually save?</w:t>
      </w:r>
    </w:p>
    <w:p>
      <w:pPr>
        <w:spacing w:after="120" w:before="60"/>
      </w:pPr>
      <w:r>
        <w:rPr>
          <w:rFonts w:ascii="Arial" w:cs="Arial" w:eastAsia="Arial" w:hAnsi="Arial"/>
          <w:color w:val="404040"/>
          <w:sz w:val="20"/>
          <w:szCs w:val="20"/>
        </w:rPr>
        <w:t xml:space="preserve">In a typical clinical trial, data quality issues are caught late — often during regulatory submission — leading to costly rework, trial delays, or outright rejection. This system catches them in real time, at the very moment data enters the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replaces</w:t>
            </w:r>
          </w:p>
        </w:tc>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cost</w:t>
            </w:r>
          </w:p>
        </w:tc>
        <w:tc>
          <w:tcPr>
            <w:tcW w:type="dxa" w:w="39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 this system</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Manual data review by CDM team</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Days per review cycle</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Minutes — AI pre-reviews, human only needs to approve</w:t>
            </w:r>
          </w:p>
        </w:tc>
      </w:tr>
      <w:tr>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Late-stage anomaly discovery</w:t>
            </w:r>
          </w:p>
        </w:tc>
        <w:tc>
          <w:tcPr>
            <w:tcW w:type="dxa" w:w="2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Can delay trial by weeks or months</w:t>
            </w:r>
          </w:p>
        </w:tc>
        <w:tc>
          <w:tcPr>
            <w:tcW w:type="dxa" w:w="39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Caught at data ingestion, fixed immediately</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Compliance audit preparation</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Weeks of log gathering</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Audit trail generated automatically on every run</w:t>
            </w:r>
          </w:p>
        </w:tc>
      </w:tr>
      <w:tr>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Root cause investigation after errors</w:t>
            </w:r>
          </w:p>
        </w:tc>
        <w:tc>
          <w:tcPr>
            <w:tcW w:type="dxa" w:w="2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Requires senior engineers</w:t>
            </w:r>
          </w:p>
        </w:tc>
        <w:tc>
          <w:tcPr>
            <w:tcW w:type="dxa" w:w="39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RCA agent produces a structured report instantly</w:t>
            </w:r>
          </w:p>
        </w:tc>
      </w:tr>
    </w:tbl>
    <w:p>
      <w:pPr>
        <w:spacing w:after="80" w:before="80"/>
      </w:pPr>
      <w:r>
        <w:t xml:space="preserve"/>
      </w:r>
    </w:p>
    <w:p>
      <w:pPr>
        <w:pBdr>
          <w:left w:val="single" w:color="2E5FA3" w:sz="12" w:space="10"/>
        </w:pBdr>
        <w:shd w:fill="D6E4F7" w:val="clear"/>
        <w:spacing w:after="60" w:before="100"/>
        <w:ind w:left="200" w:right="200"/>
      </w:pPr>
      <w:r>
        <w:rPr>
          <w:rFonts w:ascii="Arial" w:cs="Arial" w:eastAsia="Arial" w:hAnsi="Arial"/>
          <w:b/>
          <w:bCs/>
          <w:color w:val="1F4E79"/>
          <w:sz w:val="20"/>
          <w:szCs w:val="20"/>
        </w:rPr>
        <w:t xml:space="preserve">Bottom line:  </w:t>
      </w:r>
      <w:r>
        <w:rPr>
          <w:rFonts w:ascii="Arial" w:cs="Arial" w:eastAsia="Arial" w:hAnsi="Arial"/>
          <w:color w:val="1A1A1A"/>
          <w:sz w:val="20"/>
          <w:szCs w:val="20"/>
        </w:rPr>
        <w:t xml:space="preserve">Faster trial timelines, fewer manual review hours, and no regulatory surprises. In an industry where a single trial delay costs </w:t>
      </w:r>
      <w:r>
        <w:rPr>
          <w:rFonts w:ascii="Arial" w:cs="Arial" w:eastAsia="Arial" w:hAnsi="Arial"/>
          <w:b/>
          <w:bCs/>
          <w:color w:val="1A1A1A"/>
          <w:sz w:val="20"/>
          <w:szCs w:val="20"/>
        </w:rPr>
        <w:t xml:space="preserve">$600K – $8M per day</w:t>
      </w:r>
      <w:r>
        <w:rPr>
          <w:rFonts w:ascii="Arial" w:cs="Arial" w:eastAsia="Arial" w:hAnsi="Arial"/>
          <w:color w:val="1A1A1A"/>
          <w:sz w:val="20"/>
          <w:szCs w:val="20"/>
        </w:rPr>
        <w:t xml:space="preserve">, catching even one issue early pays for the entire system.</w:t>
      </w:r>
    </w:p>
    <w:p>
      <w:pPr>
        <w:spacing w:after="80" w:before="80"/>
      </w:pPr>
      <w:r>
        <w:t xml:space="preserve"/>
      </w:r>
    </w:p>
    <w:p>
      <w:pPr>
        <w:pBdr>
          <w:bottom w:val="single" w:color="CCCCCC" w:sz="2" w:space="1"/>
        </w:pBdr>
        <w:spacing w:after="160" w:before="160"/>
      </w:pPr>
      <w:r>
        <w:t xml:space="preserve"/>
      </w:r>
    </w:p>
    <w:p>
      <w:pPr>
        <w:pStyle w:val="Heading1"/>
        <w:spacing w:after="120" w:before="360"/>
      </w:pPr>
      <w:r>
        <w:rPr>
          <w:rFonts w:ascii="Arial" w:cs="Arial" w:eastAsia="Arial" w:hAnsi="Arial"/>
          <w:b/>
          <w:bCs/>
          <w:color w:val="1F3864"/>
          <w:sz w:val="36"/>
          <w:szCs w:val="36"/>
        </w:rPr>
        <w:t xml:space="preserve">2.  Security</w:t>
      </w:r>
    </w:p>
    <w:p>
      <w:pPr>
        <w:spacing w:after="60" w:before="220"/>
      </w:pPr>
      <w:r>
        <w:rPr>
          <w:rFonts w:ascii="Arial" w:cs="Arial" w:eastAsia="Arial" w:hAnsi="Arial"/>
          <w:b/>
          <w:bCs/>
          <w:color w:val="2E5FA3"/>
          <w:sz w:val="22"/>
          <w:szCs w:val="22"/>
        </w:rPr>
        <w:t xml:space="preserve">How secure is this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Security concern</w:t>
            </w:r>
          </w:p>
        </w:tc>
        <w:tc>
          <w:tcPr>
            <w:tcW w:type="dxa" w:w="61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it is handled</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Patient data exposure</w:t>
            </w:r>
          </w:p>
        </w:tc>
        <w:tc>
          <w:tcPr>
            <w:tcW w:type="dxa" w:w="61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An automated privacy filter (Microsoft Presidio) strips all patient identifiers — names, emails, phone numbers, national IDs — before any data is processed by the AI. The AI never sees raw patient data.</w:t>
            </w:r>
          </w:p>
        </w:tc>
      </w:tr>
      <w:tr>
        <w:tc>
          <w:tcPr>
            <w:tcW w:type="dxa" w:w="3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Data leaving the organisation</w:t>
            </w:r>
          </w:p>
        </w:tc>
        <w:tc>
          <w:tcPr>
            <w:tcW w:type="dxa" w:w="61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Nothing is stored externally. All reports, audit trails, and alerts are written to the client's own servers only. Zero data goes to the cloud.</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Unauthorised access</w:t>
            </w:r>
          </w:p>
        </w:tc>
        <w:tc>
          <w:tcPr>
            <w:tcW w:type="dxa" w:w="61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Every user must log in with a secure credential before accessing any part of the system. Different roles (reviewer, engineer, viewer) see only what they are allowed to see.</w:t>
            </w:r>
          </w:p>
        </w:tc>
      </w:tr>
      <w:tr>
        <w:tc>
          <w:tcPr>
            <w:tcW w:type="dxa" w:w="3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Audit tampering</w:t>
            </w:r>
          </w:p>
        </w:tc>
        <w:tc>
          <w:tcPr>
            <w:tcW w:type="dxa" w:w="61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audit trail is append-only — once an entry is written it cannot be changed or deleted. Every action is permanently recorded with a timestamp.</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System abuse</w:t>
            </w:r>
          </w:p>
        </w:tc>
        <w:tc>
          <w:tcPr>
            <w:tcW w:type="dxa" w:w="61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system limits how many analysis runs can be triggered per minute, preventing automated misuse or overload.</w:t>
            </w:r>
          </w:p>
        </w:tc>
      </w:tr>
    </w:tbl>
    <w:p>
      <w:pPr>
        <w:spacing w:after="80" w:before="80"/>
      </w:pPr>
      <w:r>
        <w:t xml:space="preserve"/>
      </w:r>
    </w:p>
    <w:p>
      <w:pPr>
        <w:spacing w:after="120" w:before="60"/>
        <w:ind w:left="360"/>
      </w:pPr>
      <w:r>
        <w:rPr>
          <w:rFonts w:ascii="Arial" w:cs="Arial" w:eastAsia="Arial" w:hAnsi="Arial"/>
          <w:i/>
          <w:iCs/>
          <w:color w:val="7F6000"/>
          <w:sz w:val="18"/>
          <w:szCs w:val="18"/>
        </w:rPr>
        <w:t xml:space="preserve">📌  One honest gap to flag: The current sign-off step captures the reviewer's name as typed text. Before production use, this would be upgraded to a verified company login — ensuring every approval is legally tied to a confirmed identity, not just a name someone typed in.</w:t>
      </w:r>
    </w:p>
    <w:p>
      <w:pPr>
        <w:spacing w:after="80" w:before="80"/>
      </w:pPr>
      <w:r>
        <w:t xml:space="preserve"/>
      </w:r>
    </w:p>
    <w:p>
      <w:pPr>
        <w:pBdr>
          <w:bottom w:val="single" w:color="CCCCCC" w:sz="2" w:space="1"/>
        </w:pBdr>
        <w:spacing w:after="160" w:before="160"/>
      </w:pPr>
      <w:r>
        <w:t xml:space="preserve"/>
      </w:r>
    </w:p>
    <w:p>
      <w:pPr>
        <w:pStyle w:val="Heading1"/>
        <w:spacing w:after="120" w:before="360"/>
      </w:pPr>
      <w:r>
        <w:rPr>
          <w:rFonts w:ascii="Arial" w:cs="Arial" w:eastAsia="Arial" w:hAnsi="Arial"/>
          <w:b/>
          <w:bCs/>
          <w:color w:val="1F3864"/>
          <w:sz w:val="36"/>
          <w:szCs w:val="36"/>
        </w:rPr>
        <w:t xml:space="preserve">3.  Compliance coverage</w:t>
      </w:r>
    </w:p>
    <w:p>
      <w:pPr>
        <w:spacing w:after="60" w:before="220"/>
      </w:pPr>
      <w:r>
        <w:rPr>
          <w:rFonts w:ascii="Arial" w:cs="Arial" w:eastAsia="Arial" w:hAnsi="Arial"/>
          <w:b/>
          <w:bCs/>
          <w:color w:val="2E5FA3"/>
          <w:sz w:val="22"/>
          <w:szCs w:val="22"/>
        </w:rPr>
        <w:t xml:space="preserve">Which healthcare regulations does this system address?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Regulation</w:t>
            </w:r>
          </w:p>
        </w:tc>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requires</w:t>
            </w:r>
          </w:p>
        </w:tc>
        <w:tc>
          <w:tcPr>
            <w:tcW w:type="dxa" w:w="43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the system covers it</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FDA 21 CFR Part 11</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Governs how electronic records in clinical trials must be stored, who can approve them, and how approvals are logged</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Every pipeline action is logged with a timestamp and the identity of who performed it. The audit trail is immutable and can be exported for an FDA inspection.</w:t>
            </w:r>
          </w:p>
        </w:tc>
      </w:tr>
      <w:tr>
        <w:tc>
          <w:tcPr>
            <w:tcW w:type="dxa" w:w="2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ICH E6 GCP</w:t>
            </w:r>
          </w:p>
        </w:tc>
        <w:tc>
          <w:tcPr>
            <w:tcW w:type="dxa" w:w="28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international standard for how clinical trial data must be managed, verified, and documented</w:t>
            </w:r>
          </w:p>
        </w:tc>
        <w:tc>
          <w:tcPr>
            <w:tcW w:type="dxa" w:w="43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system runs a 5-point data quality check on every dataset — completeness, accuracy, freshness, schema, and drift — and a dedicated compliance agent evaluates alignment to GCP.</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HIPAA</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US law requiring that patient health information is protected at all times</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Patient identifiers are stripped before any AI processing. No Protected Health Information (PHI) ever reaches the AI model or appears in any output report.</w:t>
            </w:r>
          </w:p>
        </w:tc>
      </w:tr>
    </w:tbl>
    <w:p>
      <w:pPr>
        <w:spacing w:after="80" w:before="80"/>
      </w:pPr>
      <w:r>
        <w:t xml:space="preserve"/>
      </w:r>
    </w:p>
    <w:p>
      <w:pPr>
        <w:spacing w:after="60" w:before="80"/>
      </w:pPr>
      <w:r>
        <w:rPr>
          <w:rFonts w:ascii="Arial" w:cs="Arial" w:eastAsia="Arial" w:hAnsi="Arial"/>
          <w:b/>
          <w:bCs/>
          <w:color w:val="1A1A1A"/>
          <w:sz w:val="20"/>
          <w:szCs w:val="20"/>
        </w:rPr>
        <w:t xml:space="preserve">What is on the roadmap for full compliance:</w:t>
      </w:r>
    </w:p>
    <w:p>
      <w:pPr>
        <w:pStyle w:val="ListParagraph"/>
        <w:numPr>
          <w:ilvl w:val="0"/>
          <w:numId w:val="2"/>
        </w:numPr>
        <w:spacing w:after="40" w:before="40"/>
      </w:pPr>
      <w:r>
        <w:rPr>
          <w:rFonts w:ascii="Arial" w:cs="Arial" w:eastAsia="Arial" w:hAnsi="Arial"/>
          <w:color w:val="404040"/>
          <w:sz w:val="20"/>
          <w:szCs w:val="20"/>
        </w:rPr>
        <w:t xml:space="preserve">Masking of date of birth — a protected identifier under HIPAA (planned for next development sprint)</w:t>
      </w:r>
    </w:p>
    <w:p>
      <w:pPr>
        <w:pStyle w:val="ListParagraph"/>
        <w:numPr>
          <w:ilvl w:val="0"/>
          <w:numId w:val="2"/>
        </w:numPr>
        <w:spacing w:after="120" w:before="40"/>
      </w:pPr>
      <w:r>
        <w:rPr>
          <w:rFonts w:ascii="Arial" w:cs="Arial" w:eastAsia="Arial" w:hAnsi="Arial"/>
          <w:color w:val="404040"/>
          <w:sz w:val="20"/>
          <w:szCs w:val="20"/>
        </w:rPr>
        <w:t xml:space="preserve">Cryptographically verified electronic signatures linked to company login — required for FDA submission (Phase 2)</w:t>
      </w:r>
    </w:p>
    <w:p>
      <w:pPr>
        <w:spacing w:after="120" w:before="60"/>
        <w:ind w:left="360"/>
      </w:pPr>
      <w:r>
        <w:rPr>
          <w:rFonts w:ascii="Arial" w:cs="Arial" w:eastAsia="Arial" w:hAnsi="Arial"/>
          <w:i/>
          <w:iCs/>
          <w:color w:val="7F6000"/>
          <w:sz w:val="18"/>
          <w:szCs w:val="18"/>
        </w:rPr>
        <w:t xml:space="preserve">📌  The system was built compliance-first. The privacy filter is not optional and cannot be switched off. If it fails for any reason, the pipeline stops automatically rather than risk passing unmasked patient data to the AI.</w:t>
      </w:r>
    </w:p>
    <w:p>
      <w:pPr>
        <w:spacing w:after="80" w:before="80"/>
      </w:pPr>
      <w:r>
        <w:t xml:space="preserve"/>
      </w:r>
    </w:p>
    <w:p>
      <w:pPr>
        <w:pBdr>
          <w:bottom w:val="single" w:color="CCCCCC" w:sz="2" w:space="1"/>
        </w:pBdr>
        <w:spacing w:after="160" w:before="160"/>
      </w:pPr>
      <w:r>
        <w:t xml:space="preserve"/>
      </w:r>
    </w:p>
    <w:p>
      <w:pPr>
        <w:pStyle w:val="Heading1"/>
        <w:spacing w:after="120" w:before="360"/>
      </w:pPr>
      <w:r>
        <w:rPr>
          <w:rFonts w:ascii="Arial" w:cs="Arial" w:eastAsia="Arial" w:hAnsi="Arial"/>
          <w:b/>
          <w:bCs/>
          <w:color w:val="1F3864"/>
          <w:sz w:val="36"/>
          <w:szCs w:val="36"/>
        </w:rPr>
        <w:t xml:space="preserve">4.  Business Q&amp;A</w:t>
      </w:r>
    </w:p>
    <w:p>
      <w:pPr>
        <w:pStyle w:val="Heading2"/>
        <w:pBdr>
          <w:bottom w:val="single" w:color="2E5FA3" w:sz="4" w:space="4"/>
        </w:pBdr>
        <w:spacing w:after="80" w:before="280"/>
      </w:pPr>
      <w:r>
        <w:rPr>
          <w:rFonts w:ascii="Arial" w:cs="Arial" w:eastAsia="Arial" w:hAnsi="Arial"/>
          <w:b/>
          <w:bCs/>
          <w:color w:val="1F4E79"/>
          <w:sz w:val="26"/>
          <w:szCs w:val="26"/>
        </w:rPr>
        <w:t xml:space="preserve">Product &amp; Market</w:t>
      </w:r>
    </w:p>
    <w:p>
      <w:pPr>
        <w:spacing w:after="40" w:before="220"/>
      </w:pPr>
      <w:r>
        <w:rPr>
          <w:rFonts w:ascii="Arial" w:cs="Arial" w:eastAsia="Arial" w:hAnsi="Arial"/>
          <w:b/>
          <w:bCs/>
          <w:color w:val="2E5FA3"/>
          <w:sz w:val="22"/>
          <w:szCs w:val="22"/>
        </w:rPr>
        <w:t xml:space="preserve">Q1.  </w:t>
      </w:r>
      <w:r>
        <w:rPr>
          <w:rFonts w:ascii="Arial" w:cs="Arial" w:eastAsia="Arial" w:hAnsi="Arial"/>
          <w:b/>
          <w:bCs/>
          <w:color w:val="1A1A1A"/>
          <w:sz w:val="22"/>
          <w:szCs w:val="22"/>
        </w:rPr>
        <w:t xml:space="preserve">Who is the actual buyer?</w:t>
      </w:r>
    </w:p>
    <w:p>
      <w:pPr>
        <w:spacing w:after="120" w:before="40"/>
        <w:ind w:left="360"/>
      </w:pPr>
      <w:r>
        <w:rPr>
          <w:rFonts w:ascii="Arial" w:cs="Arial" w:eastAsia="Arial" w:hAnsi="Arial"/>
          <w:color w:val="404040"/>
          <w:sz w:val="20"/>
          <w:szCs w:val="20"/>
        </w:rPr>
        <w:t xml:space="preserve">Pharma companies and Contract Research Organisations (CROs) running clinical trials. They own the data quality problem and carry the regulatory risk — which makes them the most motivated buyers. The system is relevant to three people within that organisation: the Clinical Data Manager who reviews and approves reports, the Data Engineer who monitors the pipeline, and the Regulatory Affairs lead who needs the audit trail for submissions.</w:t>
      </w:r>
    </w:p>
    <w:p>
      <w:pPr>
        <w:spacing w:after="40" w:before="220"/>
      </w:pPr>
      <w:r>
        <w:rPr>
          <w:rFonts w:ascii="Arial" w:cs="Arial" w:eastAsia="Arial" w:hAnsi="Arial"/>
          <w:b/>
          <w:bCs/>
          <w:color w:val="2E5FA3"/>
          <w:sz w:val="22"/>
          <w:szCs w:val="22"/>
        </w:rPr>
        <w:t xml:space="preserve">Q2.  </w:t>
      </w:r>
      <w:r>
        <w:rPr>
          <w:rFonts w:ascii="Arial" w:cs="Arial" w:eastAsia="Arial" w:hAnsi="Arial"/>
          <w:b/>
          <w:bCs/>
          <w:color w:val="1A1A1A"/>
          <w:sz w:val="22"/>
          <w:szCs w:val="22"/>
        </w:rPr>
        <w:t xml:space="preserve">On-premise or cloud?</w:t>
      </w:r>
    </w:p>
    <w:p>
      <w:pPr>
        <w:spacing w:after="120" w:before="40"/>
        <w:ind w:left="360"/>
      </w:pPr>
      <w:r>
        <w:rPr>
          <w:rFonts w:ascii="Arial" w:cs="Arial" w:eastAsia="Arial" w:hAnsi="Arial"/>
          <w:color w:val="404040"/>
          <w:sz w:val="20"/>
          <w:szCs w:val="20"/>
        </w:rPr>
        <w:t xml:space="preserve">The current POC runs fully on-premise — no data leaves the client's own servers. This is a deliberate design choice to meet HIPAA requirements. A cloud-hosted version is possible in a future phase, provided the appropriate data processing agreements are in place.</w:t>
      </w:r>
    </w:p>
    <w:p>
      <w:pPr>
        <w:spacing w:after="40" w:before="220"/>
      </w:pPr>
      <w:r>
        <w:rPr>
          <w:rFonts w:ascii="Arial" w:cs="Arial" w:eastAsia="Arial" w:hAnsi="Arial"/>
          <w:b/>
          <w:bCs/>
          <w:color w:val="2E5FA3"/>
          <w:sz w:val="22"/>
          <w:szCs w:val="22"/>
        </w:rPr>
        <w:t xml:space="preserve">Q3.  </w:t>
      </w:r>
      <w:r>
        <w:rPr>
          <w:rFonts w:ascii="Arial" w:cs="Arial" w:eastAsia="Arial" w:hAnsi="Arial"/>
          <w:b/>
          <w:bCs/>
          <w:color w:val="1A1A1A"/>
          <w:sz w:val="22"/>
          <w:szCs w:val="22"/>
        </w:rPr>
        <w:t xml:space="preserve">How does it fit into our existing tools?</w:t>
      </w:r>
    </w:p>
    <w:p>
      <w:pPr>
        <w:spacing w:after="120" w:before="40"/>
        <w:ind w:left="360"/>
      </w:pPr>
      <w:r>
        <w:rPr>
          <w:rFonts w:ascii="Arial" w:cs="Arial" w:eastAsia="Arial" w:hAnsi="Arial"/>
          <w:color w:val="404040"/>
          <w:sz w:val="20"/>
          <w:szCs w:val="20"/>
        </w:rPr>
        <w:t xml:space="preserve">It sits alongside existing systems — it does not replace them. Currently it ingests data via a standard CSV file export from any clinical data platform. In the next phase, direct connections to industry-standard platforms like Medidata Rave and Veeva Vault would eliminate that export step entirely.</w:t>
      </w:r>
    </w:p>
    <w:p>
      <w:pPr>
        <w:spacing w:after="40" w:before="220"/>
      </w:pPr>
      <w:r>
        <w:rPr>
          <w:rFonts w:ascii="Arial" w:cs="Arial" w:eastAsia="Arial" w:hAnsi="Arial"/>
          <w:b/>
          <w:bCs/>
          <w:color w:val="2E5FA3"/>
          <w:sz w:val="22"/>
          <w:szCs w:val="22"/>
        </w:rPr>
        <w:t xml:space="preserve">Q4.  </w:t>
      </w:r>
      <w:r>
        <w:rPr>
          <w:rFonts w:ascii="Arial" w:cs="Arial" w:eastAsia="Arial" w:hAnsi="Arial"/>
          <w:b/>
          <w:bCs/>
          <w:color w:val="1A1A1A"/>
          <w:sz w:val="22"/>
          <w:szCs w:val="22"/>
        </w:rPr>
        <w:t xml:space="preserve">How long does one full analysis take?</w:t>
      </w:r>
    </w:p>
    <w:p>
      <w:pPr>
        <w:spacing w:after="120" w:before="40"/>
        <w:ind w:left="360"/>
      </w:pPr>
      <w:r>
        <w:rPr>
          <w:rFonts w:ascii="Arial" w:cs="Arial" w:eastAsia="Arial" w:hAnsi="Arial"/>
          <w:color w:val="404040"/>
          <w:sz w:val="20"/>
          <w:szCs w:val="20"/>
        </w:rPr>
        <w:t xml:space="preserve">For a typical dataset of 500 patient records, the full pipeline — from data ingestion through AI analysis to a generated report — completes in under 5 minutes. The human review step is on top of that, which takes as long as the Clinical Data Manager needs. Compare this to the current manual process, which typically takes days.</w:t>
      </w:r>
    </w:p>
    <w:p>
      <w:pPr>
        <w:spacing w:after="80" w:before="80"/>
      </w:pPr>
      <w:r>
        <w:t xml:space="preserve"/>
      </w:r>
    </w:p>
    <w:p>
      <w:pPr>
        <w:pStyle w:val="Heading2"/>
        <w:pBdr>
          <w:bottom w:val="single" w:color="2E5FA3" w:sz="4" w:space="4"/>
        </w:pBdr>
        <w:spacing w:after="80" w:before="280"/>
      </w:pPr>
      <w:r>
        <w:rPr>
          <w:rFonts w:ascii="Arial" w:cs="Arial" w:eastAsia="Arial" w:hAnsi="Arial"/>
          <w:b/>
          <w:bCs/>
          <w:color w:val="1F4E79"/>
          <w:sz w:val="26"/>
          <w:szCs w:val="26"/>
        </w:rPr>
        <w:t xml:space="preserve">Compliance &amp; Operations</w:t>
      </w:r>
    </w:p>
    <w:p>
      <w:pPr>
        <w:spacing w:after="40" w:before="220"/>
      </w:pPr>
      <w:r>
        <w:rPr>
          <w:rFonts w:ascii="Arial" w:cs="Arial" w:eastAsia="Arial" w:hAnsi="Arial"/>
          <w:b/>
          <w:bCs/>
          <w:color w:val="2E5FA3"/>
          <w:sz w:val="22"/>
          <w:szCs w:val="22"/>
        </w:rPr>
        <w:t xml:space="preserve">Q5.  </w:t>
      </w:r>
      <w:r>
        <w:rPr>
          <w:rFonts w:ascii="Arial" w:cs="Arial" w:eastAsia="Arial" w:hAnsi="Arial"/>
          <w:b/>
          <w:bCs/>
          <w:color w:val="1A1A1A"/>
          <w:sz w:val="22"/>
          <w:szCs w:val="22"/>
        </w:rPr>
        <w:t xml:space="preserve">Is the system's approval process legally valid for FDA submissions?</w:t>
      </w:r>
    </w:p>
    <w:p>
      <w:pPr>
        <w:spacing w:after="120" w:before="40"/>
        <w:ind w:left="360"/>
      </w:pPr>
      <w:r>
        <w:rPr>
          <w:rFonts w:ascii="Arial" w:cs="Arial" w:eastAsia="Arial" w:hAnsi="Arial"/>
          <w:color w:val="404040"/>
          <w:sz w:val="20"/>
          <w:szCs w:val="20"/>
        </w:rPr>
        <w:t xml:space="preserve">In this POC, the reviewer's name is typed in as part of the approval — sufficient for a demonstration. Before production use, this would be replaced with a verified company login, so every approval is cryptographically tied to a confirmed identity. That is the standard required by FDA 21 CFR Part 11 for electronic records.</w:t>
      </w:r>
    </w:p>
    <w:p>
      <w:pPr>
        <w:spacing w:after="40" w:before="220"/>
      </w:pPr>
      <w:r>
        <w:rPr>
          <w:rFonts w:ascii="Arial" w:cs="Arial" w:eastAsia="Arial" w:hAnsi="Arial"/>
          <w:b/>
          <w:bCs/>
          <w:color w:val="2E5FA3"/>
          <w:sz w:val="22"/>
          <w:szCs w:val="22"/>
        </w:rPr>
        <w:t xml:space="preserve">Q6.  </w:t>
      </w:r>
      <w:r>
        <w:rPr>
          <w:rFonts w:ascii="Arial" w:cs="Arial" w:eastAsia="Arial" w:hAnsi="Arial"/>
          <w:b/>
          <w:bCs/>
          <w:color w:val="1A1A1A"/>
          <w:sz w:val="22"/>
          <w:szCs w:val="22"/>
        </w:rPr>
        <w:t xml:space="preserve">What happens if the AI produces a wrong finding?</w:t>
      </w:r>
    </w:p>
    <w:p>
      <w:pPr>
        <w:spacing w:after="120" w:before="40"/>
        <w:ind w:left="360"/>
      </w:pPr>
      <w:r>
        <w:rPr>
          <w:rFonts w:ascii="Arial" w:cs="Arial" w:eastAsia="Arial" w:hAnsi="Arial"/>
          <w:b/>
          <w:bCs/>
          <w:color w:val="1A1A1A"/>
          <w:sz w:val="20"/>
          <w:szCs w:val="20"/>
        </w:rPr>
        <w:t xml:space="preserve">The AI never makes the final decision. </w:t>
      </w:r>
      <w:r>
        <w:rPr>
          <w:rFonts w:ascii="Arial" w:cs="Arial" w:eastAsia="Arial" w:hAnsi="Arial"/>
          <w:color w:val="404040"/>
          <w:sz w:val="20"/>
          <w:szCs w:val="20"/>
        </w:rPr>
        <w:t xml:space="preserve">Every run requires a human Clinical Data Manager to review and approve before any report is finalised. The AI accelerates the review by doing the heavy lifting — the human is the decision-maker. If an AI finding is wrong, the reviewer can reject it, annotate the correct reason, and that correction is recorded in the audit trail.</w:t>
      </w:r>
    </w:p>
    <w:p>
      <w:pPr>
        <w:spacing w:after="40" w:before="220"/>
      </w:pPr>
      <w:r>
        <w:rPr>
          <w:rFonts w:ascii="Arial" w:cs="Arial" w:eastAsia="Arial" w:hAnsi="Arial"/>
          <w:b/>
          <w:bCs/>
          <w:color w:val="2E5FA3"/>
          <w:sz w:val="22"/>
          <w:szCs w:val="22"/>
        </w:rPr>
        <w:t xml:space="preserve">Q7.  </w:t>
      </w:r>
      <w:r>
        <w:rPr>
          <w:rFonts w:ascii="Arial" w:cs="Arial" w:eastAsia="Arial" w:hAnsi="Arial"/>
          <w:b/>
          <w:bCs/>
          <w:color w:val="1A1A1A"/>
          <w:sz w:val="22"/>
          <w:szCs w:val="22"/>
        </w:rPr>
        <w:t xml:space="preserve">What happens after a run is rejected?</w:t>
      </w:r>
    </w:p>
    <w:p>
      <w:pPr>
        <w:spacing w:after="120" w:before="40"/>
        <w:ind w:left="360"/>
      </w:pPr>
      <w:r>
        <w:rPr>
          <w:rFonts w:ascii="Arial" w:cs="Arial" w:eastAsia="Arial" w:hAnsi="Arial"/>
          <w:color w:val="404040"/>
          <w:sz w:val="20"/>
          <w:szCs w:val="20"/>
        </w:rPr>
        <w:t xml:space="preserve">The Clinical Data Manager rejects the run with a written reason, which is permanently recorded in the audit trail. In production, this would automatically trigger a remediation workflow — notifying the data engineering team and creating a follow-up run so the issue is tracked to resolution rather than left open.</w:t>
      </w:r>
    </w:p>
    <w:p>
      <w:pPr>
        <w:spacing w:after="40" w:before="220"/>
      </w:pPr>
      <w:r>
        <w:rPr>
          <w:rFonts w:ascii="Arial" w:cs="Arial" w:eastAsia="Arial" w:hAnsi="Arial"/>
          <w:b/>
          <w:bCs/>
          <w:color w:val="2E5FA3"/>
          <w:sz w:val="22"/>
          <w:szCs w:val="22"/>
        </w:rPr>
        <w:t xml:space="preserve">Q8.  </w:t>
      </w:r>
      <w:r>
        <w:rPr>
          <w:rFonts w:ascii="Arial" w:cs="Arial" w:eastAsia="Arial" w:hAnsi="Arial"/>
          <w:b/>
          <w:bCs/>
          <w:color w:val="1A1A1A"/>
          <w:sz w:val="22"/>
          <w:szCs w:val="22"/>
        </w:rPr>
        <w:t xml:space="preserve">How much does it cost to run operationally?</w:t>
      </w:r>
    </w:p>
    <w:p>
      <w:pPr>
        <w:spacing w:after="120" w:before="40"/>
        <w:ind w:left="360"/>
      </w:pPr>
      <w:r>
        <w:rPr>
          <w:rFonts w:ascii="Arial" w:cs="Arial" w:eastAsia="Arial" w:hAnsi="Arial"/>
          <w:color w:val="404040"/>
          <w:sz w:val="20"/>
          <w:szCs w:val="20"/>
        </w:rPr>
        <w:t xml:space="preserve">The main running cost is the AI processing fee. For a typical analysis of 500 records, the estimated AI cost is under $0.10 per run. At 10 runs per day that is under $1 per day in AI costs — a fraction of one hour of a manual data reviewer's time. Infrastructure costs depend on the client's hosting setup and are separate.</w:t>
      </w:r>
    </w:p>
    <w:p>
      <w:pPr>
        <w:spacing w:after="80" w:before="80"/>
      </w:pPr>
      <w:r>
        <w:t xml:space="preserve"/>
      </w:r>
    </w:p>
    <w:p>
      <w:pPr>
        <w:pStyle w:val="Heading2"/>
        <w:pBdr>
          <w:bottom w:val="single" w:color="2E5FA3" w:sz="4" w:space="4"/>
        </w:pBdr>
        <w:spacing w:after="80" w:before="280"/>
      </w:pPr>
      <w:r>
        <w:rPr>
          <w:rFonts w:ascii="Arial" w:cs="Arial" w:eastAsia="Arial" w:hAnsi="Arial"/>
          <w:b/>
          <w:bCs/>
          <w:color w:val="1F4E79"/>
          <w:sz w:val="26"/>
          <w:szCs w:val="26"/>
        </w:rPr>
        <w:t xml:space="preserve">Commercial</w:t>
      </w:r>
    </w:p>
    <w:p>
      <w:pPr>
        <w:spacing w:after="40" w:before="220"/>
      </w:pPr>
      <w:r>
        <w:rPr>
          <w:rFonts w:ascii="Arial" w:cs="Arial" w:eastAsia="Arial" w:hAnsi="Arial"/>
          <w:b/>
          <w:bCs/>
          <w:color w:val="2E5FA3"/>
          <w:sz w:val="22"/>
          <w:szCs w:val="22"/>
        </w:rPr>
        <w:t xml:space="preserve">Q9.  </w:t>
      </w:r>
      <w:r>
        <w:rPr>
          <w:rFonts w:ascii="Arial" w:cs="Arial" w:eastAsia="Arial" w:hAnsi="Arial"/>
          <w:b/>
          <w:bCs/>
          <w:color w:val="1A1A1A"/>
          <w:sz w:val="22"/>
          <w:szCs w:val="22"/>
        </w:rPr>
        <w:t xml:space="preserve">Is the health score reliable enough to trust?</w:t>
      </w:r>
    </w:p>
    <w:p>
      <w:pPr>
        <w:spacing w:after="120" w:before="40"/>
        <w:ind w:left="360"/>
      </w:pPr>
      <w:r>
        <w:rPr>
          <w:rFonts w:ascii="Arial" w:cs="Arial" w:eastAsia="Arial" w:hAnsi="Arial"/>
          <w:color w:val="404040"/>
          <w:sz w:val="20"/>
          <w:szCs w:val="20"/>
        </w:rPr>
        <w:t xml:space="preserve">The current formula is a starting point built for the demo — it applies equal weight to every type of anomaly. In a real deployment, clients configure the weights per their trial protocol. A missing patient ID should penalise far more than a slightly elevated glucose reading. The framework is in place; the weights become client-specific in production.</w:t>
      </w:r>
    </w:p>
    <w:p>
      <w:pPr>
        <w:spacing w:after="40" w:before="220"/>
      </w:pPr>
      <w:r>
        <w:rPr>
          <w:rFonts w:ascii="Arial" w:cs="Arial" w:eastAsia="Arial" w:hAnsi="Arial"/>
          <w:b/>
          <w:bCs/>
          <w:color w:val="2E5FA3"/>
          <w:sz w:val="22"/>
          <w:szCs w:val="22"/>
        </w:rPr>
        <w:t xml:space="preserve">Q10.  </w:t>
      </w:r>
      <w:r>
        <w:rPr>
          <w:rFonts w:ascii="Arial" w:cs="Arial" w:eastAsia="Arial" w:hAnsi="Arial"/>
          <w:b/>
          <w:bCs/>
          <w:color w:val="1A1A1A"/>
          <w:sz w:val="22"/>
          <w:szCs w:val="22"/>
        </w:rPr>
        <w:t xml:space="preserve">Can it handle multiple trials at the same time?</w:t>
      </w:r>
    </w:p>
    <w:p>
      <w:pPr>
        <w:spacing w:after="120" w:before="40"/>
        <w:ind w:left="360"/>
      </w:pPr>
      <w:r>
        <w:rPr>
          <w:rFonts w:ascii="Arial" w:cs="Arial" w:eastAsia="Arial" w:hAnsi="Arial"/>
          <w:color w:val="404040"/>
          <w:sz w:val="20"/>
          <w:szCs w:val="20"/>
        </w:rPr>
        <w:t xml:space="preserve">The POC demonstrates a single-trial workflow. Supporting multiple simultaneous trials — with a portfolio view, cross-trial comparison, and independent audit trails per trial — is the highest-value feature on the roadmap and the natural scope for Phase 2.</w:t>
      </w:r>
    </w:p>
    <w:p>
      <w:pPr>
        <w:spacing w:after="80" w:before="80"/>
      </w:pPr>
      <w:r>
        <w:t xml:space="preserve"/>
      </w:r>
    </w:p>
    <w:p>
      <w:pPr>
        <w:pBdr>
          <w:bottom w:val="single" w:color="CCCCCC" w:sz="2" w:space="1"/>
        </w:pBdr>
        <w:spacing w:after="160" w:before="160"/>
      </w:pPr>
      <w:r>
        <w:t xml:space="preserve"/>
      </w:r>
    </w:p>
    <w:p>
      <w:pPr>
        <w:pStyle w:val="Heading1"/>
        <w:spacing w:after="120" w:before="360"/>
      </w:pPr>
      <w:r>
        <w:rPr>
          <w:rFonts w:ascii="Arial" w:cs="Arial" w:eastAsia="Arial" w:hAnsi="Arial"/>
          <w:b/>
          <w:bCs/>
          <w:color w:val="1F3864"/>
          <w:sz w:val="36"/>
          <w:szCs w:val="36"/>
        </w:rPr>
        <w:t xml:space="preserve">5.  Future enhancements</w:t>
      </w:r>
    </w:p>
    <w:p>
      <w:pPr>
        <w:spacing w:after="160" w:before="60"/>
      </w:pPr>
      <w:r>
        <w:rPr>
          <w:rFonts w:ascii="Arial" w:cs="Arial" w:eastAsia="Arial" w:hAnsi="Arial"/>
          <w:color w:val="404040"/>
          <w:sz w:val="20"/>
          <w:szCs w:val="20"/>
        </w:rPr>
        <w:t xml:space="preserve">The following enhancements are prioritised by business impact. Each one directly addresses a gap between the current POC and a production-ready enterprise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40"/>
        <w:gridCol w:w="60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4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Enhancement</w:t>
            </w:r>
          </w:p>
        </w:tc>
        <w:tc>
          <w:tcPr>
            <w:tcW w:type="dxa" w:w="6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 for the client</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8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Persistent run history</w:t>
            </w:r>
          </w:p>
        </w:tc>
        <w:tc>
          <w:tcPr>
            <w:tcW w:type="dxa" w:w="6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All analysis history is currently stored in memory and lost if the server restarts. Moving to a database means clients can query 6 months of trial data, generate reports, and meet long-term audit retention requirements.</w:t>
            </w:r>
          </w:p>
        </w:tc>
      </w:tr>
      <w:tr>
        <w:tc>
          <w:tcPr>
            <w:tcW w:type="dxa" w:w="5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8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Verified electronic signatures</w:t>
            </w:r>
          </w:p>
        </w:tc>
        <w:tc>
          <w:tcPr>
            <w:tcW w:type="dxa" w:w="6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The approval step currently captures the reviewer's name as typed text. Linking it to a verified company login ensures every approval is legally tied to a real, authenticated person — a hard requirement before use in any FDA submission.</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8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Configurable health score weights</w:t>
            </w:r>
          </w:p>
        </w:tc>
        <w:tc>
          <w:tcPr>
            <w:tcW w:type="dxa" w:w="6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Right now every data anomaly reduces the health score equally. In production, a missing patient ID should penalise far more than a slightly elevated reading. Clients need to configure weights per their protocol to make the score clinically meaningful.</w:t>
            </w:r>
          </w:p>
        </w:tc>
      </w:tr>
      <w:tr>
        <w:tc>
          <w:tcPr>
            <w:tcW w:type="dxa" w:w="5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28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Cross-run trend analysis</w:t>
            </w:r>
          </w:p>
        </w:tc>
        <w:tc>
          <w:tcPr>
            <w:tcW w:type="dxa" w:w="6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Show how key metrics change across runs over time — is the null rate getting worse week over week? Is drift increasing? This transforms the product from a one-off QA checker into a continuous monitoring platform, which is the highest-value positioning for a pharma buyer.</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28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Multi-trial comparison</w:t>
            </w:r>
          </w:p>
        </w:tc>
        <w:tc>
          <w:tcPr>
            <w:tcW w:type="dxa" w:w="6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Allow a client to select two approved runs side by side and see exactly what changed — which anomaly types appeared or disappeared, whether drift increased, how health scores shifted. This is the standout demo feature for a pharma company managing multiple trials simultaneously.</w:t>
            </w:r>
          </w:p>
        </w:tc>
      </w:tr>
      <w:tr>
        <w:tc>
          <w:tcPr>
            <w:tcW w:type="dxa" w:w="5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28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Agent feedback loop</w:t>
            </w:r>
          </w:p>
        </w:tc>
        <w:tc>
          <w:tcPr>
            <w:tcW w:type="dxa" w:w="6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After a reviewer rejects or corrects an AI finding, those corrections are fed back as examples for the next run. Over time the agents learn from the client's own domain expertise — making this system progressively smarter and harder to replicate with a generic AI tool.</w:t>
            </w:r>
          </w:p>
        </w:tc>
      </w:tr>
      <w:tr>
        <w:tc>
          <w:tcPr>
            <w:tcW w:type="dxa" w:w="5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28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Rejection → re-run loop</w:t>
            </w:r>
          </w:p>
        </w:tc>
        <w:tc>
          <w:tcPr>
            <w:tcW w:type="dxa" w:w="6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Currently a rejection is a dead end — the reviewer writes a reason and the process stops. This enhancement automatically creates a follow-up run pre-loaded with that rejection reason as context, so the next AI analysis is informed by exactly what the human found wrong.</w:t>
            </w:r>
          </w:p>
        </w:tc>
      </w:tr>
      <w:tr>
        <w:tc>
          <w:tcPr>
            <w:tcW w:type="dxa" w:w="5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284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EDC system connectors</w:t>
            </w:r>
          </w:p>
        </w:tc>
        <w:tc>
          <w:tcPr>
            <w:tcW w:type="dxa" w:w="6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Right now data must be exported as a CSV file before the system can process it. Building native connections to industry-standard platforms like Medidata Rave or Veeva Vault eliminates that manual step entirely — which is the biggest adoption barrier in enterprise trials.</w:t>
            </w:r>
          </w:p>
        </w:tc>
      </w:tr>
    </w:tbl>
    <w:p>
      <w:pPr>
        <w:spacing w:after="80" w:before="80"/>
      </w:pPr>
      <w:r>
        <w:t xml:space="preserve"/>
      </w:r>
    </w:p>
    <w:p>
      <w:pPr>
        <w:spacing w:after="80" w:before="80"/>
      </w:pPr>
      <w:r>
        <w:t xml:space="preserve"/>
      </w:r>
    </w:p>
    <w:p>
      <w:pPr>
        <w:spacing w:after="80" w:before="200"/>
        <w:jc w:val="center"/>
      </w:pPr>
      <w:r>
        <w:rPr>
          <w:rFonts w:ascii="Arial" w:cs="Arial" w:eastAsia="Arial" w:hAnsi="Arial"/>
          <w:i/>
          <w:iCs/>
          <w:color w:val="AAAAAA"/>
          <w:sz w:val="18"/>
          <w:szCs w:val="18"/>
        </w:rPr>
        <w:t xml:space="preserve">This document is prepared for client presentation purposes only.  ·  POC Version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2026-06-04T06:53:12.130Z</dcterms:created>
  <dcterms:modified xsi:type="dcterms:W3CDTF">2026-06-04T06:53:12.130Z</dcterms:modified>
</cp:coreProperties>
</file>

<file path=docProps/custom.xml><?xml version="1.0" encoding="utf-8"?>
<Properties xmlns="http://schemas.openxmlformats.org/officeDocument/2006/custom-properties" xmlns:vt="http://schemas.openxmlformats.org/officeDocument/2006/docPropsVTypes"/>
</file>