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7553"/>
          <w:sz w:val="22"/>
          <w:szCs w:val="22"/>
        </w:rPr>
        <w:t xml:space="preserve">DecodeLabs — Cyber Security Track</w:t>
      </w:r>
    </w:p>
    <w:p>
      <w:pPr>
        <w:spacing w:after="100"/>
      </w:pPr>
      <w:r>
        <w:rPr>
          <w:b/>
          <w:bCs/>
          <w:color w:val="1F3D2B"/>
          <w:sz w:val="40"/>
          <w:szCs w:val="40"/>
        </w:rPr>
        <w:t xml:space="preserve">Project 3: Phishing Awareness Analysis</w:t>
      </w:r>
    </w:p>
    <w:p>
      <w:pPr>
        <w:spacing w:after="400"/>
      </w:pPr>
      <w:r>
        <w:rPr>
          <w:i/>
          <w:iCs/>
          <w:color w:val="5B7553"/>
          <w:sz w:val="24"/>
          <w:szCs w:val="24"/>
        </w:rPr>
        <w:t xml:space="preserve">Building the Human Firewall — Threat Identification, Red-Flag Checklist, and Triage Decision Tree</w:t>
      </w:r>
    </w:p>
    <w:p>
      <w:pPr>
        <w:pStyle w:val="Heading1"/>
        <w:spacing w:after="160" w:before="360"/>
      </w:pPr>
      <w:r>
        <w:t xml:space="preserve">1. Objective</w:t>
      </w:r>
    </w:p>
    <w:p>
      <w:pPr>
        <w:spacing w:after="140"/>
      </w:pPr>
      <w:r>
        <w:t xml:space="preserve">This project develops a non-expert triage toolkit for identifying phishing and social-engineering attempts across email, SMS, and voice channels. The deliverable has three parts: (1) a red-flag checklist that any employee can apply without security training, (2) a Safe / Suspicious / Malicious decision tree with a required action for each outcome, and (3) applied analysis of four realistic (fictional) sample messages, each triaged against the checklist.</w:t>
      </w:r>
    </w:p>
    <w:p>
      <w:pPr>
        <w:spacing w:after="140"/>
      </w:pPr>
      <w:r>
        <w:t xml:space="preserve">All sample messages below use fictional companies and addresses for training purposes only. They illustrate common attack patterns — display-name spoofing, lookalike domains, urgency, and authority — without referencing any real brand or individual.</w:t>
      </w:r>
    </w:p>
    <w:p>
      <w:pPr>
        <w:pStyle w:val="Heading1"/>
        <w:spacing w:after="160" w:before="360"/>
      </w:pPr>
      <w:r>
        <w:t xml:space="preserve">2. Phishing Red-Flag Checklist</w:t>
      </w:r>
    </w:p>
    <w:p>
      <w:pPr>
        <w:spacing w:after="140"/>
      </w:pPr>
      <w:r>
        <w:t xml:space="preserve">Use this checklist on any message that feels even slightly off. A message with three or more flags, or one high-severity flag (marked with an asterisk in the analysis below), should be treated as malicious.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700"/>
      </w:tblGrid>
      <w:tr>
        <w:trPr>
          <w:tblHeader/>
        </w:trPr>
        <w:tc>
          <w:tcPr>
            <w:tcW w:type="dxa" w:w="900"/>
            <w:shd w:fill="2F5233" w:val="clear"/>
            <w:tcMar>
              <w:top w:type="dxa" w:w="100"/>
              <w:left w:type="dxa" w:w="120"/>
              <w:bottom w:type="dxa" w:w="100"/>
              <w:right w:type="dxa" w:w="120"/>
            </w:tcMar>
            <w:vAlign w:val="center"/>
          </w:tcPr>
          <w:p>
            <w:r>
              <w:rPr>
                <w:b/>
                <w:bCs/>
              </w:rPr>
              <w:t xml:space="preserve">#</w:t>
            </w:r>
          </w:p>
        </w:tc>
        <w:tc>
          <w:tcPr>
            <w:tcW w:type="dxa" w:w="3200"/>
            <w:shd w:fill="2F5233" w:val="clear"/>
            <w:tcMar>
              <w:top w:type="dxa" w:w="100"/>
              <w:left w:type="dxa" w:w="120"/>
              <w:bottom w:type="dxa" w:w="100"/>
              <w:right w:type="dxa" w:w="120"/>
            </w:tcMar>
            <w:vAlign w:val="center"/>
          </w:tcPr>
          <w:p>
            <w:r>
              <w:rPr>
                <w:b/>
                <w:bCs/>
              </w:rPr>
              <w:t xml:space="preserve">Red Flag</w:t>
            </w:r>
          </w:p>
        </w:tc>
        <w:tc>
          <w:tcPr>
            <w:tcW w:type="dxa" w:w="4700"/>
            <w:shd w:fill="2F5233" w:val="clear"/>
            <w:tcMar>
              <w:top w:type="dxa" w:w="100"/>
              <w:left w:type="dxa" w:w="120"/>
              <w:bottom w:type="dxa" w:w="100"/>
              <w:right w:type="dxa" w:w="120"/>
            </w:tcMar>
            <w:vAlign w:val="center"/>
          </w:tcPr>
          <w:p>
            <w:r>
              <w:rPr>
                <w:b/>
                <w:bCs/>
              </w:rPr>
              <w:t xml:space="preserve">What to Check</w:t>
            </w:r>
          </w:p>
        </w:tc>
      </w:tr>
      <w:tr>
        <w:tc>
          <w:tcPr>
            <w:tcW w:type="dxa" w:w="900"/>
            <w:tcMar>
              <w:top w:type="dxa" w:w="100"/>
              <w:left w:type="dxa" w:w="120"/>
              <w:bottom w:type="dxa" w:w="100"/>
              <w:right w:type="dxa" w:w="120"/>
            </w:tcMar>
            <w:vAlign w:val="center"/>
          </w:tcPr>
          <w:p>
            <w:r>
              <w:rPr>
                <w:b w:val="false"/>
                <w:bCs w:val="false"/>
              </w:rPr>
              <w:t xml:space="preserve">1</w:t>
            </w:r>
          </w:p>
        </w:tc>
        <w:tc>
          <w:tcPr>
            <w:tcW w:type="dxa" w:w="3200"/>
            <w:tcMar>
              <w:top w:type="dxa" w:w="100"/>
              <w:left w:type="dxa" w:w="120"/>
              <w:bottom w:type="dxa" w:w="100"/>
              <w:right w:type="dxa" w:w="120"/>
            </w:tcMar>
            <w:vAlign w:val="center"/>
          </w:tcPr>
          <w:p>
            <w:r>
              <w:rPr>
                <w:b/>
                <w:bCs/>
              </w:rPr>
              <w:t xml:space="preserve">Sender-domain mismatch</w:t>
            </w:r>
          </w:p>
        </w:tc>
        <w:tc>
          <w:tcPr>
            <w:tcW w:type="dxa" w:w="4700"/>
            <w:tcMar>
              <w:top w:type="dxa" w:w="100"/>
              <w:left w:type="dxa" w:w="120"/>
              <w:bottom w:type="dxa" w:w="100"/>
              <w:right w:type="dxa" w:w="120"/>
            </w:tcMar>
            <w:vAlign w:val="center"/>
          </w:tcPr>
          <w:p>
            <w:r>
              <w:rPr>
                <w:b w:val="false"/>
                <w:bCs w:val="false"/>
              </w:rPr>
              <w:t xml:space="preserve">Display name looks trusted, but the actual email address domain doesn't match the organization.</w:t>
            </w:r>
          </w:p>
        </w:tc>
      </w:tr>
      <w:tr>
        <w:tc>
          <w:tcPr>
            <w:tcW w:type="dxa" w:w="900"/>
            <w:tcMar>
              <w:top w:type="dxa" w:w="100"/>
              <w:left w:type="dxa" w:w="120"/>
              <w:bottom w:type="dxa" w:w="100"/>
              <w:right w:type="dxa" w:w="120"/>
            </w:tcMar>
            <w:vAlign w:val="center"/>
          </w:tcPr>
          <w:p>
            <w:r>
              <w:rPr>
                <w:b w:val="false"/>
                <w:bCs w:val="false"/>
              </w:rPr>
              <w:t xml:space="preserve">2</w:t>
            </w:r>
          </w:p>
        </w:tc>
        <w:tc>
          <w:tcPr>
            <w:tcW w:type="dxa" w:w="3200"/>
            <w:tcMar>
              <w:top w:type="dxa" w:w="100"/>
              <w:left w:type="dxa" w:w="120"/>
              <w:bottom w:type="dxa" w:w="100"/>
              <w:right w:type="dxa" w:w="120"/>
            </w:tcMar>
            <w:vAlign w:val="center"/>
          </w:tcPr>
          <w:p>
            <w:r>
              <w:rPr>
                <w:b/>
                <w:bCs/>
              </w:rPr>
              <w:t xml:space="preserve">Urgency / artificial deadlines</w:t>
            </w:r>
          </w:p>
        </w:tc>
        <w:tc>
          <w:tcPr>
            <w:tcW w:type="dxa" w:w="4700"/>
            <w:tcMar>
              <w:top w:type="dxa" w:w="100"/>
              <w:left w:type="dxa" w:w="120"/>
              <w:bottom w:type="dxa" w:w="100"/>
              <w:right w:type="dxa" w:w="120"/>
            </w:tcMar>
            <w:vAlign w:val="center"/>
          </w:tcPr>
          <w:p>
            <w:r>
              <w:rPr>
                <w:b w:val="false"/>
                <w:bCs w:val="false"/>
              </w:rPr>
              <w:t xml:space="preserve">Threats of account lockout, legal action, or "act within X minutes."</w:t>
            </w:r>
          </w:p>
        </w:tc>
      </w:tr>
      <w:tr>
        <w:tc>
          <w:tcPr>
            <w:tcW w:type="dxa" w:w="900"/>
            <w:tcMar>
              <w:top w:type="dxa" w:w="100"/>
              <w:left w:type="dxa" w:w="120"/>
              <w:bottom w:type="dxa" w:w="100"/>
              <w:right w:type="dxa" w:w="120"/>
            </w:tcMar>
            <w:vAlign w:val="center"/>
          </w:tcPr>
          <w:p>
            <w:r>
              <w:rPr>
                <w:b w:val="false"/>
                <w:bCs w:val="false"/>
              </w:rPr>
              <w:t xml:space="preserve">3</w:t>
            </w:r>
          </w:p>
        </w:tc>
        <w:tc>
          <w:tcPr>
            <w:tcW w:type="dxa" w:w="3200"/>
            <w:tcMar>
              <w:top w:type="dxa" w:w="100"/>
              <w:left w:type="dxa" w:w="120"/>
              <w:bottom w:type="dxa" w:w="100"/>
              <w:right w:type="dxa" w:w="120"/>
            </w:tcMar>
            <w:vAlign w:val="center"/>
          </w:tcPr>
          <w:p>
            <w:r>
              <w:rPr>
                <w:b/>
                <w:bCs/>
              </w:rPr>
              <w:t xml:space="preserve">Requests to bypass procedure</w:t>
            </w:r>
          </w:p>
        </w:tc>
        <w:tc>
          <w:tcPr>
            <w:tcW w:type="dxa" w:w="4700"/>
            <w:tcMar>
              <w:top w:type="dxa" w:w="100"/>
              <w:left w:type="dxa" w:w="120"/>
              <w:bottom w:type="dxa" w:w="100"/>
              <w:right w:type="dxa" w:w="120"/>
            </w:tcMar>
            <w:vAlign w:val="center"/>
          </w:tcPr>
          <w:p>
            <w:r>
              <w:rPr>
                <w:b w:val="false"/>
                <w:bCs w:val="false"/>
              </w:rPr>
              <w:t xml:space="preserve">Asks to skip normal approval, keep the request secret, or avoid "discussing with anyone."</w:t>
            </w:r>
          </w:p>
        </w:tc>
      </w:tr>
      <w:tr>
        <w:tc>
          <w:tcPr>
            <w:tcW w:type="dxa" w:w="900"/>
            <w:tcMar>
              <w:top w:type="dxa" w:w="100"/>
              <w:left w:type="dxa" w:w="120"/>
              <w:bottom w:type="dxa" w:w="100"/>
              <w:right w:type="dxa" w:w="120"/>
            </w:tcMar>
            <w:vAlign w:val="center"/>
          </w:tcPr>
          <w:p>
            <w:r>
              <w:rPr>
                <w:b w:val="false"/>
                <w:bCs w:val="false"/>
              </w:rPr>
              <w:t xml:space="preserve">4</w:t>
            </w:r>
          </w:p>
        </w:tc>
        <w:tc>
          <w:tcPr>
            <w:tcW w:type="dxa" w:w="3200"/>
            <w:tcMar>
              <w:top w:type="dxa" w:w="100"/>
              <w:left w:type="dxa" w:w="120"/>
              <w:bottom w:type="dxa" w:w="100"/>
              <w:right w:type="dxa" w:w="120"/>
            </w:tcMar>
            <w:vAlign w:val="center"/>
          </w:tcPr>
          <w:p>
            <w:r>
              <w:rPr>
                <w:b/>
                <w:bCs/>
              </w:rPr>
              <w:t xml:space="preserve">Unexpected request for credentials or codes</w:t>
            </w:r>
          </w:p>
        </w:tc>
        <w:tc>
          <w:tcPr>
            <w:tcW w:type="dxa" w:w="4700"/>
            <w:tcMar>
              <w:top w:type="dxa" w:w="100"/>
              <w:left w:type="dxa" w:w="120"/>
              <w:bottom w:type="dxa" w:w="100"/>
              <w:right w:type="dxa" w:w="120"/>
            </w:tcMar>
            <w:vAlign w:val="center"/>
          </w:tcPr>
          <w:p>
            <w:r>
              <w:rPr>
                <w:b w:val="false"/>
                <w:bCs w:val="false"/>
              </w:rPr>
              <w:t xml:space="preserve">Asks for a password, MFA code, or payment details over email/chat.</w:t>
            </w:r>
          </w:p>
        </w:tc>
      </w:tr>
      <w:tr>
        <w:tc>
          <w:tcPr>
            <w:tcW w:type="dxa" w:w="900"/>
            <w:tcMar>
              <w:top w:type="dxa" w:w="100"/>
              <w:left w:type="dxa" w:w="120"/>
              <w:bottom w:type="dxa" w:w="100"/>
              <w:right w:type="dxa" w:w="120"/>
            </w:tcMar>
            <w:vAlign w:val="center"/>
          </w:tcPr>
          <w:p>
            <w:r>
              <w:rPr>
                <w:b w:val="false"/>
                <w:bCs w:val="false"/>
              </w:rPr>
              <w:t xml:space="preserve">5</w:t>
            </w:r>
          </w:p>
        </w:tc>
        <w:tc>
          <w:tcPr>
            <w:tcW w:type="dxa" w:w="3200"/>
            <w:tcMar>
              <w:top w:type="dxa" w:w="100"/>
              <w:left w:type="dxa" w:w="120"/>
              <w:bottom w:type="dxa" w:w="100"/>
              <w:right w:type="dxa" w:w="120"/>
            </w:tcMar>
            <w:vAlign w:val="center"/>
          </w:tcPr>
          <w:p>
            <w:r>
              <w:rPr>
                <w:b/>
                <w:bCs/>
              </w:rPr>
              <w:t xml:space="preserve">Lookalike or suspicious links</w:t>
            </w:r>
          </w:p>
        </w:tc>
        <w:tc>
          <w:tcPr>
            <w:tcW w:type="dxa" w:w="4700"/>
            <w:tcMar>
              <w:top w:type="dxa" w:w="100"/>
              <w:left w:type="dxa" w:w="120"/>
              <w:bottom w:type="dxa" w:w="100"/>
              <w:right w:type="dxa" w:w="120"/>
            </w:tcMar>
            <w:vAlign w:val="center"/>
          </w:tcPr>
          <w:p>
            <w:r>
              <w:rPr>
                <w:b w:val="false"/>
                <w:bCs w:val="false"/>
              </w:rPr>
              <w:t xml:space="preserve">Misspelled domains, extra words before the real domain, or a link that doesn't match its display text.</w:t>
            </w:r>
          </w:p>
        </w:tc>
      </w:tr>
      <w:tr>
        <w:tc>
          <w:tcPr>
            <w:tcW w:type="dxa" w:w="900"/>
            <w:tcMar>
              <w:top w:type="dxa" w:w="100"/>
              <w:left w:type="dxa" w:w="120"/>
              <w:bottom w:type="dxa" w:w="100"/>
              <w:right w:type="dxa" w:w="120"/>
            </w:tcMar>
            <w:vAlign w:val="center"/>
          </w:tcPr>
          <w:p>
            <w:r>
              <w:rPr>
                <w:b w:val="false"/>
                <w:bCs w:val="false"/>
              </w:rPr>
              <w:t xml:space="preserve">6</w:t>
            </w:r>
          </w:p>
        </w:tc>
        <w:tc>
          <w:tcPr>
            <w:tcW w:type="dxa" w:w="3200"/>
            <w:tcMar>
              <w:top w:type="dxa" w:w="100"/>
              <w:left w:type="dxa" w:w="120"/>
              <w:bottom w:type="dxa" w:w="100"/>
              <w:right w:type="dxa" w:w="120"/>
            </w:tcMar>
            <w:vAlign w:val="center"/>
          </w:tcPr>
          <w:p>
            <w:r>
              <w:rPr>
                <w:b/>
                <w:bCs/>
              </w:rPr>
              <w:t xml:space="preserve">Generic or oddly formal greeting</w:t>
            </w:r>
          </w:p>
        </w:tc>
        <w:tc>
          <w:tcPr>
            <w:tcW w:type="dxa" w:w="4700"/>
            <w:tcMar>
              <w:top w:type="dxa" w:w="100"/>
              <w:left w:type="dxa" w:w="120"/>
              <w:bottom w:type="dxa" w:w="100"/>
              <w:right w:type="dxa" w:w="120"/>
            </w:tcMar>
            <w:vAlign w:val="center"/>
          </w:tcPr>
          <w:p>
            <w:r>
              <w:rPr>
                <w:b w:val="false"/>
                <w:bCs w:val="false"/>
              </w:rPr>
              <w:t xml:space="preserve">"Dear User" or "Dear Customer" instead of your name, from a sender who should know you.</w:t>
            </w:r>
          </w:p>
        </w:tc>
      </w:tr>
      <w:tr>
        <w:tc>
          <w:tcPr>
            <w:tcW w:type="dxa" w:w="900"/>
            <w:tcMar>
              <w:top w:type="dxa" w:w="100"/>
              <w:left w:type="dxa" w:w="120"/>
              <w:bottom w:type="dxa" w:w="100"/>
              <w:right w:type="dxa" w:w="120"/>
            </w:tcMar>
            <w:vAlign w:val="center"/>
          </w:tcPr>
          <w:p>
            <w:r>
              <w:rPr>
                <w:b w:val="false"/>
                <w:bCs w:val="false"/>
              </w:rPr>
              <w:t xml:space="preserve">7</w:t>
            </w:r>
          </w:p>
        </w:tc>
        <w:tc>
          <w:tcPr>
            <w:tcW w:type="dxa" w:w="3200"/>
            <w:tcMar>
              <w:top w:type="dxa" w:w="100"/>
              <w:left w:type="dxa" w:w="120"/>
              <w:bottom w:type="dxa" w:w="100"/>
              <w:right w:type="dxa" w:w="120"/>
            </w:tcMar>
            <w:vAlign w:val="center"/>
          </w:tcPr>
          <w:p>
            <w:r>
              <w:rPr>
                <w:b/>
                <w:bCs/>
              </w:rPr>
              <w:t xml:space="preserve">Unsolicited attachments or QR codes</w:t>
            </w:r>
          </w:p>
        </w:tc>
        <w:tc>
          <w:tcPr>
            <w:tcW w:type="dxa" w:w="4700"/>
            <w:tcMar>
              <w:top w:type="dxa" w:w="100"/>
              <w:left w:type="dxa" w:w="120"/>
              <w:bottom w:type="dxa" w:w="100"/>
              <w:right w:type="dxa" w:w="120"/>
            </w:tcMar>
            <w:vAlign w:val="center"/>
          </w:tcPr>
          <w:p>
            <w:r>
              <w:rPr>
                <w:b w:val="false"/>
                <w:bCs w:val="false"/>
              </w:rPr>
              <w:t xml:space="preserve">Unexpected .iso/.js/.scr files, or a QR code appearing where one wasn't expected.</w:t>
            </w:r>
          </w:p>
        </w:tc>
      </w:tr>
      <w:tr>
        <w:tc>
          <w:tcPr>
            <w:tcW w:type="dxa" w:w="900"/>
            <w:tcMar>
              <w:top w:type="dxa" w:w="100"/>
              <w:left w:type="dxa" w:w="120"/>
              <w:bottom w:type="dxa" w:w="100"/>
              <w:right w:type="dxa" w:w="120"/>
            </w:tcMar>
            <w:vAlign w:val="center"/>
          </w:tcPr>
          <w:p>
            <w:r>
              <w:rPr>
                <w:b w:val="false"/>
                <w:bCs w:val="false"/>
              </w:rPr>
              <w:t xml:space="preserve">8</w:t>
            </w:r>
          </w:p>
        </w:tc>
        <w:tc>
          <w:tcPr>
            <w:tcW w:type="dxa" w:w="3200"/>
            <w:tcMar>
              <w:top w:type="dxa" w:w="100"/>
              <w:left w:type="dxa" w:w="120"/>
              <w:bottom w:type="dxa" w:w="100"/>
              <w:right w:type="dxa" w:w="120"/>
            </w:tcMar>
            <w:vAlign w:val="center"/>
          </w:tcPr>
          <w:p>
            <w:r>
              <w:rPr>
                <w:b/>
                <w:bCs/>
              </w:rPr>
              <w:t xml:space="preserve">Fake forwarded threads</w:t>
            </w:r>
          </w:p>
        </w:tc>
        <w:tc>
          <w:tcPr>
            <w:tcW w:type="dxa" w:w="4700"/>
            <w:tcMar>
              <w:top w:type="dxa" w:w="100"/>
              <w:left w:type="dxa" w:w="120"/>
              <w:bottom w:type="dxa" w:w="100"/>
              <w:right w:type="dxa" w:w="120"/>
            </w:tcMar>
            <w:vAlign w:val="center"/>
          </w:tcPr>
          <w:p>
            <w:r>
              <w:rPr>
                <w:b w:val="false"/>
                <w:bCs w:val="false"/>
              </w:rPr>
              <w:t xml:space="preserve">"FW:" subject lines with pasted headers or timestamps that don't match a real conversation.</w:t>
            </w:r>
          </w:p>
        </w:tc>
      </w:tr>
      <w:tr>
        <w:tc>
          <w:tcPr>
            <w:tcW w:type="dxa" w:w="900"/>
            <w:tcMar>
              <w:top w:type="dxa" w:w="100"/>
              <w:left w:type="dxa" w:w="120"/>
              <w:bottom w:type="dxa" w:w="100"/>
              <w:right w:type="dxa" w:w="120"/>
            </w:tcMar>
            <w:vAlign w:val="center"/>
          </w:tcPr>
          <w:p>
            <w:r>
              <w:rPr>
                <w:b w:val="false"/>
                <w:bCs w:val="false"/>
              </w:rPr>
              <w:t xml:space="preserve">9</w:t>
            </w:r>
          </w:p>
        </w:tc>
        <w:tc>
          <w:tcPr>
            <w:tcW w:type="dxa" w:w="3200"/>
            <w:tcMar>
              <w:top w:type="dxa" w:w="100"/>
              <w:left w:type="dxa" w:w="120"/>
              <w:bottom w:type="dxa" w:w="100"/>
              <w:right w:type="dxa" w:w="120"/>
            </w:tcMar>
            <w:vAlign w:val="center"/>
          </w:tcPr>
          <w:p>
            <w:r>
              <w:rPr>
                <w:b/>
                <w:bCs/>
              </w:rPr>
              <w:t xml:space="preserve">Too-good-to-be-true offers</w:t>
            </w:r>
          </w:p>
        </w:tc>
        <w:tc>
          <w:tcPr>
            <w:tcW w:type="dxa" w:w="4700"/>
            <w:tcMar>
              <w:top w:type="dxa" w:w="100"/>
              <w:left w:type="dxa" w:w="120"/>
              <w:bottom w:type="dxa" w:w="100"/>
              <w:right w:type="dxa" w:w="120"/>
            </w:tcMar>
            <w:vAlign w:val="center"/>
          </w:tcPr>
          <w:p>
            <w:r>
              <w:rPr>
                <w:b w:val="false"/>
                <w:bCs w:val="false"/>
              </w:rPr>
              <w:t xml:space="preserve">Unexpected prizes, refunds, or rewards that require immediate action to claim.</w:t>
            </w:r>
          </w:p>
        </w:tc>
      </w:tr>
      <w:tr>
        <w:tc>
          <w:tcPr>
            <w:tcW w:type="dxa" w:w="900"/>
            <w:tcMar>
              <w:top w:type="dxa" w:w="100"/>
              <w:left w:type="dxa" w:w="120"/>
              <w:bottom w:type="dxa" w:w="100"/>
              <w:right w:type="dxa" w:w="120"/>
            </w:tcMar>
            <w:vAlign w:val="center"/>
          </w:tcPr>
          <w:p>
            <w:r>
              <w:rPr>
                <w:b w:val="false"/>
                <w:bCs w:val="false"/>
              </w:rPr>
              <w:t xml:space="preserve">10</w:t>
            </w:r>
          </w:p>
        </w:tc>
        <w:tc>
          <w:tcPr>
            <w:tcW w:type="dxa" w:w="3200"/>
            <w:tcMar>
              <w:top w:type="dxa" w:w="100"/>
              <w:left w:type="dxa" w:w="120"/>
              <w:bottom w:type="dxa" w:w="100"/>
              <w:right w:type="dxa" w:w="120"/>
            </w:tcMar>
            <w:vAlign w:val="center"/>
          </w:tcPr>
          <w:p>
            <w:r>
              <w:rPr>
                <w:b/>
                <w:bCs/>
              </w:rPr>
              <w:t xml:space="preserve">Pressure to approve unprompted MFA</w:t>
            </w:r>
          </w:p>
        </w:tc>
        <w:tc>
          <w:tcPr>
            <w:tcW w:type="dxa" w:w="4700"/>
            <w:tcMar>
              <w:top w:type="dxa" w:w="100"/>
              <w:left w:type="dxa" w:w="120"/>
              <w:bottom w:type="dxa" w:w="100"/>
              <w:right w:type="dxa" w:w="120"/>
            </w:tcMar>
            <w:vAlign w:val="center"/>
          </w:tcPr>
          <w:p>
            <w:r>
              <w:rPr>
                <w:b w:val="false"/>
                <w:bCs w:val="false"/>
              </w:rPr>
              <w:t xml:space="preserve">Repeated push notifications asking you to approve a sign-in you did not initiate.</w:t>
            </w:r>
          </w:p>
        </w:tc>
      </w:tr>
      <w:tr>
        <w:tc>
          <w:tcPr>
            <w:tcW w:type="dxa" w:w="900"/>
            <w:tcMar>
              <w:top w:type="dxa" w:w="100"/>
              <w:left w:type="dxa" w:w="120"/>
              <w:bottom w:type="dxa" w:w="100"/>
              <w:right w:type="dxa" w:w="120"/>
            </w:tcMar>
            <w:vAlign w:val="center"/>
          </w:tcPr>
          <w:p>
            <w:r>
              <w:rPr>
                <w:b w:val="false"/>
                <w:bCs w:val="false"/>
              </w:rPr>
              <w:t xml:space="preserve">11</w:t>
            </w:r>
          </w:p>
        </w:tc>
        <w:tc>
          <w:tcPr>
            <w:tcW w:type="dxa" w:w="3200"/>
            <w:tcMar>
              <w:top w:type="dxa" w:w="100"/>
              <w:left w:type="dxa" w:w="120"/>
              <w:bottom w:type="dxa" w:w="100"/>
              <w:right w:type="dxa" w:w="120"/>
            </w:tcMar>
            <w:vAlign w:val="center"/>
          </w:tcPr>
          <w:p>
            <w:r>
              <w:rPr>
                <w:b/>
                <w:bCs/>
              </w:rPr>
              <w:t xml:space="preserve">Channel mismatch</w:t>
            </w:r>
          </w:p>
        </w:tc>
        <w:tc>
          <w:tcPr>
            <w:tcW w:type="dxa" w:w="4700"/>
            <w:tcMar>
              <w:top w:type="dxa" w:w="100"/>
              <w:left w:type="dxa" w:w="120"/>
              <w:bottom w:type="dxa" w:w="100"/>
              <w:right w:type="dxa" w:w="120"/>
            </w:tcMar>
            <w:vAlign w:val="center"/>
          </w:tcPr>
          <w:p>
            <w:r>
              <w:rPr>
                <w:b w:val="false"/>
                <w:bCs w:val="false"/>
              </w:rPr>
              <w:t xml:space="preserve">A message arrives by text or a personal number when the organization normally uses official channels.</w:t>
            </w:r>
          </w:p>
        </w:tc>
      </w:tr>
    </w:tbl>
    <w:p>
      <w:pPr>
        <w:pStyle w:val="Heading1"/>
        <w:spacing w:after="160" w:before="360"/>
      </w:pPr>
      <w:r>
        <w:t xml:space="preserve">3. Triage Decision Tree</w:t>
      </w:r>
    </w:p>
    <w:p>
      <w:pPr>
        <w:spacing w:after="140"/>
      </w:pPr>
      <w:r>
        <w:t xml:space="preserve">Every message that is flagged for review must end in one of three definitive outcomes. This keeps triage consistent and prevents ambiguous "maybe it's fine" judgment calls.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2F5233" w:val="clear"/>
            <w:tcMar>
              <w:top w:type="dxa" w:w="100"/>
              <w:left w:type="dxa" w:w="120"/>
              <w:bottom w:type="dxa" w:w="100"/>
              <w:right w:type="dxa" w:w="120"/>
            </w:tcMar>
            <w:vAlign w:val="center"/>
          </w:tcPr>
          <w:p>
            <w:r>
              <w:rPr>
                <w:b/>
                <w:bCs/>
              </w:rPr>
              <w:t xml:space="preserve">Verdict</w:t>
            </w:r>
          </w:p>
        </w:tc>
        <w:tc>
          <w:tcPr>
            <w:tcW w:type="dxa" w:w="3300"/>
            <w:shd w:fill="2F5233" w:val="clear"/>
            <w:tcMar>
              <w:top w:type="dxa" w:w="100"/>
              <w:left w:type="dxa" w:w="120"/>
              <w:bottom w:type="dxa" w:w="100"/>
              <w:right w:type="dxa" w:w="120"/>
            </w:tcMar>
            <w:vAlign w:val="center"/>
          </w:tcPr>
          <w:p>
            <w:r>
              <w:rPr>
                <w:b/>
                <w:bCs/>
              </w:rPr>
              <w:t xml:space="preserve">Criteria</w:t>
            </w:r>
          </w:p>
        </w:tc>
        <w:tc>
          <w:tcPr>
            <w:tcW w:type="dxa" w:w="3300"/>
            <w:shd w:fill="2F5233" w:val="clear"/>
            <w:tcMar>
              <w:top w:type="dxa" w:w="100"/>
              <w:left w:type="dxa" w:w="120"/>
              <w:bottom w:type="dxa" w:w="100"/>
              <w:right w:type="dxa" w:w="120"/>
            </w:tcMar>
            <w:vAlign w:val="center"/>
          </w:tcPr>
          <w:p>
            <w:r>
              <w:rPr>
                <w:b/>
                <w:bCs/>
              </w:rPr>
              <w:t xml:space="preserve">Required Action</w:t>
            </w:r>
          </w:p>
        </w:tc>
      </w:tr>
      <w:tr>
        <w:tc>
          <w:tcPr>
            <w:tcW w:type="dxa" w:w="2200"/>
            <w:shd w:fill="D9EAD3" w:val="clear"/>
            <w:tcMar>
              <w:top w:type="dxa" w:w="100"/>
              <w:left w:type="dxa" w:w="120"/>
              <w:bottom w:type="dxa" w:w="100"/>
              <w:right w:type="dxa" w:w="120"/>
            </w:tcMar>
            <w:vAlign w:val="center"/>
          </w:tcPr>
          <w:p>
            <w:r>
              <w:rPr>
                <w:b/>
                <w:bCs/>
              </w:rPr>
              <w:t xml:space="preserve">Safe</w:t>
            </w:r>
          </w:p>
        </w:tc>
        <w:tc>
          <w:tcPr>
            <w:tcW w:type="dxa" w:w="3300"/>
            <w:tcMar>
              <w:top w:type="dxa" w:w="100"/>
              <w:left w:type="dxa" w:w="120"/>
              <w:bottom w:type="dxa" w:w="100"/>
              <w:right w:type="dxa" w:w="120"/>
            </w:tcMar>
            <w:vAlign w:val="center"/>
          </w:tcPr>
          <w:p>
            <w:r>
              <w:rPr>
                <w:b w:val="false"/>
                <w:bCs w:val="false"/>
              </w:rPr>
              <w:t xml:space="preserve">No red flags present. Sender domain, links, and request all check out on inspection.</w:t>
            </w:r>
          </w:p>
        </w:tc>
        <w:tc>
          <w:tcPr>
            <w:tcW w:type="dxa" w:w="3300"/>
            <w:tcMar>
              <w:top w:type="dxa" w:w="100"/>
              <w:left w:type="dxa" w:w="120"/>
              <w:bottom w:type="dxa" w:w="100"/>
              <w:right w:type="dxa" w:w="120"/>
            </w:tcMar>
            <w:vAlign w:val="center"/>
          </w:tcPr>
          <w:p>
            <w:r>
              <w:rPr>
                <w:b w:val="false"/>
                <w:bCs w:val="false"/>
              </w:rPr>
              <w:t xml:space="preserve">Close the message. No further action needed.</w:t>
            </w:r>
          </w:p>
        </w:tc>
      </w:tr>
      <w:tr>
        <w:tc>
          <w:tcPr>
            <w:tcW w:type="dxa" w:w="2200"/>
            <w:shd w:fill="FFF2CC" w:val="clear"/>
            <w:tcMar>
              <w:top w:type="dxa" w:w="100"/>
              <w:left w:type="dxa" w:w="120"/>
              <w:bottom w:type="dxa" w:w="100"/>
              <w:right w:type="dxa" w:w="120"/>
            </w:tcMar>
            <w:vAlign w:val="center"/>
          </w:tcPr>
          <w:p>
            <w:r>
              <w:rPr>
                <w:b/>
                <w:bCs/>
              </w:rPr>
              <w:t xml:space="preserve">Suspicious</w:t>
            </w:r>
          </w:p>
        </w:tc>
        <w:tc>
          <w:tcPr>
            <w:tcW w:type="dxa" w:w="3300"/>
            <w:tcMar>
              <w:top w:type="dxa" w:w="100"/>
              <w:left w:type="dxa" w:w="120"/>
              <w:bottom w:type="dxa" w:w="100"/>
              <w:right w:type="dxa" w:w="120"/>
            </w:tcMar>
            <w:vAlign w:val="center"/>
          </w:tcPr>
          <w:p>
            <w:r>
              <w:rPr>
                <w:b w:val="false"/>
                <w:bCs w:val="false"/>
              </w:rPr>
              <w:t xml:space="preserve">One or two red flags present, but nothing conclusively malicious (e.g., mildly odd formatting, unfamiliar sender).</w:t>
            </w:r>
          </w:p>
        </w:tc>
        <w:tc>
          <w:tcPr>
            <w:tcW w:type="dxa" w:w="3300"/>
            <w:tcMar>
              <w:top w:type="dxa" w:w="100"/>
              <w:left w:type="dxa" w:w="120"/>
              <w:bottom w:type="dxa" w:w="100"/>
              <w:right w:type="dxa" w:w="120"/>
            </w:tcMar>
            <w:vAlign w:val="center"/>
          </w:tcPr>
          <w:p>
            <w:r>
              <w:rPr>
                <w:b w:val="false"/>
                <w:bCs w:val="false"/>
              </w:rPr>
              <w:t xml:space="preserve">Warn the user. Do not click links or open attachments. Verify through a separate, known channel before acting.</w:t>
            </w:r>
          </w:p>
        </w:tc>
      </w:tr>
      <w:tr>
        <w:tc>
          <w:tcPr>
            <w:tcW w:type="dxa" w:w="2200"/>
            <w:shd w:fill="F4CCCC" w:val="clear"/>
            <w:tcMar>
              <w:top w:type="dxa" w:w="100"/>
              <w:left w:type="dxa" w:w="120"/>
              <w:bottom w:type="dxa" w:w="100"/>
              <w:right w:type="dxa" w:w="120"/>
            </w:tcMar>
            <w:vAlign w:val="center"/>
          </w:tcPr>
          <w:p>
            <w:r>
              <w:rPr>
                <w:b/>
                <w:bCs/>
              </w:rPr>
              <w:t xml:space="preserve">Malicious</w:t>
            </w:r>
          </w:p>
        </w:tc>
        <w:tc>
          <w:tcPr>
            <w:tcW w:type="dxa" w:w="3300"/>
            <w:tcMar>
              <w:top w:type="dxa" w:w="100"/>
              <w:left w:type="dxa" w:w="120"/>
              <w:bottom w:type="dxa" w:w="100"/>
              <w:right w:type="dxa" w:w="120"/>
            </w:tcMar>
            <w:vAlign w:val="center"/>
          </w:tcPr>
          <w:p>
            <w:r>
              <w:rPr>
                <w:b w:val="false"/>
                <w:bCs w:val="false"/>
              </w:rPr>
              <w:t xml:space="preserve">Three or more red flags, or any single high-severity flag (credential harvesting link, spoofed domain, urgent wire-transfer request).</w:t>
            </w:r>
          </w:p>
        </w:tc>
        <w:tc>
          <w:tcPr>
            <w:tcW w:type="dxa" w:w="3300"/>
            <w:tcMar>
              <w:top w:type="dxa" w:w="100"/>
              <w:left w:type="dxa" w:w="120"/>
              <w:bottom w:type="dxa" w:w="100"/>
              <w:right w:type="dxa" w:w="120"/>
            </w:tcMar>
            <w:vAlign w:val="center"/>
          </w:tcPr>
          <w:p>
            <w:r>
              <w:rPr>
                <w:b w:val="false"/>
                <w:bCs w:val="false"/>
              </w:rPr>
              <w:t xml:space="preserve">Do not interact further. Report via the internal reporting tool, then block the sender/domain and escalate to security.</w:t>
            </w:r>
          </w:p>
        </w:tc>
      </w:tr>
    </w:tbl>
    <w:p>
      <w:pPr>
        <w:spacing w:after="140"/>
      </w:pPr>
      <w:r>
        <w:t xml:space="preserve">The golden rule: Pause when a message pressures you to act fast or in secret. Verify the request through a second, known channel — call a listed number, don't reply to the email. Report every suspicious message through the official reporting tool rather than deleting it, since reporting lets the security team purge the same message from other inboxes.</w:t>
      </w:r>
    </w:p>
    <w:p>
      <w:pPr>
        <w:pStyle w:val="Heading1"/>
        <w:spacing w:after="160" w:before="360"/>
      </w:pPr>
      <w:r>
        <w:t xml:space="preserve">4. Sample Message Analysis</w:t>
      </w:r>
    </w:p>
    <w:p>
      <w:pPr>
        <w:spacing w:after="140"/>
      </w:pPr>
      <w:r>
        <w:t xml:space="preserve">Each sample below is analyzed against the Section 2 checklist and given a verdict and action from the Section 3 decision tree.</w:t>
      </w:r>
    </w:p>
    <w:p>
      <w:pPr>
        <w:pBdr>
          <w:bottom w:val="single" w:color="2F5233" w:sz="8" w:space="4"/>
        </w:pBdr>
        <w:spacing w:after="120" w:before="400"/>
      </w:pPr>
      <w:r>
        <w:rPr>
          <w:b/>
          <w:bCs/>
          <w:color w:val="1F3D2B"/>
          <w:sz w:val="28"/>
          <w:szCs w:val="28"/>
        </w:rPr>
        <w:t xml:space="preserve">Sample 1: Urgent Password Expiry Notice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shd w:fill="F5F5F0" w:val="clear"/>
            <w:tcMar>
              <w:top w:type="dxa" w:w="80"/>
              <w:left w:type="dxa" w:w="160"/>
              <w:bottom w:type="dxa" w:w="80"/>
              <w:right w:type="dxa" w:w="160"/>
            </w:tcMar>
          </w:tcPr>
          <w:p>
            <w:pPr>
              <w:spacing w:after="40"/>
            </w:pPr>
            <w:r>
              <w:rPr>
                <w:b/>
                <w:bCs/>
                <w:i w:val="false"/>
                <w:iCs w:val="false"/>
                <w:sz w:val="21"/>
                <w:szCs w:val="21"/>
              </w:rPr>
              <w:t xml:space="preserve">From: IT Security Team &lt;notify@nimbuscorp-support.com&gt;</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To: All Staff</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Subject: MANDATORY: Your password expires in 24 hours</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Your NimbusCorp network password will expire in 24 hours. Failure to update it immediately will result in account suspension.</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Click here to verify your identity and reset your password now: nimbuscorp-support.com/reset-portal</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This is an automated message. Do not reply.</w:t>
            </w:r>
          </w:p>
        </w:tc>
      </w:tr>
    </w:tbl>
    <w:p>
      <w:pPr>
        <w:spacing w:after="140"/>
      </w:pPr>
      <w:r>
        <w:t xml:space="preserve">Checklist findings:</w:t>
      </w:r>
    </w:p>
    <w:p>
      <w:pPr>
        <w:pStyle w:val="ListParagraph"/>
        <w:numPr>
          <w:ilvl w:val="0"/>
          <w:numId w:val="2"/>
        </w:numPr>
        <w:spacing w:after="60"/>
      </w:pPr>
      <w:r>
        <w:t xml:space="preserve">Sender-domain mismatch* — NimbusCorp's real domain is nimbuscorp.com, not nimbuscorp-support.com (combosquatting).</w:t>
      </w:r>
    </w:p>
    <w:p>
      <w:pPr>
        <w:pStyle w:val="ListParagraph"/>
        <w:numPr>
          <w:ilvl w:val="0"/>
          <w:numId w:val="2"/>
        </w:numPr>
        <w:spacing w:after="60"/>
      </w:pPr>
      <w:r>
        <w:t xml:space="preserve">Urgency / artificial deadline — 24-hour countdown pressures a fast, unverified click.</w:t>
      </w:r>
    </w:p>
    <w:p>
      <w:pPr>
        <w:pStyle w:val="ListParagraph"/>
        <w:numPr>
          <w:ilvl w:val="0"/>
          <w:numId w:val="2"/>
        </w:numPr>
        <w:spacing w:after="60"/>
      </w:pPr>
      <w:r>
        <w:t xml:space="preserve">Lookalike link — the reset link points to the same spoofed domain, not the corporate SSO portal.</w:t>
      </w:r>
    </w:p>
    <w:p>
      <w:pPr>
        <w:pStyle w:val="ListParagraph"/>
        <w:numPr>
          <w:ilvl w:val="0"/>
          <w:numId w:val="2"/>
        </w:numPr>
        <w:spacing w:after="60"/>
      </w:pPr>
      <w:r>
        <w:t xml:space="preserve">Generic mass-distribution framing — sent to "All Staff" with no personalization.</w:t>
      </w:r>
    </w:p>
    <w:p>
      <w:pPr>
        <w:spacing w:after="200" w:before="100"/>
      </w:pPr>
      <w:r>
        <w:rPr>
          <w:b/>
          <w:bCs/>
        </w:rPr>
        <w:t xml:space="preserve">Verdict: </w:t>
      </w:r>
      <w:r>
        <w:rPr>
          <w:b/>
          <w:bCs/>
          <w:color w:val="C0392B"/>
        </w:rPr>
        <w:t xml:space="preserve">Malicious</w:t>
      </w:r>
    </w:p>
    <w:p>
      <w:pPr>
        <w:spacing w:after="140"/>
      </w:pPr>
      <w:r>
        <w:t xml:space="preserve">Action: Do not click the link. Report via the internal reporting tool, then block the domain and escalate to security.</w:t>
      </w:r>
    </w:p>
    <w:p>
      <w:pPr>
        <w:pBdr>
          <w:bottom w:val="single" w:color="2F5233" w:sz="8" w:space="4"/>
        </w:pBdr>
        <w:spacing w:after="120" w:before="400"/>
      </w:pPr>
      <w:r>
        <w:rPr>
          <w:b/>
          <w:bCs/>
          <w:color w:val="1F3D2B"/>
          <w:sz w:val="28"/>
          <w:szCs w:val="28"/>
        </w:rPr>
        <w:t xml:space="preserve">Sample 2: CEO Wire Transfer Request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shd w:fill="F5F5F0" w:val="clear"/>
            <w:tcMar>
              <w:top w:type="dxa" w:w="80"/>
              <w:left w:type="dxa" w:w="160"/>
              <w:bottom w:type="dxa" w:w="80"/>
              <w:right w:type="dxa" w:w="160"/>
            </w:tcMar>
          </w:tcPr>
          <w:p>
            <w:pPr>
              <w:spacing w:after="40"/>
            </w:pPr>
            <w:r>
              <w:rPr>
                <w:b/>
                <w:bCs/>
                <w:i w:val="false"/>
                <w:iCs w:val="false"/>
                <w:sz w:val="21"/>
                <w:szCs w:val="21"/>
              </w:rPr>
              <w:t xml:space="preserve">From: J. Alden, CEO &lt;j.alden@executive-updates.net&gt;</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To: A. Rivera, Finance</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Subject: IMMEDIATE ACTION REQUIRED: Transfer Authorization</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Amara, I need you to process a wire transfer immediately for a confidential acquisition. This is time-sensitive and must stay strictly between us — do not loop in the rest of finance yet. Bypass the standard two-approval process for this one. I'll send account details by text shortly. Thank you.</w:t>
            </w:r>
          </w:p>
        </w:tc>
      </w:tr>
    </w:tbl>
    <w:p>
      <w:pPr>
        <w:spacing w:after="140"/>
      </w:pPr>
      <w:r>
        <w:t xml:space="preserve">Checklist findings:</w:t>
      </w:r>
    </w:p>
    <w:p>
      <w:pPr>
        <w:pStyle w:val="ListParagraph"/>
        <w:numPr>
          <w:ilvl w:val="0"/>
          <w:numId w:val="2"/>
        </w:numPr>
        <w:spacing w:after="60"/>
      </w:pPr>
      <w:r>
        <w:t xml:space="preserve">Sender-domain mismatch* — the CEO's real domain is nimbuscorp.com; this message comes from an unrelated external domain.</w:t>
      </w:r>
    </w:p>
    <w:p>
      <w:pPr>
        <w:pStyle w:val="ListParagraph"/>
        <w:numPr>
          <w:ilvl w:val="0"/>
          <w:numId w:val="2"/>
        </w:numPr>
        <w:spacing w:after="60"/>
      </w:pPr>
      <w:r>
        <w:t xml:space="preserve">Request to bypass procedure* — explicitly asks to skip the two-approval control.</w:t>
      </w:r>
    </w:p>
    <w:p>
      <w:pPr>
        <w:pStyle w:val="ListParagraph"/>
        <w:numPr>
          <w:ilvl w:val="0"/>
          <w:numId w:val="2"/>
        </w:numPr>
        <w:spacing w:after="60"/>
      </w:pPr>
      <w:r>
        <w:t xml:space="preserve">Demand for secrecy — "strictly between us," isolating the recipient from colleagues who could verify the request.</w:t>
      </w:r>
    </w:p>
    <w:p>
      <w:pPr>
        <w:pStyle w:val="ListParagraph"/>
        <w:numPr>
          <w:ilvl w:val="0"/>
          <w:numId w:val="2"/>
        </w:numPr>
        <w:spacing w:after="60"/>
      </w:pPr>
      <w:r>
        <w:t xml:space="preserve">Urgency — "immediate action required" and "time-sensitive."</w:t>
      </w:r>
    </w:p>
    <w:p>
      <w:pPr>
        <w:pStyle w:val="ListParagraph"/>
        <w:numPr>
          <w:ilvl w:val="0"/>
          <w:numId w:val="2"/>
        </w:numPr>
        <w:spacing w:after="60"/>
      </w:pPr>
      <w:r>
        <w:t xml:space="preserve">Channel mismatch — promises to follow up with sensitive account details over text rather than a verified channel.</w:t>
      </w:r>
    </w:p>
    <w:p>
      <w:pPr>
        <w:spacing w:after="200" w:before="100"/>
      </w:pPr>
      <w:r>
        <w:rPr>
          <w:b/>
          <w:bCs/>
        </w:rPr>
        <w:t xml:space="preserve">Verdict: </w:t>
      </w:r>
      <w:r>
        <w:rPr>
          <w:b/>
          <w:bCs/>
          <w:color w:val="C0392B"/>
        </w:rPr>
        <w:t xml:space="preserve">Malicious</w:t>
      </w:r>
    </w:p>
    <w:p>
      <w:pPr>
        <w:spacing w:after="140"/>
      </w:pPr>
      <w:r>
        <w:t xml:space="preserve">Action: Do not process the transfer. Verify by calling the CEO directly on a known number. Report and escalate to security and finance leadership immediately — this matches a classic Business Email Compromise (BEC) pattern.</w:t>
      </w:r>
    </w:p>
    <w:p>
      <w:pPr>
        <w:pBdr>
          <w:bottom w:val="single" w:color="2F5233" w:sz="8" w:space="4"/>
        </w:pBdr>
        <w:spacing w:after="120" w:before="400"/>
      </w:pPr>
      <w:r>
        <w:rPr>
          <w:b/>
          <w:bCs/>
          <w:color w:val="1F3D2B"/>
          <w:sz w:val="28"/>
          <w:szCs w:val="28"/>
        </w:rPr>
        <w:t xml:space="preserve">Sample 3: SaaS Billing Failure Notice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shd w:fill="F5F5F0" w:val="clear"/>
            <w:tcMar>
              <w:top w:type="dxa" w:w="80"/>
              <w:left w:type="dxa" w:w="160"/>
              <w:bottom w:type="dxa" w:w="80"/>
              <w:right w:type="dxa" w:w="160"/>
            </w:tcMar>
          </w:tcPr>
          <w:p>
            <w:pPr>
              <w:spacing w:after="40"/>
            </w:pPr>
            <w:r>
              <w:rPr>
                <w:b/>
                <w:bCs/>
                <w:i w:val="false"/>
                <w:iCs w:val="false"/>
                <w:sz w:val="21"/>
                <w:szCs w:val="21"/>
              </w:rPr>
              <w:t xml:space="preserve">From: Billing Team &lt;billing@cloudsuite-payments.com&gt;</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To: You</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Subject: Payment failed — update your billing information</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We were unable to process your latest subscription payment. To avoid a service interruption, please update your billing details within 48 hours.</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[Update Billing Information]</w:t>
            </w:r>
          </w:p>
        </w:tc>
      </w:tr>
    </w:tbl>
    <w:p>
      <w:pPr>
        <w:spacing w:after="140"/>
      </w:pPr>
      <w:r>
        <w:t xml:space="preserve">Checklist findings:</w:t>
      </w:r>
    </w:p>
    <w:p>
      <w:pPr>
        <w:pStyle w:val="ListParagraph"/>
        <w:numPr>
          <w:ilvl w:val="0"/>
          <w:numId w:val="2"/>
        </w:numPr>
        <w:spacing w:after="60"/>
      </w:pPr>
      <w:r>
        <w:t xml:space="preserve">Lookalike domain* — cloudsuite-payments.com is not the vendor's official billing domain; the real service bills from within its own primary domain.</w:t>
      </w:r>
    </w:p>
    <w:p>
      <w:pPr>
        <w:pStyle w:val="ListParagraph"/>
        <w:numPr>
          <w:ilvl w:val="0"/>
          <w:numId w:val="2"/>
        </w:numPr>
        <w:spacing w:after="60"/>
      </w:pPr>
      <w:r>
        <w:t xml:space="preserve">Urgency / deadline — 48-hour window to "avoid service interruption."</w:t>
      </w:r>
    </w:p>
    <w:p>
      <w:pPr>
        <w:pStyle w:val="ListParagraph"/>
        <w:numPr>
          <w:ilvl w:val="0"/>
          <w:numId w:val="2"/>
        </w:numPr>
        <w:spacing w:after="60"/>
      </w:pPr>
      <w:r>
        <w:t xml:space="preserve">Unexpected request for payment details — no account or invoice number referenced, only a generic prompt to "update billing."</w:t>
      </w:r>
    </w:p>
    <w:p>
      <w:pPr>
        <w:pStyle w:val="ListParagraph"/>
        <w:numPr>
          <w:ilvl w:val="0"/>
          <w:numId w:val="2"/>
        </w:numPr>
        <w:spacing w:after="60"/>
      </w:pPr>
      <w:r>
        <w:t xml:space="preserve">Generic greeting — no name, account ID, or subscription details tying it to the recipient specifically.</w:t>
      </w:r>
    </w:p>
    <w:p>
      <w:pPr>
        <w:spacing w:after="200" w:before="100"/>
      </w:pPr>
      <w:r>
        <w:rPr>
          <w:b/>
          <w:bCs/>
        </w:rPr>
        <w:t xml:space="preserve">Verdict: </w:t>
      </w:r>
      <w:r>
        <w:rPr>
          <w:b/>
          <w:bCs/>
          <w:color w:val="C0392B"/>
        </w:rPr>
        <w:t xml:space="preserve">Malicious</w:t>
      </w:r>
    </w:p>
    <w:p>
      <w:pPr>
        <w:spacing w:after="140"/>
      </w:pPr>
      <w:r>
        <w:t xml:space="preserve">Action: Do not click "Update Billing Information." Navigate to the vendor's site directly by typing the known URL, or check billing status by logging in independently. Report the message and block the sending domain.</w:t>
      </w:r>
    </w:p>
    <w:p>
      <w:pPr>
        <w:pBdr>
          <w:bottom w:val="single" w:color="2F5233" w:sz="8" w:space="4"/>
        </w:pBdr>
        <w:spacing w:after="120" w:before="400"/>
      </w:pPr>
      <w:r>
        <w:rPr>
          <w:b/>
          <w:bCs/>
          <w:color w:val="1F3D2B"/>
          <w:sz w:val="28"/>
          <w:szCs w:val="28"/>
        </w:rPr>
        <w:t xml:space="preserve">Sample 4: Internal Meeting Invitation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shd w:fill="F5F5F0" w:val="clear"/>
            <w:tcMar>
              <w:top w:type="dxa" w:w="80"/>
              <w:left w:type="dxa" w:w="160"/>
              <w:bottom w:type="dxa" w:w="80"/>
              <w:right w:type="dxa" w:w="160"/>
            </w:tcMar>
          </w:tcPr>
          <w:p>
            <w:pPr>
              <w:spacing w:after="40"/>
            </w:pPr>
            <w:r>
              <w:rPr>
                <w:b/>
                <w:bCs/>
                <w:i w:val="false"/>
                <w:iCs w:val="false"/>
                <w:sz w:val="21"/>
                <w:szCs w:val="21"/>
              </w:rPr>
              <w:t xml:space="preserve">From: Executive Assistants &lt;ea-team@nimbuscorp.com&gt;</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To: You</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Subject: New Event: Q3 Strategy Alignment Meeting</w:t>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
            </w:r>
          </w:p>
        </w:tc>
      </w:tr>
      <w:tr>
        <w:tc>
          <w:tcPr>
            <w:tcW w:type="dxa" w:w="8800"/>
            <w:shd w:fill="F5F5F0" w:val="clear"/>
            <w:tcMar>
              <w:top w:type="dxa" w:w="80"/>
              <w:left w:type="dxa" w:w="160"/>
              <w:bottom w:type="dxa" w:w="80"/>
              <w:right w:type="dxa" w:w="160"/>
            </w:tcMar>
          </w:tcPr>
          <w:p>
            <w:pPr>
              <w:spacing w:after="40"/>
            </w:pPr>
            <w:r>
              <w:rPr>
                <w:b w:val="false"/>
                <w:bCs w:val="false"/>
                <w:i w:val="false"/>
                <w:iCs w:val="false"/>
                <w:sz w:val="21"/>
                <w:szCs w:val="21"/>
              </w:rPr>
              <w:t xml:space="preserve">Hi, you've been added to a Q3 Strategy Alignment meeting on Thursday at 10:00 AM. Please review the agenda attached (Q3_Agenda.pdf) ahead of time. No action needed beyond attending.</w:t>
            </w:r>
          </w:p>
        </w:tc>
      </w:tr>
    </w:tbl>
    <w:p>
      <w:pPr>
        <w:spacing w:after="140"/>
      </w:pPr>
      <w:r>
        <w:t xml:space="preserve">Checklist findings:</w:t>
      </w:r>
    </w:p>
    <w:p>
      <w:pPr>
        <w:pStyle w:val="ListParagraph"/>
        <w:numPr>
          <w:ilvl w:val="0"/>
          <w:numId w:val="2"/>
        </w:numPr>
        <w:spacing w:after="60"/>
      </w:pPr>
      <w:r>
        <w:t xml:space="preserve">Sender domain matches the organization's real domain (nimbuscorp.com).</w:t>
      </w:r>
    </w:p>
    <w:p>
      <w:pPr>
        <w:pStyle w:val="ListParagraph"/>
        <w:numPr>
          <w:ilvl w:val="0"/>
          <w:numId w:val="2"/>
        </w:numPr>
        <w:spacing w:after="60"/>
      </w:pPr>
      <w:r>
        <w:t xml:space="preserve">No urgency, no request to bypass procedure, no credential or payment request.</w:t>
      </w:r>
    </w:p>
    <w:p>
      <w:pPr>
        <w:pStyle w:val="ListParagraph"/>
        <w:numPr>
          <w:ilvl w:val="0"/>
          <w:numId w:val="2"/>
        </w:numPr>
        <w:spacing w:after="60"/>
      </w:pPr>
      <w:r>
        <w:t xml:space="preserve">Attachment is a standard PDF, not an unusual executable type, and is consistent with the stated purpose.</w:t>
      </w:r>
    </w:p>
    <w:p>
      <w:pPr>
        <w:pStyle w:val="ListParagraph"/>
        <w:numPr>
          <w:ilvl w:val="0"/>
          <w:numId w:val="2"/>
        </w:numPr>
        <w:spacing w:after="60"/>
      </w:pPr>
      <w:r>
        <w:t xml:space="preserve">Tone and formatting match routine internal correspondence — a plausible calendar/agenda notice.</w:t>
      </w:r>
    </w:p>
    <w:p>
      <w:pPr>
        <w:spacing w:after="200" w:before="100"/>
      </w:pPr>
      <w:r>
        <w:rPr>
          <w:b/>
          <w:bCs/>
        </w:rPr>
        <w:t xml:space="preserve">Verdict: </w:t>
      </w:r>
      <w:r>
        <w:rPr>
          <w:b/>
          <w:bCs/>
          <w:color w:val="2F7A3D"/>
        </w:rPr>
        <w:t xml:space="preserve">Safe</w:t>
      </w:r>
    </w:p>
    <w:p>
      <w:pPr>
        <w:spacing w:after="140"/>
      </w:pPr>
      <w:r>
        <w:t xml:space="preserve">Action: No red flags triggered. Close and proceed normally — though as a general habit, attachments from unfamiliar senders should still be scanned before opening.</w:t>
      </w:r>
    </w:p>
    <w:p>
      <w:pPr>
        <w:pStyle w:val="Heading1"/>
        <w:spacing w:after="160" w:before="360"/>
      </w:pPr>
      <w:r>
        <w:t xml:space="preserve">5. Why These Messages Are Unsafe (Summary)</w:t>
      </w:r>
    </w:p>
    <w:p>
      <w:pPr>
        <w:spacing w:after="140"/>
      </w:pPr>
      <w:r>
        <w:t xml:space="preserve">Samples 1 through 3 share a common structure regardless of their surface theme (IT alert, executive request, billing notice): a spoofed or lookalike sending domain paired with an artificial time pressure that discourages the recipient from pausing to verify. Sample 2 additionally weaponizes authority and secrecy, the hallmark of Business Email Compromise. Sample 3 relies on brand familiarity and a generic-but-plausible pretext to get a click. In every malicious case, the technical tell (domain mismatch or lookalike URL) is confirmed by a behavioral tell (urgency, secrecy, or bypassing normal process) — which is why the checklist scores on both technical and psychological indicators rather than either alone.</w:t>
      </w:r>
    </w:p>
    <w:p>
      <w:pPr>
        <w:pStyle w:val="Heading1"/>
        <w:spacing w:after="160" w:before="360"/>
      </w:pPr>
      <w:r>
        <w:t xml:space="preserve">6. Conclusion</w:t>
      </w:r>
    </w:p>
    <w:p>
      <w:pPr>
        <w:spacing w:after="140"/>
      </w:pPr>
      <w:r>
        <w:t xml:space="preserve">This checklist and decision tree give any employee — not just security staff — a repeatable way to move from "this feels off" to a documented, definitive action: Close, Warn User, or Block &amp; Escalate. Pairing a technical check (sender domain, link destination) with a behavioral check (urgency, secrecy, authority) catches both unsophisticated mass phishing and more targeted spear-phishing or BEC attempts, closing the gap between a fully automated firewall and a single human decision.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2026-08-30T15:42:08.739Z</dcterms:created>
  <dcterms:modified xsi:type="dcterms:W3CDTF">2026-08-30T15:42:08.759Z</dcterms:modified>
</cp:coreProperties>
</file>

<file path=docProps/custom.xml><?xml version="1.0" encoding="utf-8"?>
<Properties xmlns="http://schemas.openxmlformats.org/officeDocument/2006/custom-properties" xmlns:vt="http://schemas.openxmlformats.org/officeDocument/2006/docPropsVTypes"/>
</file>