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Calibri" w:hAnsi="Calibri"/>
          <w:b/>
          <w:color w:val="EA580C"/>
          <w:sz w:val="56"/>
        </w:rPr>
        <w:t>PRINTHIVE</w:t>
      </w:r>
    </w:p>
    <w:p>
      <w:pPr>
        <w:spacing w:after="480"/>
      </w:pPr>
      <w:r>
        <w:rPr>
          <w:rFonts w:ascii="Calibri" w:hAnsi="Calibri"/>
          <w:b/>
          <w:color w:val="0F172A"/>
          <w:sz w:val="26"/>
        </w:rPr>
        <w:t>Decentralized 3-Sided Additive Manufacturing &amp; 3D Commerce Grid</w:t>
        <w:br/>
        <w:t>Core Documentation: Abstract, Achievements &amp; Report Organization</w:t>
      </w:r>
    </w:p>
    <w:p>
      <w:pPr>
        <w:spacing w:after="400"/>
      </w:pPr>
      <w:r>
        <w:rPr>
          <w:color w:val="E2E8F0"/>
        </w:rPr>
        <w:t>_________________________________________________________________________________</w:t>
      </w:r>
    </w:p>
    <w:p>
      <w:pPr>
        <w:pStyle w:val="Heading1"/>
        <w:spacing w:after="240"/>
      </w:pPr>
      <w:r>
        <w:rPr>
          <w:rFonts w:ascii="Calibri" w:hAnsi="Calibri"/>
          <w:b/>
          <w:color w:val="EA580C"/>
          <w:sz w:val="36"/>
        </w:rPr>
        <w:t>ABSTRACT</w:t>
      </w:r>
    </w:p>
    <w:p>
      <w:pPr>
        <w:spacing w:line="300" w:lineRule="auto" w:after="240"/>
      </w:pPr>
      <w:r>
        <w:t>The rapid evolution of additive manufacturing (3D printing) technologies has unlocked immense potential for on-demand customized production, rapid physical prototyping, and distributed digital manufacturing. However, widespread consumer and enterprise adoption remains fundamentally constrained by severe structural fragmentation across the ecosystem. First, retail consumers and small enterprises seeking bespoke 3D items face prohibitive capital expenditures (₹15,000–₹80,000) for hardware acquisition, compounded by steep learning curves in Computer-Aided Design (CAD) modeling, slicing toolpaths, and thermal bed tuning. Second, freelance 3D designers lack a secure, automated monetization framework, frequently uploading high-value digital CAD assets to open web repositories without intellectual property protection or per-print royalties. Third, thousands of desktop and semi-industrial 3D printers owned by hobbyists, academic labs, and regional makerspaces suffer from severe hardware underutilization, remaining idle for 18 to 20 hours per day due to the absence of a reliable, localized order routing network.</w:t>
      </w:r>
    </w:p>
    <w:p>
      <w:pPr>
        <w:spacing w:line="300" w:lineRule="auto" w:after="240"/>
      </w:pPr>
      <w:r>
        <w:t>To systematically address these interconnected bottlenecks, this project develops and deploys PrintHive — an AI-powered, decentralized, 3-sided hybrid commerce and on-demand manufacturing platform that bridges Buyers, 3D Designers, and Local 3D Printer Hubs under a collaborative and trustless operational model. PrintHive is engineered on a modern full-stack cloud architecture utilizing Next.js (App Router), TypeScript, PostgreSQL via Supabase with Row-Level Security (RLS), Three.js WebGL graphics, and Google Gemini AI.</w:t>
      </w:r>
    </w:p>
    <w:p>
      <w:pPr>
        <w:spacing w:line="300" w:lineRule="auto" w:after="240"/>
      </w:pPr>
      <w:r>
        <w:t>The key technical innovations and subsystems comprising PrintHive include:</w:t>
        <w:br/>
        <w:t>1. In-Browser GPU-Accelerated 3D Viewport &amp; Slicer: A Three.js/WebGL interactive rendering canvas that parses STL, 3MF, and OBJ files directly on the client device, calculating precise signed tetrahedron mesh volumes (cm³), raw polymer weight (grams), print durations, and automated manufacturing cost estimates across multiple filaments (PLA, PETG, ABS, TPU, Resin).</w:t>
        <w:br/>
        <w:t>2. Leaflet.js Geospatial Proximity Matching: A spatial matching engine that connects physical print orders to the nearest verified 3D printer farms within a 5–20 km radius using Haversine geodesic algorithms, collapsing delivery turnarounds from weeks to same-day or next-day local fulfillment.</w:t>
        <w:br/>
        <w:t>3. Razorpay Escrow State Machine &amp; Tripartite Split: A trustless financial settlement pipeline that locks buyer funds in Escrow during manufacturing and releases an automated 70% / 15% / 15% revenue split (70% to Printer Hub, 15% to 3D Designer, 15% to Platform) upon buyer quality sign-off.</w:t>
        <w:br/>
        <w:t>4. AI-Driven Intelligence Engine: Google Gemini API integration enabling natural-language model searches and automated specification generation.</w:t>
        <w:br/>
        <w:t>5. Custom Brief Bidding &amp; Dynamic Security Verification: A multi-tenant freelance CAD procurement portal featuring direct signed Cloudinary attachment pipelines and dynamic Cash-on-Delivery (COD) security verification tokens that eliminate bot-driven spam checkouts.</w:t>
      </w:r>
    </w:p>
    <w:p>
      <w:pPr>
        <w:spacing w:line="300" w:lineRule="auto" w:after="480"/>
      </w:pPr>
      <w:r>
        <w:t>By transforming idle regional 3D printers into high-precision micro-factories and guaranteeing fair remuneration for creative IP, PrintHive establishes a sustainable, scalable, and decentralized additive manufacturing grid.</w:t>
      </w:r>
    </w:p>
    <w:p>
      <w:pPr>
        <w:spacing w:after="560"/>
      </w:pPr>
      <w:r>
        <w:rPr>
          <w:b/>
          <w:color w:val="EA580C"/>
          <w:sz w:val="20"/>
        </w:rPr>
        <w:t>Keywords: Additive Manufacturing, Decentralized 3D Grid, Next.js, Three.js WebGL, Supabase RLS, Razorpay Escrow, Google Gemini AI, Leaflet Geolocation, Cloudinary CDN.</w:t>
      </w:r>
    </w:p>
    <w:p>
      <w:pPr>
        <w:pStyle w:val="Heading1"/>
        <w:spacing w:after="280"/>
      </w:pPr>
      <w:r>
        <w:rPr>
          <w:rFonts w:ascii="Calibri" w:hAnsi="Calibri"/>
          <w:b/>
          <w:color w:val="EA580C"/>
          <w:sz w:val="36"/>
        </w:rPr>
        <w:t>1.4 ACHIEVEMENTS &amp; CORE TECHNICAL MILESTONES</w:t>
      </w:r>
    </w:p>
    <w:p>
      <w:pPr>
        <w:spacing w:line="300" w:lineRule="auto" w:after="200"/>
      </w:pPr>
      <w:r>
        <w:rPr>
          <w:b/>
          <w:color w:val="0F172A"/>
        </w:rPr>
        <w:t xml:space="preserve">• 1. Multi-Role 3-Sided Decentralized Architecture: </w:t>
      </w:r>
      <w:r>
        <w:t>Architected and deployed a unified multi-tenant ecosystem supporting four distinct user roles: Buyers, 3D Designers (Creators), 3D Printer Hub Owners, and Platform Administrators. Designed strict client-side LocalStorage partitioning and server-side PostgreSQL Row Level Security (RLS) policies, guaranteeing that shopping carts, wishlists, and product management remain completely isolated between user sessions and role workspaces without cross-account data leakage.</w:t>
      </w:r>
    </w:p>
    <w:p>
      <w:pPr>
        <w:spacing w:line="300" w:lineRule="auto" w:after="200"/>
      </w:pPr>
      <w:r>
        <w:rPr>
          <w:b/>
          <w:color w:val="0F172A"/>
        </w:rPr>
        <w:t xml:space="preserve">• 2. Interactive In-Browser 3D Viewport &amp; Automated Slicer Engine: </w:t>
      </w:r>
      <w:r>
        <w:t>Engineered a high-performance WebGL 3D rendering pipeline utilizing Three.js and React Three Fiber (@react-three/fiber). The engine supports .stl, .3mf, .obj, and .gcode formats with orbit controls, interactive 3D perspective card physics, wireframe toggles, and real-time laser-scanning hologram effects. Implemented an automated mathematical slicer that calculates signed polygon volume (cm³), part mass in grams based on filament density constants (e.g., PLA = 1.24 g/cm³, PETG = 1.27 g/cm³, ABS = 1.04 g/cm³), and infill percentage to generate instant manufacturing cost estimates without server computational overhead.</w:t>
      </w:r>
    </w:p>
    <w:p>
      <w:pPr>
        <w:spacing w:line="300" w:lineRule="auto" w:after="200"/>
      </w:pPr>
      <w:r>
        <w:rPr>
          <w:b/>
          <w:color w:val="0F172A"/>
        </w:rPr>
        <w:t xml:space="preserve">• 3. Geospatial Proximity Matching &amp; Leaflet.js Mapping Engine: </w:t>
      </w:r>
      <w:r>
        <w:t>Implemented an interactive Leaflet.js and OpenStreetMap geolocation routing engine. Using spherical Haversine geodesic distance algorithms, the system dynamically calculates the physical proximity between buyer delivery coordinates and registered printer hub coordinates, automatically ranking and routing orders to verified 3D print farms within a 5–20 km radius to eliminate excessive transit delays and high logistics fees.</w:t>
      </w:r>
    </w:p>
    <w:p>
      <w:pPr>
        <w:spacing w:line="300" w:lineRule="auto" w:after="200"/>
      </w:pPr>
      <w:r>
        <w:rPr>
          <w:b/>
          <w:color w:val="0F172A"/>
        </w:rPr>
        <w:t xml:space="preserve">• 4. Escrow-Protected Payment State Machine &amp; Fair 70/15/15 Revenue Split: </w:t>
      </w:r>
      <w:r>
        <w:t>Integrated Razorpay Escrow payment gateway with automated cryptographic webhook verification. The platform enforces a tamper-proof tripartite economic split:</w:t>
        <w:br/>
        <w:t xml:space="preserve">  • 70% Direct Payout to Printer Hub: Compensates machine operational hours, electricity, polymer consumption, and packaging.</w:t>
        <w:br/>
        <w:t xml:space="preserve">  • 15% Royalty to 3D Designer: Compensates digital model IP creation, providing passive income whenever physical models are ordered.</w:t>
        <w:br/>
        <w:t xml:space="preserve">  • 15% Platform Maintenance Fee: Covers cloud infrastructure, AI inference, and dispute resolution.</w:t>
        <w:br/>
        <w:t>Funds remain securely held in Escrow until the buyer confirms delivery and quality compliance.</w:t>
      </w:r>
    </w:p>
    <w:p>
      <w:pPr>
        <w:spacing w:line="300" w:lineRule="auto" w:after="200"/>
      </w:pPr>
      <w:r>
        <w:rPr>
          <w:b/>
          <w:color w:val="0F172A"/>
        </w:rPr>
        <w:t xml:space="preserve">• 5. Google Gemini AI Generative Search &amp; Intelligence Engine: </w:t>
      </w:r>
      <w:r>
        <w:t>Integrated Google Gemini API (@google/genai) to power natural-language semantic searching (e.g., 'Find a durable heat-resistant drone mount in ABS'), automated technical description synthesis for uploaded models, and intelligent polymer/infill recommendations based on mechanical load constraints.</w:t>
      </w:r>
    </w:p>
    <w:p>
      <w:pPr>
        <w:spacing w:line="300" w:lineRule="auto" w:after="200"/>
      </w:pPr>
      <w:r>
        <w:rPr>
          <w:b/>
          <w:color w:val="0F172A"/>
        </w:rPr>
        <w:t xml:space="preserve">• 6. Two-Sided Custom 3D Design Brief &amp; Bidding Exchange: </w:t>
      </w:r>
      <w:r>
        <w:t>Built an end-to-end custom procurement engine. Buyers can publish custom CAD design briefs specifying dimensions, tolerance constraints, budget ranges, and multi-format attachments (.png, .jpg, .docx, .pdf, .stl). Verified freelance 3D designers and printer hubs review briefs and submit competitive bids (price and turnaround days), providing buyers with a centralized proposal review workspace.</w:t>
      </w:r>
    </w:p>
    <w:p>
      <w:pPr>
        <w:spacing w:line="300" w:lineRule="auto" w:after="200"/>
      </w:pPr>
      <w:r>
        <w:rPr>
          <w:b/>
          <w:color w:val="0F172A"/>
        </w:rPr>
        <w:t xml:space="preserve">• 7. Dynamic COD Security Token Gating &amp; Hardened Upload Pipeline: </w:t>
      </w:r>
      <w:r>
        <w:t>Developed an automated dynamic security verification system for Cash-on-Delivery (COD) checkouts that generates randomized 4-digit security tokens and locks the payment button until exact human verification is confirmed. In addition, built a direct signed Cloudinary media pipeline with universal support for images, CAD meshes, and technical documentation.</w:t>
      </w:r>
    </w:p>
    <w:p>
      <w:pPr>
        <w:spacing w:line="300" w:lineRule="auto" w:after="200"/>
      </w:pPr>
      <w:r>
        <w:rPr>
          <w:b/>
          <w:color w:val="0F172A"/>
        </w:rPr>
        <w:t xml:space="preserve">• 8. Luxury UI/UX Design System with Lucide React Vector Iconography: </w:t>
      </w:r>
      <w:r>
        <w:t>Crafted a modern, responsive user interface following glassmorphic design principles with a warm pearl/cream palette (#FAF8F5), crisp slate typography (#0F172A), amber neon highlights (#FF6B35), and vector Lucide React outline icons housed in glowing squircle container badges.</w:t>
      </w:r>
    </w:p>
    <w:p>
      <w:r>
        <w:br w:type="page"/>
      </w:r>
    </w:p>
    <w:p>
      <w:pPr>
        <w:pStyle w:val="Heading1"/>
        <w:spacing w:after="280"/>
      </w:pPr>
      <w:r>
        <w:rPr>
          <w:rFonts w:ascii="Calibri" w:hAnsi="Calibri"/>
          <w:b/>
          <w:color w:val="EA580C"/>
          <w:sz w:val="36"/>
        </w:rPr>
        <w:t>1.5 ORGANIZATION OF REPORT</w:t>
      </w:r>
    </w:p>
    <w:p>
      <w:pPr>
        <w:spacing w:line="300" w:lineRule="auto" w:after="280"/>
      </w:pPr>
      <w:r>
        <w:t>This technical project report is structured systematically across seven comprehensive chapters, progressing logically from theoretical motivation and market analysis to architectural design, mathematical modeling, implementation details, experimental validation, and future technological roadmaps. The organization is outlined as follows:</w:t>
      </w:r>
    </w:p>
    <w:p>
      <w:pPr>
        <w:spacing w:line="300" w:lineRule="auto" w:after="240"/>
      </w:pPr>
      <w:r>
        <w:rPr>
          <w:b/>
          <w:color w:val="1E293B"/>
          <w:sz w:val="23"/>
        </w:rPr>
        <w:t>• Chapter 1: Introduction</w:t>
        <w:br/>
      </w:r>
      <w:r>
        <w:t>Establishes the foundational context of additive manufacturing, highlights the tri-directional market failure (Buyers, Designers, Printer Hubs), defines the project objectives, outlines core technical achievements, and summarizes the structural organization of this documentation.</w:t>
      </w:r>
    </w:p>
    <w:p>
      <w:pPr>
        <w:spacing w:line="300" w:lineRule="auto" w:after="240"/>
      </w:pPr>
      <w:r>
        <w:rPr>
          <w:b/>
          <w:color w:val="1E293B"/>
          <w:sz w:val="23"/>
        </w:rPr>
        <w:t>• Chapter 2: Literature Survey &amp; Market Analysis</w:t>
        <w:br/>
      </w:r>
      <w:r>
        <w:t>Presents a critical comparative review of existing centralized and repository-based 3D printing platforms (including Thingiverse, Shapeways, and Treatstock). Evaluates their limitations regarding localized fulfillment, intellectual property monetization, in-browser toolpath inspection, and escrow security, articulating the necessity for a collaborative 3-sided network.</w:t>
      </w:r>
    </w:p>
    <w:p>
      <w:pPr>
        <w:spacing w:line="300" w:lineRule="auto" w:after="240"/>
      </w:pPr>
      <w:r>
        <w:rPr>
          <w:b/>
          <w:color w:val="1E293B"/>
          <w:sz w:val="23"/>
        </w:rPr>
        <w:t>• Chapter 3: System Requirements &amp; Feasibility Analysis</w:t>
        <w:br/>
      </w:r>
      <w:r>
        <w:t>Defines hardware and software prerequisites, technical feasibility, and functional requirements tailored to each of the four system roles (Buyer, Designer, Printer Hub, Administrator). Provides an in-depth justification for the selected technology stack (Next.js App Router, TypeScript, Three.js, PostgreSQL/Supabase, Razorpay Escrow, Google Gemini AI, and Cloudinary).</w:t>
      </w:r>
    </w:p>
    <w:p>
      <w:pPr>
        <w:spacing w:line="300" w:lineRule="auto" w:after="240"/>
      </w:pPr>
      <w:r>
        <w:rPr>
          <w:b/>
          <w:color w:val="1E293B"/>
          <w:sz w:val="23"/>
        </w:rPr>
        <w:t>• Chapter 4: System Architecture &amp; Database Design</w:t>
        <w:br/>
      </w:r>
      <w:r>
        <w:t>Outlines the distributed cloud architecture, component interaction pipelines, and the mathematical framework of the 70% / 15% / 15% escrow state machine. Provides Entity-Relationship Diagrams (ERDs), relational PostgreSQL table schema specifications with Row-Level Security (RLS) policies, and multi-level Data Flow Diagrams (DFD Level 0, Level 1, and Level 2).</w:t>
      </w:r>
    </w:p>
    <w:p>
      <w:pPr>
        <w:spacing w:line="300" w:lineRule="auto" w:after="240"/>
      </w:pPr>
      <w:r>
        <w:rPr>
          <w:b/>
          <w:color w:val="1E293B"/>
          <w:sz w:val="23"/>
        </w:rPr>
        <w:t>• Chapter 5: Methodology &amp; Implementation Details</w:t>
        <w:br/>
      </w:r>
      <w:r>
        <w:t>Details the concrete implementation of the core technical modules:</w:t>
        <w:br/>
        <w:t xml:space="preserve">  • Section 5.1: Three.js WebGL viewport rendering, STL/3MF binary parsing, and signed tetrahedron volume slicing algorithms.</w:t>
        <w:br/>
        <w:t xml:space="preserve">  • Section 5.2: Leaflet.js GPS geolocation proximity engine and Haversine routing algorithms.</w:t>
        <w:br/>
        <w:t xml:space="preserve">  • Section 5.3: Razorpay Escrow integration, webhook signature verification, and automated tripartite fund release.</w:t>
        <w:br/>
        <w:t xml:space="preserve">  • Section 5.4: Google Gemini AI natural-language prompt engineering and parameter extraction.</w:t>
        <w:br/>
        <w:t xml:space="preserve">  • Section 5.5: Custom 3D design brief bidding exchange and Cloudinary multi-format upload pipelines.</w:t>
        <w:br/>
        <w:t xml:space="preserve">  • Section 5.6: Dynamic Cash-on-Delivery (COD) security verification token gating and cart partition isolation.</w:t>
      </w:r>
    </w:p>
    <w:p>
      <w:pPr>
        <w:spacing w:line="300" w:lineRule="auto" w:after="240"/>
      </w:pPr>
      <w:r>
        <w:rPr>
          <w:b/>
          <w:color w:val="1E293B"/>
          <w:sz w:val="23"/>
        </w:rPr>
        <w:t>• Chapter 6: Testing, Results &amp; Discussion</w:t>
        <w:br/>
      </w:r>
      <w:r>
        <w:t>Covers testing methodologies including TypeScript compile-time static type analysis, end-to-end user acceptance testing (UAT), client-side mesh parsing latency benchmarks across various polygon counts (10k to 500k triangles), security vulnerability validation, and RLS role boundary enforcement.</w:t>
      </w:r>
    </w:p>
    <w:p>
      <w:pPr>
        <w:spacing w:line="300" w:lineRule="auto" w:after="240"/>
      </w:pPr>
      <w:r>
        <w:rPr>
          <w:b/>
          <w:color w:val="1E293B"/>
          <w:sz w:val="23"/>
        </w:rPr>
        <w:t>• Chapter 7: Conclusion &amp; Future Scope</w:t>
        <w:br/>
      </w:r>
      <w:r>
        <w:t>Summarizes the primary contributions and societal impact of the PrintHive ecosystem in democratizing additive manufacturing. Outlines future developmental trajectories, including IoT-connected OctoPrint/Klipper real-time printer telemetry, computer vision automated spaghetti/failure detection, blockchain-backed CAD IP watermarking, and cross-platform native mobile applications.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