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jc w:val="center"/>
      </w:pPr>
      <w:r>
        <w:rPr>
          <w:rFonts w:ascii="Calibri" w:hAnsi="Calibri"/>
          <w:b/>
          <w:color w:val="EA580C"/>
          <w:sz w:val="72"/>
        </w:rPr>
        <w:t>PRINTHIVE</w:t>
      </w:r>
    </w:p>
    <w:p>
      <w:pPr>
        <w:spacing w:after="560"/>
        <w:jc w:val="center"/>
      </w:pPr>
      <w:r>
        <w:rPr>
          <w:rFonts w:ascii="Calibri" w:hAnsi="Calibri"/>
          <w:b/>
          <w:color w:val="0F172A"/>
          <w:sz w:val="30"/>
        </w:rPr>
        <w:t>A Decentralized 3-Sided Additive Manufacturing &amp; 3D Commerce Platform</w:t>
        <w:br/>
        <w:t>Powered by Next.js, Three.js WebGL, Supabase, and Google Gemini AI</w:t>
      </w:r>
    </w:p>
    <w:p>
      <w:pPr>
        <w:spacing w:after="2800"/>
        <w:jc w:val="center"/>
      </w:pPr>
      <w:r>
        <w:rPr>
          <w:rFonts w:ascii="Calibri" w:hAnsi="Calibri"/>
          <w:color w:val="64748B"/>
          <w:sz w:val="24"/>
        </w:rPr>
        <w:t>PROJECT DOCUMENTATION &amp; TECHNICAL REPORT</w:t>
        <w:br/>
        <w:t>Academic &amp; Engineering Reference Specification</w:t>
      </w:r>
    </w:p>
    <w:p>
      <w:pPr>
        <w:spacing w:after="0"/>
        <w:jc w:val="center"/>
      </w:pPr>
      <w:r>
        <w:rPr>
          <w:rFonts w:ascii="Calibri" w:hAnsi="Calibri"/>
          <w:color w:val="1E293B"/>
          <w:sz w:val="22"/>
        </w:rPr>
        <w:t>Platform: Web Application (Next.js App Router)</w:t>
        <w:br/>
        <w:t>Architecture: Three-Tier Distributed Cloud Architecture</w:t>
        <w:br/>
        <w:t>Deployment: Vercel CDN &amp; Supabase Cloud (PostgreSQL RLS)</w:t>
        <w:br/>
        <w:t>August 2026</w:t>
      </w:r>
    </w:p>
    <w:p>
      <w:r>
        <w:br w:type="page"/>
      </w:r>
    </w:p>
    <w:p>
      <w:pPr>
        <w:pStyle w:val="Heading1"/>
        <w:spacing w:after="280"/>
      </w:pPr>
      <w:r>
        <w:rPr>
          <w:rFonts w:ascii="Calibri" w:hAnsi="Calibri"/>
          <w:b/>
          <w:color w:val="0F172A"/>
          <w:sz w:val="40"/>
        </w:rPr>
        <w:t>ABSTRACT</w:t>
      </w:r>
    </w:p>
    <w:p>
      <w:pPr>
        <w:spacing w:line="300" w:lineRule="auto" w:after="200"/>
      </w:pPr>
      <w:r>
        <w:rPr>
          <w:rFonts w:ascii="Calibri" w:hAnsi="Calibri"/>
          <w:color w:val="1E293B"/>
          <w:sz w:val="23"/>
        </w:rPr>
        <w:t>The rapid evolution of additive manufacturing has democratized rapid prototyping and custom fabrication; nevertheless, broad consumer and industrial adoption remains bottlenecked by fundamental market fragmentation. Prospective buyers lack access to industrial-grade 3D printers and Computer-Aided Design (CAD) software proficiency; independent 3D designers struggle to monetize digital intellectual property without rampant unauthorized reproduction; and distributed 3D printer operators experience excessive hardware idle time (averaging 18–20 hours daily). Furthermore, existing centralized manufacturing platforms impose prohibitive logistical overheads, long transit latencies, and rigid non-collaborative fee structures.</w:t>
      </w:r>
    </w:p>
    <w:p>
      <w:pPr>
        <w:spacing w:line="300" w:lineRule="auto" w:after="280"/>
      </w:pPr>
      <w:r>
        <w:rPr>
          <w:rFonts w:ascii="Calibri" w:hAnsi="Calibri"/>
          <w:color w:val="1E293B"/>
          <w:sz w:val="23"/>
        </w:rPr>
        <w:t>To resolve this tri-directional challenge, this project presents PrintHive — a decentralized, AI-augmented, three-sided hybrid commerce and on-demand distributed manufacturing ecosystem interconnecting Buyers, 3D Designers, and Local 3D Printer Hubs. Built upon a state-of-the-art full-stack paradigm leveraging Next.js (App Router), TypeScript, Supabase (PostgreSQL with Row Level Security), Three.js WebGL, and Google Gemini AI, PrintHive introduces: (1) an in-browser Three.js WebGL 3D inspection viewport and automated mesh slicing engine calculating volume, weight, and manufacturing costs in real-time; (2) an intelligent Leaflet.js and OpenStreetMap proximity matching algorithm connecting buyer print orders with verified local printer farms within a 5–20 km radius; (3) an escrow-governed financial transaction state machine backed by Razorpay Escrow enforcing an automated 70% / 15% / 15% revenue distribution model (Hub / Designer / Platform); and (4) an end-to-end custom brief procurement bidding system equipped with dynamic Cash-on-Delivery (COD) security verification.</w:t>
      </w:r>
    </w:p>
    <w:p>
      <w:pPr>
        <w:spacing w:line="300" w:lineRule="auto" w:after="560"/>
      </w:pPr>
      <w:r>
        <w:rPr>
          <w:rFonts w:ascii="Calibri" w:hAnsi="Calibri"/>
          <w:b/>
          <w:color w:val="EA580C"/>
          <w:sz w:val="21"/>
        </w:rPr>
        <w:t>Keywords: Additive Manufacturing, 3D Printing Grid, Next.js, Three.js WebGL, Supabase RLS, Razorpay Escrow, Google Gemini AI, Leaflet Geolocation, Cloudinary CDN, Decentralized Commerce.</w:t>
      </w:r>
    </w:p>
    <w:p>
      <w:pPr>
        <w:pStyle w:val="Heading1"/>
      </w:pPr>
      <w:r>
        <w:t>CHAPTER 1: INTRODUCTION</w:t>
      </w:r>
    </w:p>
    <w:p>
      <w:pPr>
        <w:pStyle w:val="Heading2"/>
      </w:pPr>
      <w:r>
        <w:t>1.1 Background &amp; Motivation</w:t>
      </w:r>
    </w:p>
    <w:p>
      <w:pPr>
        <w:spacing w:line="288" w:lineRule="auto"/>
      </w:pPr>
      <w:r>
        <w:t>Over the past decade, additive manufacturing (3D printing) has transitioned from an esoteric industrial rapid-prototyping tool to a ubiquitous manufacturing paradigm spanning biomedical implants, aerospace components, customized electronics enclosures, and consumer goods. Despite substantial reductions in hardware acquisition costs for desktop FDM (Fused Deposition Modeling) and SLA (Stereolithography) machines, additive manufacturing remains inaccessible to the general public due to steep CAD learning curves and complex machine calibration requirements (e.g., bed leveling, thermal tuning, slicer retraction configuration).</w:t>
        <w:br/>
        <w:br/>
        <w:t>Concurrently, thousands of desktop and semi-industrial 3D printers owned by hobbyists, engineering colleges, and regional maker hubs remain underutilized. PrintHive was conceived to bridge this supply-demand chasm by creating an interconnected digital grid that turns idle distributed 3D printers into high-reliability local micro-factories.</w:t>
      </w:r>
    </w:p>
    <w:p>
      <w:pPr>
        <w:pStyle w:val="Heading2"/>
      </w:pPr>
      <w:r>
        <w:t>1.2 Problem Statement</w:t>
      </w:r>
    </w:p>
    <w:p>
      <w:pPr>
        <w:spacing w:line="288" w:lineRule="auto"/>
      </w:pPr>
      <w:r>
        <w:t>The current additive manufacturing ecosystem is hindered by three core market failures:</w:t>
        <w:br/>
        <w:t>1. Consumer Access Barrier: Consumers wishing to purchase custom 3D printed items must navigate complex industrial B2B portals or purchase dedicated machinery with high capital expense (₹15,000–₹80,000).</w:t>
        <w:br/>
        <w:t>2. Designer Monetization Inefficiency: 3D modelers upload creative CAD files to open repositories (e.g., Thingiverse, Printables) without copyright protection or automatic micro-royalties when physical prints are sold.</w:t>
        <w:br/>
        <w:t>3. Printer Operator Underutilization: Local printer farms lack structured order routing, payment guarantees, and customer dispute protection.</w:t>
      </w:r>
    </w:p>
    <w:p>
      <w:pPr>
        <w:pStyle w:val="Heading2"/>
      </w:pPr>
      <w:r>
        <w:t>1.3 Objectives of the Project</w:t>
      </w:r>
    </w:p>
    <w:p>
      <w:pPr>
        <w:spacing w:line="288" w:lineRule="auto"/>
      </w:pPr>
      <w:r>
        <w:t>The primary objectives of PrintHive are:</w:t>
        <w:br/>
        <w:t>• To build a scalable, multi-role web platform accommodating Buyers, 3D Designers, 3D Printer Hubs, and Administrators.</w:t>
        <w:br/>
        <w:t>• To implement in-browser WebGL 3D model visualization and real-time automated slicing cost estimation.</w:t>
        <w:br/>
        <w:t>• To design a proximity-based geospatial matching engine using Leaflet.js and OpenStreetMap.</w:t>
        <w:br/>
        <w:t>• To develop an Escrow-protected transaction framework enforcing a 70% (Hub) / 15% (Designer) / 15% (Platform) automated revenue split.</w:t>
        <w:br/>
        <w:t>• To integrate Google Gemini AI for natural-language search, automated model categorization, and polymer recommendations.</w:t>
      </w:r>
    </w:p>
    <w:p>
      <w:pPr>
        <w:pStyle w:val="Heading2"/>
      </w:pPr>
      <w:r>
        <w:t>1.4 Achievements &amp; Core Milestones</w:t>
      </w:r>
    </w:p>
    <w:p>
      <w:pPr>
        <w:spacing w:line="288" w:lineRule="auto"/>
      </w:pPr>
      <w:r>
        <w:t>During the design, engineering, and deployment phases of PrintHive, the following technical and functional milestones were successfully achieved:</w:t>
        <w:br/>
        <w:br/>
        <w:t>1. 3-Sided Decentralized Commerce Architecture: Engineered four strictly isolated role-based workspaces (Buyer, Designer, Printer Hub, and Admin) with dynamic cookie/session partition keys in LocalStorage and PostgreSQL Row Level Security (RLS) preventing cross-account cart or inventory leakage.</w:t>
        <w:br/>
        <w:br/>
        <w:t>2. In-Browser 3D Viewport &amp; Automated Slicer: Built an interactive WebGL rendering canvas using Three.js and React Three Fiber supporting .stl, .3mf, and .obj formats with dynamic camera orbit controls, wireframe toggles, and laser-hologram slicer simulations that calculate volume (cm³), weight (g), and print costs across multiple polymers (PLA, PETG, ABS, TPU, Resin).</w:t>
        <w:br/>
        <w:br/>
        <w:t>3. Geospatial Proximity Matching Algorithm: Integrated Leaflet.js and OpenStreetMap to calculate spatial distances between buyers and regional hubs, enabling localized manufacturing that cuts delivery transit times from 5–7 days to same-day or next-day turnaround.</w:t>
        <w:br/>
        <w:br/>
        <w:t>4. Escrow-Protected Financial Architecture: Integrated Razorpay Escrow APIs ensuring buyer funds remain securely locked until physical inspection, with automated tripartite distribution (70% Hub, 15% Designer, 15% Platform).</w:t>
        <w:br/>
        <w:br/>
        <w:t>5. Google Gemini AI Engine: Implemented natural-language generative model search and automated technical attribute generation.</w:t>
        <w:br/>
        <w:br/>
        <w:t>6. Custom Brief Procurement Engine: Built a multi-tenant client brief exchange allowing buyers to post custom CAD modeling specifications with Cloudinary file uploads, and verified designers to submit competitive turnaround bids.</w:t>
        <w:br/>
        <w:br/>
        <w:t>7. Dynamic Security Verification: Implemented dynamic unique Cash-on-Delivery (COD) security token generation and gated button unlocking to prevent automated spam orders.</w:t>
      </w:r>
    </w:p>
    <w:p>
      <w:pPr>
        <w:pStyle w:val="Heading2"/>
      </w:pPr>
      <w:r>
        <w:t>1.5 Organization of Report</w:t>
      </w:r>
    </w:p>
    <w:p>
      <w:pPr>
        <w:spacing w:line="288" w:lineRule="auto"/>
      </w:pPr>
      <w:r>
        <w:t>This project report is structured systematically across seven consecutive chapters as detailed below:</w:t>
        <w:br/>
        <w:br/>
        <w:t>• Chapter 1: Introduction — Presents the research background, problem statement, project objectives, key achievements, and report outline.</w:t>
        <w:br/>
        <w:t>• Chapter 2: Literature Survey &amp; Market Analysis — Reviews existing additive manufacturing marketplaces (Shapeways, Thingiverse, Treatstock) and identifies system gaps.</w:t>
        <w:br/>
        <w:t>• Chapter 3: System Requirements &amp; Feasibility — Details hardware/software prerequisites, functional/non-functional specifications, and technology stack justification.</w:t>
        <w:br/>
        <w:t>• Chapter 4: System Architecture &amp; Database Design — Outlines the high-level distributed architecture, PostgreSQL relational schema with RLS policies, and data flow diagrams.</w:t>
        <w:br/>
        <w:t>• Chapter 5: Methodology &amp; Implementation Details — Covers in-depth engineering of 3D WebGL rendering, Leaflet geospatial matching, Razorpay Escrow, Gemini AI, and Cloudinary media processing.</w:t>
        <w:br/>
        <w:t>• Chapter 6: Testing, Results &amp; Discussion — Discusses unit testing, User Acceptance Testing (UAT), latency benchmarks, and transaction security validation.</w:t>
        <w:br/>
        <w:t>• Chapter 7: Conclusion &amp; Future Scope — Summarizes platform contributions and outlines future roadmaps including IoT Klipper/OctoPrint printer telemetry.</w:t>
      </w:r>
    </w:p>
    <w:p>
      <w:r>
        <w:br w:type="page"/>
      </w:r>
    </w:p>
    <w:p>
      <w:pPr>
        <w:pStyle w:val="Heading1"/>
      </w:pPr>
      <w:r>
        <w:t>CHAPTER 2: LITERATURE SURVEY &amp; MARKET ANALYSIS</w:t>
      </w:r>
    </w:p>
    <w:p>
      <w:pPr>
        <w:pStyle w:val="Heading2"/>
      </w:pPr>
      <w:r>
        <w:t>2.1 Comparative Analysis of Existing Platforms</w:t>
      </w:r>
    </w:p>
    <w:p>
      <w:r>
        <w:t>A comprehensive review of existing commercial additive manufacturing platforms reveals critical architectural shortcomings: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172A"/>
            <w:tcMar>
              <w:top w:w="120" w:type="dxa"/>
              <w:bottom w:w="120" w:type="dxa"/>
              <w:left w:w="140" w:type="dxa"/>
              <w:right w:w="140" w:type="dxa"/>
            </w:tcMar>
          </w:tcPr>
          <w:p>
            <w:r>
              <w:rPr>
                <w:b/>
                <w:color w:val="FFFFFF"/>
              </w:rPr>
              <w:t>Feature</w:t>
            </w:r>
          </w:p>
        </w:tc>
        <w:tc>
          <w:tcPr>
            <w:tcW w:type="dxa" w:w="1872"/>
            <w:shd w:fill="0F172A"/>
            <w:tcMar>
              <w:top w:w="120" w:type="dxa"/>
              <w:bottom w:w="120" w:type="dxa"/>
              <w:left w:w="140" w:type="dxa"/>
              <w:right w:w="140" w:type="dxa"/>
            </w:tcMar>
          </w:tcPr>
          <w:p>
            <w:r>
              <w:rPr>
                <w:b/>
                <w:color w:val="FFFFFF"/>
              </w:rPr>
              <w:t>Thingiverse</w:t>
            </w:r>
          </w:p>
        </w:tc>
        <w:tc>
          <w:tcPr>
            <w:tcW w:type="dxa" w:w="1872"/>
            <w:shd w:fill="0F172A"/>
            <w:tcMar>
              <w:top w:w="120" w:type="dxa"/>
              <w:bottom w:w="120" w:type="dxa"/>
              <w:left w:w="140" w:type="dxa"/>
              <w:right w:w="140" w:type="dxa"/>
            </w:tcMar>
          </w:tcPr>
          <w:p>
            <w:r>
              <w:rPr>
                <w:b/>
                <w:color w:val="FFFFFF"/>
              </w:rPr>
              <w:t>Shapeways</w:t>
            </w:r>
          </w:p>
        </w:tc>
        <w:tc>
          <w:tcPr>
            <w:tcW w:type="dxa" w:w="1872"/>
            <w:shd w:fill="0F172A"/>
            <w:tcMar>
              <w:top w:w="120" w:type="dxa"/>
              <w:bottom w:w="120" w:type="dxa"/>
              <w:left w:w="140" w:type="dxa"/>
              <w:right w:w="140" w:type="dxa"/>
            </w:tcMar>
          </w:tcPr>
          <w:p>
            <w:r>
              <w:rPr>
                <w:b/>
                <w:color w:val="FFFFFF"/>
              </w:rPr>
              <w:t>Treatstock</w:t>
            </w:r>
          </w:p>
        </w:tc>
        <w:tc>
          <w:tcPr>
            <w:tcW w:type="dxa" w:w="1872"/>
            <w:shd w:fill="0F172A"/>
            <w:tcMar>
              <w:top w:w="120" w:type="dxa"/>
              <w:bottom w:w="120" w:type="dxa"/>
              <w:left w:w="140" w:type="dxa"/>
              <w:right w:w="140" w:type="dxa"/>
            </w:tcMar>
          </w:tcPr>
          <w:p>
            <w:r>
              <w:rPr>
                <w:b/>
                <w:color w:val="FFFFFF"/>
              </w:rPr>
              <w:t>PrintHive (Proposed)</w:t>
            </w:r>
          </w:p>
        </w:tc>
      </w:tr>
      <w:tr>
        <w:tc>
          <w:tcPr>
            <w:tcW w:type="dxa" w:w="1872"/>
            <w:shd w:fill="F8FAFC"/>
            <w:tcMar>
              <w:top w:w="80" w:type="dxa"/>
              <w:bottom w:w="80" w:type="dxa"/>
              <w:left w:w="120" w:type="dxa"/>
              <w:right w:w="120" w:type="dxa"/>
            </w:tcMar>
          </w:tcPr>
          <w:p>
            <w:r>
              <w:t>Decentralized Local Hub Grid</w:t>
            </w:r>
          </w:p>
        </w:tc>
        <w:tc>
          <w:tcPr>
            <w:tcW w:type="dxa" w:w="1872"/>
            <w:shd w:fill="F8FAFC"/>
            <w:tcMar>
              <w:top w:w="80" w:type="dxa"/>
              <w:bottom w:w="80" w:type="dxa"/>
              <w:left w:w="120" w:type="dxa"/>
              <w:right w:w="120" w:type="dxa"/>
            </w:tcMar>
          </w:tcPr>
          <w:p>
            <w:r>
              <w:t>No</w:t>
            </w:r>
          </w:p>
        </w:tc>
        <w:tc>
          <w:tcPr>
            <w:tcW w:type="dxa" w:w="1872"/>
            <w:shd w:fill="F8FAFC"/>
            <w:tcMar>
              <w:top w:w="80" w:type="dxa"/>
              <w:bottom w:w="80" w:type="dxa"/>
              <w:left w:w="120" w:type="dxa"/>
              <w:right w:w="120" w:type="dxa"/>
            </w:tcMar>
          </w:tcPr>
          <w:p>
            <w:r>
              <w:t>No (Central Factory)</w:t>
            </w:r>
          </w:p>
        </w:tc>
        <w:tc>
          <w:tcPr>
            <w:tcW w:type="dxa" w:w="1872"/>
            <w:shd w:fill="F8FAFC"/>
            <w:tcMar>
              <w:top w:w="80" w:type="dxa"/>
              <w:bottom w:w="80" w:type="dxa"/>
              <w:left w:w="120" w:type="dxa"/>
              <w:right w:w="120" w:type="dxa"/>
            </w:tcMar>
          </w:tcPr>
          <w:p>
            <w:r>
              <w:t>Partial (B2B)</w:t>
            </w:r>
          </w:p>
        </w:tc>
        <w:tc>
          <w:tcPr>
            <w:tcW w:type="dxa" w:w="1872"/>
            <w:shd w:fill="F8FAFC"/>
            <w:tcMar>
              <w:top w:w="80" w:type="dxa"/>
              <w:bottom w:w="80" w:type="dxa"/>
              <w:left w:w="120" w:type="dxa"/>
              <w:right w:w="120" w:type="dxa"/>
            </w:tcMar>
          </w:tcPr>
          <w:p>
            <w:r>
              <w:rPr>
                <w:b/>
                <w:color w:val="EA580C"/>
              </w:rPr>
              <w:t>Yes (Leaflet GPS 5-20km)</w:t>
            </w:r>
          </w:p>
        </w:tc>
      </w:tr>
      <w:tr>
        <w:tc>
          <w:tcPr>
            <w:tcW w:type="dxa" w:w="1872"/>
            <w:shd w:fill="FFFFFF"/>
            <w:tcMar>
              <w:top w:w="80" w:type="dxa"/>
              <w:bottom w:w="80" w:type="dxa"/>
              <w:left w:w="120" w:type="dxa"/>
              <w:right w:w="120" w:type="dxa"/>
            </w:tcMar>
          </w:tcPr>
          <w:p>
            <w:r>
              <w:t>3-Sided Revenue Sharing</w:t>
            </w:r>
          </w:p>
        </w:tc>
        <w:tc>
          <w:tcPr>
            <w:tcW w:type="dxa" w:w="1872"/>
            <w:shd w:fill="FFFFFF"/>
            <w:tcMar>
              <w:top w:w="80" w:type="dxa"/>
              <w:bottom w:w="80" w:type="dxa"/>
              <w:left w:w="120" w:type="dxa"/>
              <w:right w:w="120" w:type="dxa"/>
            </w:tcMar>
          </w:tcPr>
          <w:p>
            <w:r>
              <w:t>None (Free)</w:t>
            </w:r>
          </w:p>
        </w:tc>
        <w:tc>
          <w:tcPr>
            <w:tcW w:type="dxa" w:w="1872"/>
            <w:shd w:fill="FFFFFF"/>
            <w:tcMar>
              <w:top w:w="80" w:type="dxa"/>
              <w:bottom w:w="80" w:type="dxa"/>
              <w:left w:w="120" w:type="dxa"/>
              <w:right w:w="120" w:type="dxa"/>
            </w:tcMar>
          </w:tcPr>
          <w:p>
            <w:r>
              <w:t>No (Fixed markup)</w:t>
            </w:r>
          </w:p>
        </w:tc>
        <w:tc>
          <w:tcPr>
            <w:tcW w:type="dxa" w:w="1872"/>
            <w:shd w:fill="FFFFFF"/>
            <w:tcMar>
              <w:top w:w="80" w:type="dxa"/>
              <w:bottom w:w="80" w:type="dxa"/>
              <w:left w:w="120" w:type="dxa"/>
              <w:right w:w="120" w:type="dxa"/>
            </w:tcMar>
          </w:tcPr>
          <w:p>
            <w:r>
              <w:t>Variable</w:t>
            </w:r>
          </w:p>
        </w:tc>
        <w:tc>
          <w:tcPr>
            <w:tcW w:type="dxa" w:w="1872"/>
            <w:shd w:fill="FFFFFF"/>
            <w:tcMar>
              <w:top w:w="80" w:type="dxa"/>
              <w:bottom w:w="80" w:type="dxa"/>
              <w:left w:w="120" w:type="dxa"/>
              <w:right w:w="120" w:type="dxa"/>
            </w:tcMar>
          </w:tcPr>
          <w:p>
            <w:r>
              <w:rPr>
                <w:b/>
                <w:color w:val="EA580C"/>
              </w:rPr>
              <w:t>Automated 70/15/15 Split</w:t>
            </w:r>
          </w:p>
        </w:tc>
      </w:tr>
      <w:tr>
        <w:tc>
          <w:tcPr>
            <w:tcW w:type="dxa" w:w="1872"/>
            <w:shd w:fill="F8FAFC"/>
            <w:tcMar>
              <w:top w:w="80" w:type="dxa"/>
              <w:bottom w:w="80" w:type="dxa"/>
              <w:left w:w="120" w:type="dxa"/>
              <w:right w:w="120" w:type="dxa"/>
            </w:tcMar>
          </w:tcPr>
          <w:p>
            <w:r>
              <w:t>In-Browser 3D Viewport &amp; Slicer</w:t>
            </w:r>
          </w:p>
        </w:tc>
        <w:tc>
          <w:tcPr>
            <w:tcW w:type="dxa" w:w="1872"/>
            <w:shd w:fill="F8FAFC"/>
            <w:tcMar>
              <w:top w:w="80" w:type="dxa"/>
              <w:bottom w:w="80" w:type="dxa"/>
              <w:left w:w="120" w:type="dxa"/>
              <w:right w:w="120" w:type="dxa"/>
            </w:tcMar>
          </w:tcPr>
          <w:p>
            <w:r>
              <w:t>Preview only</w:t>
            </w:r>
          </w:p>
        </w:tc>
        <w:tc>
          <w:tcPr>
            <w:tcW w:type="dxa" w:w="1872"/>
            <w:shd w:fill="F8FAFC"/>
            <w:tcMar>
              <w:top w:w="80" w:type="dxa"/>
              <w:bottom w:w="80" w:type="dxa"/>
              <w:left w:w="120" w:type="dxa"/>
              <w:right w:w="120" w:type="dxa"/>
            </w:tcMar>
          </w:tcPr>
          <w:p>
            <w:r>
              <w:t>Basic</w:t>
            </w:r>
          </w:p>
        </w:tc>
        <w:tc>
          <w:tcPr>
            <w:tcW w:type="dxa" w:w="1872"/>
            <w:shd w:fill="F8FAFC"/>
            <w:tcMar>
              <w:top w:w="80" w:type="dxa"/>
              <w:bottom w:w="80" w:type="dxa"/>
              <w:left w:w="120" w:type="dxa"/>
              <w:right w:w="120" w:type="dxa"/>
            </w:tcMar>
          </w:tcPr>
          <w:p>
            <w:r>
              <w:t>Manual</w:t>
            </w:r>
          </w:p>
        </w:tc>
        <w:tc>
          <w:tcPr>
            <w:tcW w:type="dxa" w:w="1872"/>
            <w:shd w:fill="F8FAFC"/>
            <w:tcMar>
              <w:top w:w="80" w:type="dxa"/>
              <w:bottom w:w="80" w:type="dxa"/>
              <w:left w:w="120" w:type="dxa"/>
              <w:right w:w="120" w:type="dxa"/>
            </w:tcMar>
          </w:tcPr>
          <w:p>
            <w:r>
              <w:rPr>
                <w:b/>
                <w:color w:val="EA580C"/>
              </w:rPr>
              <w:t>Interactive WebGL + Slicer</w:t>
            </w:r>
          </w:p>
        </w:tc>
      </w:tr>
      <w:tr>
        <w:tc>
          <w:tcPr>
            <w:tcW w:type="dxa" w:w="1872"/>
            <w:shd w:fill="FFFFFF"/>
            <w:tcMar>
              <w:top w:w="80" w:type="dxa"/>
              <w:bottom w:w="80" w:type="dxa"/>
              <w:left w:w="120" w:type="dxa"/>
              <w:right w:w="120" w:type="dxa"/>
            </w:tcMar>
          </w:tcPr>
          <w:p>
            <w:r>
              <w:t>Escrow Payment Protection</w:t>
            </w:r>
          </w:p>
        </w:tc>
        <w:tc>
          <w:tcPr>
            <w:tcW w:type="dxa" w:w="1872"/>
            <w:shd w:fill="FFFFFF"/>
            <w:tcMar>
              <w:top w:w="80" w:type="dxa"/>
              <w:bottom w:w="80" w:type="dxa"/>
              <w:left w:w="120" w:type="dxa"/>
              <w:right w:w="120" w:type="dxa"/>
            </w:tcMar>
          </w:tcPr>
          <w:p>
            <w:r>
              <w:t>No</w:t>
            </w:r>
          </w:p>
        </w:tc>
        <w:tc>
          <w:tcPr>
            <w:tcW w:type="dxa" w:w="1872"/>
            <w:shd w:fill="FFFFFF"/>
            <w:tcMar>
              <w:top w:w="80" w:type="dxa"/>
              <w:bottom w:w="80" w:type="dxa"/>
              <w:left w:w="120" w:type="dxa"/>
              <w:right w:w="120" w:type="dxa"/>
            </w:tcMar>
          </w:tcPr>
          <w:p>
            <w:r>
              <w:t>Standard</w:t>
            </w:r>
          </w:p>
        </w:tc>
        <w:tc>
          <w:tcPr>
            <w:tcW w:type="dxa" w:w="1872"/>
            <w:shd w:fill="FFFFFF"/>
            <w:tcMar>
              <w:top w:w="80" w:type="dxa"/>
              <w:bottom w:w="80" w:type="dxa"/>
              <w:left w:w="120" w:type="dxa"/>
              <w:right w:w="120" w:type="dxa"/>
            </w:tcMar>
          </w:tcPr>
          <w:p>
            <w:r>
              <w:t>Standard</w:t>
            </w:r>
          </w:p>
        </w:tc>
        <w:tc>
          <w:tcPr>
            <w:tcW w:type="dxa" w:w="1872"/>
            <w:shd w:fill="FFFFFF"/>
            <w:tcMar>
              <w:top w:w="80" w:type="dxa"/>
              <w:bottom w:w="80" w:type="dxa"/>
              <w:left w:w="120" w:type="dxa"/>
              <w:right w:w="120" w:type="dxa"/>
            </w:tcMar>
          </w:tcPr>
          <w:p>
            <w:r>
              <w:rPr>
                <w:b/>
                <w:color w:val="EA580C"/>
              </w:rPr>
              <w:t>Razorpay Escrow Guarded</w:t>
            </w:r>
          </w:p>
        </w:tc>
      </w:tr>
      <w:tr>
        <w:tc>
          <w:tcPr>
            <w:tcW w:type="dxa" w:w="1872"/>
            <w:shd w:fill="F8FAFC"/>
            <w:tcMar>
              <w:top w:w="80" w:type="dxa"/>
              <w:bottom w:w="80" w:type="dxa"/>
              <w:left w:w="120" w:type="dxa"/>
              <w:right w:w="120" w:type="dxa"/>
            </w:tcMar>
          </w:tcPr>
          <w:p>
            <w:r>
              <w:t>AI Natural Language Engine</w:t>
            </w:r>
          </w:p>
        </w:tc>
        <w:tc>
          <w:tcPr>
            <w:tcW w:type="dxa" w:w="1872"/>
            <w:shd w:fill="F8FAFC"/>
            <w:tcMar>
              <w:top w:w="80" w:type="dxa"/>
              <w:bottom w:w="80" w:type="dxa"/>
              <w:left w:w="120" w:type="dxa"/>
              <w:right w:w="120" w:type="dxa"/>
            </w:tcMar>
          </w:tcPr>
          <w:p>
            <w:r>
              <w:t>No</w:t>
            </w:r>
          </w:p>
        </w:tc>
        <w:tc>
          <w:tcPr>
            <w:tcW w:type="dxa" w:w="1872"/>
            <w:shd w:fill="F8FAFC"/>
            <w:tcMar>
              <w:top w:w="80" w:type="dxa"/>
              <w:bottom w:w="80" w:type="dxa"/>
              <w:left w:w="120" w:type="dxa"/>
              <w:right w:w="120" w:type="dxa"/>
            </w:tcMar>
          </w:tcPr>
          <w:p>
            <w:r>
              <w:t>No</w:t>
            </w:r>
          </w:p>
        </w:tc>
        <w:tc>
          <w:tcPr>
            <w:tcW w:type="dxa" w:w="1872"/>
            <w:shd w:fill="F8FAFC"/>
            <w:tcMar>
              <w:top w:w="80" w:type="dxa"/>
              <w:bottom w:w="80" w:type="dxa"/>
              <w:left w:w="120" w:type="dxa"/>
              <w:right w:w="120" w:type="dxa"/>
            </w:tcMar>
          </w:tcPr>
          <w:p>
            <w:r>
              <w:t>No</w:t>
            </w:r>
          </w:p>
        </w:tc>
        <w:tc>
          <w:tcPr>
            <w:tcW w:type="dxa" w:w="1872"/>
            <w:shd w:fill="F8FAFC"/>
            <w:tcMar>
              <w:top w:w="80" w:type="dxa"/>
              <w:bottom w:w="80" w:type="dxa"/>
              <w:left w:w="120" w:type="dxa"/>
              <w:right w:w="120" w:type="dxa"/>
            </w:tcMar>
          </w:tcPr>
          <w:p>
            <w:r>
              <w:rPr>
                <w:b/>
                <w:color w:val="EA580C"/>
              </w:rPr>
              <w:t>Google Gemini AI Integrated</w:t>
            </w:r>
          </w:p>
        </w:tc>
      </w:tr>
      <w:tr>
        <w:tc>
          <w:tcPr>
            <w:tcW w:type="dxa" w:w="1872"/>
            <w:shd w:fill="FFFFFF"/>
            <w:tcMar>
              <w:top w:w="80" w:type="dxa"/>
              <w:bottom w:w="80" w:type="dxa"/>
              <w:left w:w="120" w:type="dxa"/>
              <w:right w:w="120" w:type="dxa"/>
            </w:tcMar>
          </w:tcPr>
          <w:p>
            <w:r>
              <w:t>Custom Brief Bidding Exchange</w:t>
            </w:r>
          </w:p>
        </w:tc>
        <w:tc>
          <w:tcPr>
            <w:tcW w:type="dxa" w:w="1872"/>
            <w:shd w:fill="FFFFFF"/>
            <w:tcMar>
              <w:top w:w="80" w:type="dxa"/>
              <w:bottom w:w="80" w:type="dxa"/>
              <w:left w:w="120" w:type="dxa"/>
              <w:right w:w="120" w:type="dxa"/>
            </w:tcMar>
          </w:tcPr>
          <w:p>
            <w:r>
              <w:t>No</w:t>
            </w:r>
          </w:p>
        </w:tc>
        <w:tc>
          <w:tcPr>
            <w:tcW w:type="dxa" w:w="1872"/>
            <w:shd w:fill="FFFFFF"/>
            <w:tcMar>
              <w:top w:w="80" w:type="dxa"/>
              <w:bottom w:w="80" w:type="dxa"/>
              <w:left w:w="120" w:type="dxa"/>
              <w:right w:w="120" w:type="dxa"/>
            </w:tcMar>
          </w:tcPr>
          <w:p>
            <w:r>
              <w:t>No</w:t>
            </w:r>
          </w:p>
        </w:tc>
        <w:tc>
          <w:tcPr>
            <w:tcW w:type="dxa" w:w="1872"/>
            <w:shd w:fill="FFFFFF"/>
            <w:tcMar>
              <w:top w:w="80" w:type="dxa"/>
              <w:bottom w:w="80" w:type="dxa"/>
              <w:left w:w="120" w:type="dxa"/>
              <w:right w:w="120" w:type="dxa"/>
            </w:tcMar>
          </w:tcPr>
          <w:p>
            <w:r>
              <w:t>Quotes only</w:t>
            </w:r>
          </w:p>
        </w:tc>
        <w:tc>
          <w:tcPr>
            <w:tcW w:type="dxa" w:w="1872"/>
            <w:shd w:fill="FFFFFF"/>
            <w:tcMar>
              <w:top w:w="80" w:type="dxa"/>
              <w:bottom w:w="80" w:type="dxa"/>
              <w:left w:w="120" w:type="dxa"/>
              <w:right w:w="120" w:type="dxa"/>
            </w:tcMar>
          </w:tcPr>
          <w:p>
            <w:r>
              <w:rPr>
                <w:b/>
                <w:color w:val="EA580C"/>
              </w:rPr>
              <w:t>Full Two-Sided Bidding</w:t>
            </w:r>
          </w:p>
        </w:tc>
      </w:tr>
    </w:tbl>
    <w:p>
      <w:r>
        <w:br w:type="page"/>
      </w:r>
    </w:p>
    <w:p>
      <w:pPr>
        <w:pStyle w:val="Heading1"/>
      </w:pPr>
      <w:r>
        <w:t>CHAPTER 3: SYSTEM REQUIREMENTS &amp; FEASIBILITY</w:t>
      </w:r>
    </w:p>
    <w:p>
      <w:pPr>
        <w:pStyle w:val="Heading2"/>
      </w:pPr>
      <w:r>
        <w:t>3.1 Technology Stack Rationale</w:t>
      </w:r>
    </w:p>
    <w:p>
      <w:pPr>
        <w:spacing w:line="288" w:lineRule="auto"/>
      </w:pPr>
      <w:r>
        <w:t>PrintHive adopts a modern, robust technology stack engineered for high responsiveness, strong type safety, and real-time event pushing:</w:t>
        <w:br/>
        <w:br/>
        <w:t>• Frontend Framework: Next.js (App Router, React 19) — Server-Side Rendering (SSR), React Server Components (RSC), and edge caching for optimal SEO and sub-second load times.</w:t>
        <w:br/>
        <w:t>• 3D Graphics Engine: Three.js &amp; WebGL via React Three Fiber — Enables GPU-accelerated client-side rendering and geometric volume calculation of STL, 3MF, and OBJ meshes.</w:t>
        <w:br/>
        <w:t>• Backend &amp; Database: Supabase PostgreSQL with Row-Level Security (RLS) — Provides ACID compliance, scalable relations, and Realtime websocket subscriptions for live order tracking.</w:t>
        <w:br/>
        <w:t>• AI Intelligence: Google Gemini API (@google/genai) — Interprets natural language search queries and auto-generates structured technical metadata.</w:t>
        <w:br/>
        <w:t>• Media &amp; Cloud Storage: Cloudinary CDN — Direct signed universal uploads with automated format delivery for CAD files and high-resolution renders.</w:t>
        <w:br/>
        <w:t>• Payment Gateway: Razorpay Escrow Integration — Manages customer escrow holding, automated milestone release, and webhook settlement verification.</w:t>
      </w:r>
    </w:p>
    <w:p>
      <w:r>
        <w:br w:type="page"/>
      </w:r>
    </w:p>
    <w:p>
      <w:pPr>
        <w:pStyle w:val="Heading1"/>
      </w:pPr>
      <w:r>
        <w:t>CHAPTER 4: SYSTEM ARCHITECTURE &amp; DATABASE DESIGN</w:t>
      </w:r>
    </w:p>
    <w:p>
      <w:pPr>
        <w:pStyle w:val="Heading2"/>
      </w:pPr>
      <w:r>
        <w:t>4.1 Tri-Sided Economic &amp; Escrow Model</w:t>
      </w:r>
    </w:p>
    <w:p>
      <w:pPr>
        <w:spacing w:line="288" w:lineRule="auto"/>
      </w:pPr>
      <w:r>
        <w:t>A cornerstone of PrintHive's architecture is its trustless, transparent financial state machine. When an order is created, customer capital is deposited into a Razorpay Escrow vault. The revenue split is calculated automatically as follows:</w:t>
        <w:br/>
        <w:br/>
        <w:t>• 70% Payout to Printer Hub: Compensates machine operation, polymer filament consumption, electricity, and local courier handling.</w:t>
        <w:br/>
        <w:t>• 15% Royalty to 3D Designer: Compensates digital model IP creation, incentivizing designers to publish high-precision print-ready assets.</w:t>
        <w:br/>
        <w:t>• 15% Platform Maintenance Fee: Covers infrastructure maintenance, AI inference costs, escrow management, and dispute resolution.</w:t>
      </w:r>
    </w:p>
    <w:p>
      <w:pPr>
        <w:pStyle w:val="Heading2"/>
      </w:pPr>
      <w:r>
        <w:t>4.2 Relational Database Schema (PostgreSQL)</w:t>
      </w:r>
    </w:p>
    <w:p>
      <w:pPr>
        <w:spacing w:line="288" w:lineRule="auto"/>
      </w:pPr>
      <w:r>
        <w:t>PrintHive's database schema is architected on PostgreSQL via Supabase with strict Row-Level Security (RLS) policies:</w:t>
        <w:br/>
        <w:br/>
        <w:t>1. profiles: Stores user credentials, assigned roles (buyer, seller, designer, printer_owner, admin), bio, and wallet metadata.</w:t>
        <w:br/>
        <w:t>2. products: Stores physical shop listings with stock quantity, pricing (INR), seller ID, category, and Cloudinary image assets.</w:t>
        <w:br/>
        <w:t>3. designs: Stores digital 3D model repository assets with 3D file URLs (.stl, .3mf), dimensions, volume (cm³), and designer royalties.</w:t>
        <w:br/>
        <w:t>4. design_requests: Manages custom buyer briefs (title, description, budget, status: open/awarded/completed, buyer_id, created_at).</w:t>
        <w:br/>
        <w:t>5. design_request_bids: Manages creator bids on briefs (request_id, designer_id, price, turnaround_days, proposal note).</w:t>
        <w:br/>
        <w:t>6. orders: Manages physical print and ready-made product purchases (buyer_id, printer_hub_id, total_amount, escrow_status, tracking_number).</w:t>
        <w:br/>
        <w:t>7. support_tickets: Customer service and dispute resolution desk tracking order claims.</w:t>
      </w:r>
    </w:p>
    <w:p>
      <w:r>
        <w:br w:type="page"/>
      </w:r>
    </w:p>
    <w:p>
      <w:pPr>
        <w:pStyle w:val="Heading1"/>
      </w:pPr>
      <w:r>
        <w:t>CHAPTER 5: METHODOLOGY &amp; IMPLEMENTATION</w:t>
      </w:r>
    </w:p>
    <w:p>
      <w:pPr>
        <w:pStyle w:val="Heading2"/>
      </w:pPr>
      <w:r>
        <w:t>5.1 Real-Time 3D Slicing &amp; Volume Calculation</w:t>
      </w:r>
    </w:p>
    <w:p>
      <w:pPr>
        <w:spacing w:line="288" w:lineRule="auto"/>
      </w:pPr>
      <w:r>
        <w:t>The client-side 3D model parsing algorithm utilizes Three.js STLLoader and 3MFLoader. Upon file upload, the mesh geometry is parsed to compute total bounding box dimensions and signed tetrahedron volume:</w:t>
        <w:br/>
        <w:br/>
        <w:t xml:space="preserve">    Volume (V) = ∑ (v1 · (v2 × v3)) / 6</w:t>
        <w:br/>
        <w:br/>
        <w:t>The computed volume is multiplied by polymer density (e.g., PLA = 1.24 g/cm³) and infill percentage (default 20%) to calculate accurate raw material weight, print duration, and instant cost quotations without server latency.</w:t>
      </w:r>
    </w:p>
    <w:p>
      <w:pPr>
        <w:pStyle w:val="Heading2"/>
      </w:pPr>
      <w:r>
        <w:t>5.2 Geospatial Proximity Matching with Leaflet</w:t>
      </w:r>
    </w:p>
    <w:p>
      <w:pPr>
        <w:spacing w:line="288" w:lineRule="auto"/>
      </w:pPr>
      <w:r>
        <w:t>The geolocation engine uses the Haversine distance formula to calculate great-circle distances between buyer delivery coordinates and registered 3D printer hub coordinates:</w:t>
        <w:br/>
        <w:br/>
        <w:t xml:space="preserve">    d = 2r · arcsin(√(sin²(Δφ/2) + cos(φ1) · cos(φ2) · sin²(Δλ/2)))</w:t>
        <w:br/>
        <w:br/>
        <w:t>The system automatically ranks and presents the nearest verified hubs (within a 5–20 km radius) on an interactive Leaflet.js map, enabling fast localized fulfillment.</w:t>
      </w:r>
    </w:p>
    <w:p>
      <w:r>
        <w:br w:type="page"/>
      </w:r>
    </w:p>
    <w:p>
      <w:pPr>
        <w:pStyle w:val="Heading1"/>
      </w:pPr>
      <w:r>
        <w:t>CHAPTER 6: TESTING &amp; RESULTS</w:t>
      </w:r>
    </w:p>
    <w:p>
      <w:pPr>
        <w:spacing w:line="288" w:lineRule="auto"/>
      </w:pPr>
      <w:r>
        <w:t>Comprehensive testing was conducted across all subsystems:</w:t>
        <w:br/>
        <w:t>• Static Typing &amp; Build Verification: Enforced strict TypeScript compilation (npx tsc --noEmit) achieving 0 type errors across App Router routes.</w:t>
        <w:br/>
        <w:t>• Role Boundary &amp; Data Isolation Testing: Verified that switching between Buyer, Designer, and Seller roles seamlessly swaps partitioned shopping carts and wishlist stores without data pollution.</w:t>
        <w:br/>
        <w:t>• File Upload Resilience: Validated direct signed Cloudinary uploads across multi-format payloads (.png, .jpg, .docx, .pdf, .stl, .3mf) achieving 100% upload success rates.</w:t>
        <w:br/>
        <w:t>• Security Verification: Verified that Cash on Delivery orders remain strictly gated until valid dynamic security codes are matched.</w:t>
      </w:r>
    </w:p>
    <w:p>
      <w:pPr>
        <w:pStyle w:val="Heading1"/>
      </w:pPr>
      <w:r>
        <w:t>CHAPTER 7: CONCLUSION &amp; FUTURE SCOPE</w:t>
      </w:r>
    </w:p>
    <w:p>
      <w:pPr>
        <w:spacing w:line="288" w:lineRule="auto"/>
      </w:pPr>
      <w:r>
        <w:t>7.1 Conclusion</w:t>
        <w:br/>
        <w:t>PrintHive demonstrates a viable, scalable, and equitable paradigm for decentralized additive manufacturing. By aligning the economic incentives of consumers, creative 3D designers, and local printer hub operators under an escrow-protected, AI-accelerated framework, PrintHive eliminates traditional manufacturing friction and transforms idle desktop printers into a cohesive regional micro-factory grid.</w:t>
        <w:br/>
        <w:br/>
        <w:t>7.2 Future Scope</w:t>
        <w:br/>
        <w:t>• IoT Hardware Telemetry: Direct websocket integration with OctoPrint and Klipper firmware for real-time webcam streaming and automated print failure detection.</w:t>
        <w:br/>
        <w:t>• Blockchain IP Fingerprinting: Cryptographic hashing of 3D CAD meshes for non-fungible proof-of-design authenticity.</w:t>
        <w:br/>
        <w:t>• Mobile Application: React Native mobile client for on-the-go print job acceptance and courier GPS live tracking.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