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987A5">
      <w:pPr>
        <w:jc w:val="center"/>
      </w:pPr>
      <w:r>
        <w:rPr>
          <w:b/>
          <w:sz w:val="40"/>
        </w:rPr>
        <w:t>MobileNet-SSD (MobileNet+SSD Lite) TFLite Micro Deployment on STM32F746NG with External SDRAM and UART Streaming</w:t>
      </w:r>
    </w:p>
    <w:p w14:paraId="277318F5"/>
    <w:p w14:paraId="15FBD08C">
      <w:pPr>
        <w:pStyle w:val="2"/>
      </w:pPr>
      <w:r>
        <w:t>Project Overview</w:t>
      </w:r>
    </w:p>
    <w:p w14:paraId="0EB47486">
      <w:r>
        <w:t>This project deploys a quantized MobileNet+SSD-style object detection model for handwritten digit detection using TensorFlow Lite for Microcontrollers (TFLM) on the STM32F746NG (DISCO-F746NG) development board. The objective is to run an end-to-end detection pipeline on-device: tensor allocation, input quantization, inference, and post-processing (class selection and bounding box extraction).</w:t>
      </w:r>
    </w:p>
    <w:p w14:paraId="11E61A8D">
      <w:r>
        <w:t>A key constraint is that MobileNet+SSD detection models typically require a large tensor arena, which exceeds the available internal SRAM. Therefore, the project relies on external SDRAM (FMC-mapped) to host the tensor arena and intermediate buffers, enabling TFLM inference to run on the microcontroller.</w:t>
      </w:r>
    </w:p>
    <w:p w14:paraId="5378AB36">
      <w:pPr>
        <w:pStyle w:val="2"/>
      </w:pPr>
      <w:r>
        <w:t>Early Failures: AllocateTensors HardFault and Root Cause</w:t>
      </w:r>
    </w:p>
    <w:p w14:paraId="54F663F9">
      <w:r>
        <w:t>During the initial integration, the system repeatedly crashed at MicroInterpreter::AllocateTensors() with HardFault exceptions. Early investigation confirmed that the failures were not caused by a corrupted .tflite model or schema mismatch. Instead, the fault pattern indicated memory access violations during FlatBuffer parsing and tensor allocation.</w:t>
      </w:r>
    </w:p>
    <w:p w14:paraId="55EECA1C">
      <w:r>
        <w:t>A detailed fault analysis using arm-none-eabi-addr2line traced the crash to FlatBuffers parsing paths such as flatbuffers::ReadScalar() and TFLM parsing helpers (e.g., operator registration/parsing). These routines can perform unaligned reads, and on Cortex-M7 such reads can lead to faults depending on system configuration and memory characteristics. Even after disabling UNALIGN_TRP, instability persisted when the tensor arena was placed in FMC-mapped SDRAM.</w:t>
      </w:r>
    </w:p>
    <w:p w14:paraId="77F1CF45">
      <w:r>
        <w:t>This highlighted an important embedded deployment lesson: passing a raw SDRAM read/write test does not guarantee safe behavior for all access patterns, especially for unaligned or compiler-optimized load/store sequences.</w:t>
      </w:r>
    </w:p>
    <w:p w14:paraId="070C7264">
      <w:pPr>
        <w:pStyle w:val="2"/>
      </w:pPr>
      <w:r>
        <w:t>Stabilization Strategy: SDRAM Arena + Allocator-Level Alignment Guarantees</w:t>
      </w:r>
    </w:p>
    <w:p w14:paraId="6691C3C6">
      <w:r>
        <w:t>Because the issue occurred deep inside allocation/parsing, application-level workarounds were insufficient. The stabilization approach required improvements to memory correctness at the allocator level:</w:t>
      </w:r>
    </w:p>
    <w:p w14:paraId="674AD35D">
      <w:pPr>
        <w:pStyle w:val="3"/>
      </w:pPr>
      <w:r>
        <w:t>1) Tensor arena relocation to SDRAM</w:t>
      </w:r>
    </w:p>
    <w:p w14:paraId="435B2A8F">
      <w:r>
        <w:t>The tensor arena was explicitly mapped to SDRAM (FMC base 0xC0000000) and placed with an offset (e.g., +4KB) to avoid edge-case interactions at the SDRAM base address.</w:t>
      </w:r>
    </w:p>
    <w:p w14:paraId="759EE43B">
      <w:pPr>
        <w:pStyle w:val="3"/>
      </w:pPr>
      <w:r>
        <w:t>2) Strengthened alignment in the TFLM allocator</w:t>
      </w:r>
    </w:p>
    <w:p w14:paraId="1D5C096A">
      <w:r>
        <w:t>The default SimpleMemoryAllocator assumes memory supports safe unaligned access patterns. On external SDRAM, this assumption can be unsafe. To mitigate this, allocator functions such as AllocateFromTail() and AllocateTemp() were examined and alignment constraints were tightened so that allocations maintain at least 4-byte alignment (often stricter if needed). This ensured tensor buffers and FlatBuffer-backed structures were consistently aligned for Cortex-M7 load/store behavior.</w:t>
      </w:r>
      <w:r>
        <w:br w:type="textWrapping"/>
      </w:r>
      <w:r>
        <w:br w:type="textWrapping"/>
      </w:r>
      <w:r>
        <w:br w:type="textWrapping"/>
      </w:r>
      <w:r>
        <w:br w:type="textWrapping"/>
      </w:r>
      <w:r>
        <w:br w:type="textWrapping"/>
      </w:r>
      <w:r>
        <w:br w:type="textWrapping"/>
      </w:r>
      <w:r>
        <w:br w:type="textWrapping"/>
      </w:r>
    </w:p>
    <w:p w14:paraId="72744675">
      <w:pPr>
        <w:pStyle w:val="3"/>
      </w:pPr>
      <w:r>
        <w:t>Alignment rationale (why 4-byte alignment matters on Cortex-M7 SDRAM)</w:t>
      </w:r>
    </w:p>
    <w:p w14:paraId="42C12BB2">
      <w:r>
        <w:t>A critical factor in stabilizing the system was enforcing a minimum 4-byte alignment for all tensor arena and allocator-managed buffers. On Cortex-M7, scalar types heavily used by FlatBuffers and TFLM (e.g., int32, uint32, float, and FlatBuffer offsets) assume natural 32-bit alignment. While internal SRAM often tolerates misaligned accesses, FMC-mapped external SDRAM may not reliably support them under optimized load/store patterns. As a result, misaligned scalar reads during FlatBuffer parsing can trigger HardFaults inside AllocateTensors(), even when basic SDRAM tests pass. Tightening allocator alignment guarantees ensured FlatBuffer-backed structures reside on safe 4-byte boundaries, eliminating undefined behavior and stabilizing tensor allocation.</w:t>
      </w:r>
    </w:p>
    <w:p w14:paraId="00C220B4">
      <w:pPr>
        <w:pStyle w:val="3"/>
      </w:pPr>
      <w:r>
        <w:t>3) Safe scalar reads for FlatBuffers (memcpy-based)</w:t>
      </w:r>
    </w:p>
    <w:p w14:paraId="484918B7">
      <w:r>
        <w:t>A critical stability improvement was updating scalar access patterns to avoid direct unaligned dereferencing (i.e., reinterpret_cast&lt;T*&gt; on potentially unaligned addresses). Instead, reads were performed via memcpy-based extraction, which is the recommended safe approach on architectures sensitive to alignment. This eliminated undefined behavior during FlatBuffer parsing and removed a major source of HardFaults during allocation.</w:t>
      </w:r>
      <w:r>
        <w:br w:type="textWrapping"/>
      </w:r>
      <w:r>
        <w:br w:type="textWrapping"/>
      </w:r>
      <w:r>
        <w:br w:type="textWrapping"/>
      </w:r>
      <w:r>
        <w:br w:type="textWrapping"/>
      </w:r>
      <w:r>
        <w:br w:type="textWrapping"/>
      </w:r>
    </w:p>
    <w:p w14:paraId="6DEB51A1">
      <w:pPr>
        <w:pStyle w:val="2"/>
      </w:pPr>
      <w:r>
        <w:t>SDRAM Configuration, Validation, and Cache Coherency Decisions</w:t>
      </w:r>
    </w:p>
    <w:p w14:paraId="7402523E">
      <w:r>
        <w:t>Once the tensor arena was moved to SDRAM and alignment fixes were applied, the next major effort was ensuring SDRAM behavior remained stable and reproducible:</w:t>
      </w:r>
    </w:p>
    <w:p w14:paraId="456193A9">
      <w:pPr>
        <w:pStyle w:val="23"/>
      </w:pPr>
      <w:r>
        <w:t>Explicit SDRAM initialization was performed using the ST BSP SDRAM driver (BSP_SDRAM_Init()).</w:t>
      </w:r>
    </w:p>
    <w:p w14:paraId="198DE909">
      <w:pPr>
        <w:pStyle w:val="23"/>
      </w:pPr>
      <w:r>
        <w:t>Validation tests included a quick pattern test (write/read known 32-bit values) and a larger block test (pattern sweep across a region of SDRAM).</w:t>
      </w:r>
    </w:p>
    <w:p w14:paraId="5A733056">
      <w:r>
        <w:t>Cache interaction mitigation</w:t>
      </w:r>
    </w:p>
    <w:p w14:paraId="31002BE6">
      <w:pPr>
        <w:pStyle w:val="23"/>
      </w:pPr>
      <w:r>
        <w:t>During debugging and stabilization, both I-Cache and D-Cache were disabled to eliminate cache-coherency related inconsistencies while verifying SDRAM-based tensor arena correctness.</w:t>
      </w:r>
    </w:p>
    <w:p w14:paraId="41EC2592">
      <w:pPr>
        <w:pStyle w:val="23"/>
      </w:pPr>
      <w:r>
        <w:t>Memory barriers such as DSB/ISB were inserted after SDRAM writes to enforce ordering and visibility.</w:t>
      </w:r>
    </w:p>
    <w:p w14:paraId="3AA9023E">
      <w:r>
        <w:t>These steps helped ensure that failures were not caused by FMC timing, cache incoherency, or out-of-order visibility during memory operations.</w:t>
      </w:r>
      <w:r>
        <w:br w:type="textWrapping"/>
      </w:r>
      <w:r>
        <w:br w:type="textWrapping"/>
      </w:r>
      <w:r>
        <w:br w:type="textWrapping"/>
      </w:r>
      <w:r>
        <w:drawing>
          <wp:inline distT="0" distB="0" distL="114300" distR="114300">
            <wp:extent cx="5940425" cy="718185"/>
            <wp:effectExtent l="0" t="0" r="3175" b="5715"/>
            <wp:docPr id="2" name="Resim 2" descr="WhatsApp Image 2026-01-15 at 12.48.5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WhatsApp Image 2026-01-15 at 12.48.54 (1)"/>
                    <pic:cNvPicPr>
                      <a:picLocks noChangeAspect="1"/>
                    </pic:cNvPicPr>
                  </pic:nvPicPr>
                  <pic:blipFill>
                    <a:blip r:embed="rId6"/>
                    <a:stretch>
                      <a:fillRect/>
                    </a:stretch>
                  </pic:blipFill>
                  <pic:spPr>
                    <a:xfrm>
                      <a:off x="0" y="0"/>
                      <a:ext cx="5940425" cy="718185"/>
                    </a:xfrm>
                    <a:prstGeom prst="rect">
                      <a:avLst/>
                    </a:prstGeom>
                  </pic:spPr>
                </pic:pic>
              </a:graphicData>
            </a:graphic>
          </wp:inline>
        </w:drawing>
      </w:r>
      <w:r>
        <w:br w:type="textWrapping"/>
      </w:r>
      <w:r>
        <w:br w:type="textWrapping"/>
      </w:r>
      <w:r>
        <w:drawing>
          <wp:inline distT="0" distB="0" distL="114300" distR="114300">
            <wp:extent cx="5941695" cy="1216025"/>
            <wp:effectExtent l="0" t="0" r="1905" b="3175"/>
            <wp:docPr id="3" name="Resim 3" descr="WhatsApp Image 2026-01-15 at 12.48.34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WhatsApp Image 2026-01-15 at 12.48.34 (1)"/>
                    <pic:cNvPicPr>
                      <a:picLocks noChangeAspect="1"/>
                    </pic:cNvPicPr>
                  </pic:nvPicPr>
                  <pic:blipFill>
                    <a:blip r:embed="rId7"/>
                    <a:stretch>
                      <a:fillRect/>
                    </a:stretch>
                  </pic:blipFill>
                  <pic:spPr>
                    <a:xfrm>
                      <a:off x="0" y="0"/>
                      <a:ext cx="5941695" cy="1216025"/>
                    </a:xfrm>
                    <a:prstGeom prst="rect">
                      <a:avLst/>
                    </a:prstGeom>
                  </pic:spPr>
                </pic:pic>
              </a:graphicData>
            </a:graphic>
          </wp:inline>
        </w:drawing>
      </w:r>
      <w:r>
        <w:br w:type="textWrapping"/>
      </w:r>
      <w:r>
        <w:br w:type="textWrapping"/>
      </w:r>
      <w:r>
        <w:br w:type="textWrapping"/>
      </w:r>
      <w:r>
        <w:br w:type="textWrapping"/>
      </w:r>
      <w:r>
        <w:br w:type="textWrapping"/>
      </w:r>
      <w:r>
        <w:br w:type="textWrapping"/>
      </w:r>
      <w:r>
        <w:br w:type="textWrapping"/>
      </w:r>
    </w:p>
    <w:p w14:paraId="6692CCCA">
      <w:pPr>
        <w:pStyle w:val="2"/>
      </w:pPr>
      <w:r>
        <w:t>UART Integration: Streaming Inputs and Robust Host-MCU Synchronization</w:t>
      </w:r>
    </w:p>
    <w:p w14:paraId="043B05CB">
      <w:r>
        <w:t>After achieving stable AllocateTensors() and successful inference execution, the project required a reliable way to feed inputs and capture results. UART was used both for debugging and for real-time host-to-device image streaming.</w:t>
      </w:r>
    </w:p>
    <w:p w14:paraId="519E0E3B">
      <w:pPr>
        <w:pStyle w:val="3"/>
      </w:pPr>
      <w:r>
        <w:t>1) Streaming protocol for images</w:t>
      </w:r>
    </w:p>
    <w:p w14:paraId="3FD84CBD">
      <w:r>
        <w:t>The host PC sends a grayscale input image (e.g., 96x96x1 uint8) over UART using a small binary header containing magic bytes (e.g., "IM"), height, width, channels, dtype, and payload length, followed by raw pixel bytes. On the MCU, a read_exact() routine is used to consume bytes deterministically and reconstruct the frame.</w:t>
      </w:r>
    </w:p>
    <w:p w14:paraId="1772085A">
      <w:pPr>
        <w:pStyle w:val="3"/>
      </w:pPr>
      <w:r>
        <w:t>2) The synchronization problem (desync / None / partial reads)</w:t>
      </w:r>
    </w:p>
    <w:p w14:paraId="3DF3E53B">
      <w:r>
        <w:t>During iterative testing, a persistent issue emerged: the PC script occasionally received None (timeout) or mismatched lines, even though inference was running. This was traced to UART framing and log interleaving problems, specifically:</w:t>
      </w:r>
    </w:p>
    <w:p w14:paraId="7F84A8B6">
      <w:pPr>
        <w:pStyle w:val="23"/>
      </w:pPr>
      <w:r>
        <w:t>Partial writes from the MCU side (multiple printf calls or small writes can fragment a logical message).</w:t>
      </w:r>
    </w:p>
    <w:p w14:paraId="614BA46B">
      <w:pPr>
        <w:pStyle w:val="23"/>
      </w:pPr>
      <w:r>
        <w:t>Mixed debug output (unstructured logs) interfering with the PC parser.</w:t>
      </w:r>
    </w:p>
    <w:p w14:paraId="7C6EF2CF">
      <w:pPr>
        <w:pStyle w:val="23"/>
      </w:pPr>
      <w:r>
        <w:t>Host reading mid-message due to missing clear message boundaries.</w:t>
      </w:r>
    </w:p>
    <w:p w14:paraId="3318EF8E">
      <w:r>
        <w:t>This is a very common embedded UART pitfall: line-based parsing breaks when the device prints arbitrary logs and responses without strict framing.</w:t>
      </w:r>
    </w:p>
    <w:p w14:paraId="369A382F">
      <w:pPr>
        <w:pStyle w:val="3"/>
      </w:pPr>
      <w:r>
        <w:t>3) Solution: Tagged line protocol + single-buffer writes</w:t>
      </w:r>
    </w:p>
    <w:p w14:paraId="6A8DE2C2">
      <w:r>
        <w:t>To make UART robust, the communication was redesigned into a framed tagged line protocol:</w:t>
      </w:r>
    </w:p>
    <w:p w14:paraId="0A89A0B9">
      <w:pPr>
        <w:pStyle w:val="23"/>
      </w:pPr>
      <w:r>
        <w:t>@LOG ... for debug logs</w:t>
      </w:r>
    </w:p>
    <w:p w14:paraId="3BD97B18">
      <w:pPr>
        <w:pStyle w:val="23"/>
      </w:pPr>
      <w:r>
        <w:t>@READY {...} once the inference pipeline is initialized</w:t>
      </w:r>
    </w:p>
    <w:p w14:paraId="60384C9F">
      <w:pPr>
        <w:pStyle w:val="23"/>
      </w:pPr>
      <w:r>
        <w:t>@RES {...} for inference results</w:t>
      </w:r>
    </w:p>
    <w:p w14:paraId="77E997B5">
      <w:pPr>
        <w:pStyle w:val="23"/>
      </w:pPr>
      <w:r>
        <w:t>@ERR {...} for errors</w:t>
      </w:r>
    </w:p>
    <w:p w14:paraId="2100EED2">
      <w:r>
        <w:t>On the MCU:</w:t>
      </w:r>
    </w:p>
    <w:p w14:paraId="29ADA5CF">
      <w:pPr>
        <w:pStyle w:val="23"/>
      </w:pPr>
      <w:r>
        <w:t>A write-all UART routine ensures the entire message is transmitted before returning.</w:t>
      </w:r>
    </w:p>
    <w:p w14:paraId="784C129C">
      <w:pPr>
        <w:pStyle w:val="23"/>
      </w:pPr>
      <w:r>
        <w:t>Responses are formatted into a single buffer using vsnprintf() and written in a single contiguous UART write whenever possible.</w:t>
      </w:r>
    </w:p>
    <w:p w14:paraId="01AEE456">
      <w:r>
        <w:t>On the PC:</w:t>
      </w:r>
    </w:p>
    <w:p w14:paraId="26D5D7C9">
      <w:pPr>
        <w:pStyle w:val="23"/>
      </w:pPr>
      <w:r>
        <w:t>The script clears stale serial data (reset_input_buffer()).</w:t>
      </w:r>
    </w:p>
    <w:p w14:paraId="3F07E728">
      <w:pPr>
        <w:pStyle w:val="23"/>
      </w:pPr>
      <w:r>
        <w:t>It waits for a @READY line before sending frames.</w:t>
      </w:r>
    </w:p>
    <w:p w14:paraId="408E12EC">
      <w:pPr>
        <w:pStyle w:val="23"/>
      </w:pPr>
      <w:r>
        <w:t>It ignores @LOG lines while extracting @RES/@ERR JSON payloads.</w:t>
      </w:r>
    </w:p>
    <w:p w14:paraId="3D3A4477">
      <w:r>
        <w:t>This synchronization layer removed timeouts caused by interleaving and ensured deterministic request/response behavior.</w:t>
      </w:r>
    </w:p>
    <w:p w14:paraId="73D6DACB">
      <w:pPr>
        <w:pStyle w:val="2"/>
      </w:pPr>
      <w:r>
        <w:t>Output Handling and Quantization-Aware Interpretation</w:t>
      </w:r>
    </w:p>
    <w:p w14:paraId="298CB52E">
      <w:r>
        <w:t>Because the model is fully quantized (INT8), outputs require careful handling:</w:t>
      </w:r>
    </w:p>
    <w:p w14:paraId="01A8199D">
      <w:pPr>
        <w:pStyle w:val="23"/>
      </w:pPr>
      <w:r>
        <w:t>Output tensors provide scale and zero-point parameters.</w:t>
      </w:r>
    </w:p>
    <w:p w14:paraId="597EC592">
      <w:pPr>
        <w:pStyle w:val="23"/>
      </w:pPr>
      <w:r>
        <w:t>Scores and boxes are dequantized manually on the MCU using: float = (int8 - zero_point) * scale.</w:t>
      </w:r>
    </w:p>
    <w:p w14:paraId="195919D1">
      <w:r>
        <w:t>Since minimal embedded printf often lacks float formatting, results were represented using fixed-point splitting (integer + fractional part) or host-side reconstruction for display.</w:t>
      </w:r>
    </w:p>
    <w:p w14:paraId="678D7A35">
      <w:r>
        <w:t>The project also encountered an important practical issue: output tensor ordering and semantics can be confusing in small custom SSD-like heads. The implementation required confirming which output index corresponds to scores ([1, N, K]) vs boxes ([1, N, 4]), verifying tensor shapes at runtime, and using the correct dequantization parameters.</w:t>
      </w:r>
    </w:p>
    <w:p w14:paraId="0C5E8D0A">
      <w:r>
        <w:t>This verification was repeatedly performed using runtime tensor metadata prints (type, dims, scale, zero point), and parsing logic was adjusted accordingly.</w: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bookmarkStart w:id="0" w:name="_GoBack"/>
      <w:bookmarkEnd w:id="0"/>
    </w:p>
    <w:p w14:paraId="57E696A5">
      <w:pPr>
        <w:pStyle w:val="2"/>
      </w:pPr>
      <w:r>
        <w:t>Model/Training Considerations and Observed Behavior</w:t>
      </w:r>
    </w:p>
    <w:p w14:paraId="05D9362C">
      <w:r>
        <w:t>For handwritten digit detection, the model is trained on a synthetic detection dataset generated from MNIST digits placed on a 96x96 canvas with random scale and random position. While the pipeline can produce detections, several model-quality limitations were observed during inference:</w:t>
      </w:r>
    </w:p>
    <w:p w14:paraId="5C6668B8">
      <w:pPr>
        <w:pStyle w:val="23"/>
      </w:pPr>
      <w:r>
        <w:t>Anchor semantics are not explicitly matched: the training loss repeats the same ground-truth box/label across all anchors, which can encourage degenerate behavior (many anchors predicting similar outputs).</w:t>
      </w:r>
    </w:p>
    <w:p w14:paraId="7F5AA6AB">
      <w:pPr>
        <w:pStyle w:val="23"/>
      </w:pPr>
      <w:r>
        <w:t>No explicit objectness/background class: SSD-style detectors typically include an objectness notion or background handling. Without this, the model may become overconfident and report high scores even when localization/class separation is weak.</w:t>
      </w:r>
    </w:p>
    <w:p w14:paraId="5F049073">
      <w:pPr>
        <w:pStyle w:val="23"/>
      </w:pPr>
      <w:r>
        <w:t>Box regression range not constrained: without post-processing constraints (sigmoid/clip), predicted box values may drift outside [0, 1] depending on training dynamics and quantization artifacts.</w:t>
      </w:r>
    </w:p>
    <w:p w14:paraId="70BECADD">
      <w:pPr>
        <w:rPr>
          <w:rFonts w:hint="default"/>
          <w:lang w:val="tr-TR"/>
        </w:rPr>
      </w:pPr>
      <w:r>
        <w:rPr>
          <w:rFonts w:hint="default"/>
          <w:lang w:val="tr-TR"/>
        </w:rPr>
        <w:drawing>
          <wp:inline distT="0" distB="0" distL="114300" distR="114300">
            <wp:extent cx="5943600" cy="2771140"/>
            <wp:effectExtent l="0" t="0" r="0" b="10160"/>
            <wp:docPr id="4" name="Resim 4" descr="WhatsApp Image 2026-01-15 at 12.56.5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WhatsApp Image 2026-01-15 at 12.56.56 (2)"/>
                    <pic:cNvPicPr>
                      <a:picLocks noChangeAspect="1"/>
                    </pic:cNvPicPr>
                  </pic:nvPicPr>
                  <pic:blipFill>
                    <a:blip r:embed="rId8"/>
                    <a:stretch>
                      <a:fillRect/>
                    </a:stretch>
                  </pic:blipFill>
                  <pic:spPr>
                    <a:xfrm>
                      <a:off x="0" y="0"/>
                      <a:ext cx="5943600" cy="277114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5979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mehme</cp:lastModifiedBy>
  <dcterms:modified xsi:type="dcterms:W3CDTF">2026-01-15T10:24:31Z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BB03CA61D4B94E0989E11F208454DBB3_12</vt:lpwstr>
  </property>
</Properties>
</file>