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5EAA04">
      <w:pPr>
        <w:pStyle w:val="2"/>
      </w:pPr>
      <w:r>
        <w:t>Implementation Process, Issues Encountered, and Final Resolution</w:t>
      </w:r>
    </w:p>
    <w:p w14:paraId="37148716">
      <w:r>
        <w:t>In this project, an end-to-end embedded machine learning pipeline was implemented and validated on the STM32F746G (DISCO_F746NG) development board using TensorFlow Lite for Microcontrollers (TFLM). The main objective was to deploy an image classification model trained on the Kuzushiji-MNIST (KMNIST) dataset and execute INT8 quantized inference directly on the microcontroller. The overall workflow covered the full lifecycle: acquiring the dataset, preparing it for training and testing, training candidate architectures in TensorFlow/Keras, performing post-training INT8 quantization, exporting the resulting TFLite model into a C/C++-compatible representation, and finally integrating the model into an Mbed OS firmware project for on-device inference.</w:t>
      </w:r>
    </w:p>
    <w:p w14:paraId="61886777">
      <w:r>
        <w:t>Early in development, multiple model architectures were evaluated to reach a balance between accuracy and microcontroller feasibility. Modern convolutional networks and heavier baselines, including MobileNet variants and standard LeNet-5 style networks, trained successfully on the PC; however, they repeatedly failed during embedded deployment due to memory limitations. The most persistent failure occurred at MicroInterpreter::AllocateTensors(), where TensorFlow Lite Micro reported insufficient tensor arena capacity. Increasing the arena size beyond approximately 300 KB did not reliably resolve the problem because the STM32F746G’s internal SRAM was already heavily consumed by static allocations, stack and heap requirements, and Mbed runtime overhead. This clarified that the limiting factor was not the dataset size itself, but the activation memory footprint and runtime overhead introduced by both the model and the embedded platform configuration.</w:t>
      </w:r>
    </w:p>
    <w:p w14:paraId="525FF55F">
      <w:r>
        <w:t>To address these constraints, the runtime environment was optimized. The project moved toward a bare-metal style configuration by disabling RTOS-related components and reducing standard library overhead, including switching to minimal printf without floating-point support. This significantly reduced static RAM usage and was a critical step toward achieving a stable deployment. At the model level, the architecture was redesigned around an embedded-friendly LeNet-Lite or MicroCNN-style approach using a native 28×28×1 grayscale input. Early spatial downsampling, lightweight pooling layers, and a minimal fully connected classification head were employed to reduce intermediate tensor sizes. This design choice substantially reduced tensor arena requirements and eliminated unnecessary operations that could introduce unsupported or memory-expensive kernels in the TFLite graph.</w:t>
      </w:r>
    </w:p>
    <w:p w14:paraId="38055B84">
      <w:r>
        <w:t>During deployment, some allocation failures initially attributed to insufficient arena size were later traced to missing operator registrations. In TensorFlow Lite Micro, all operators used by the model must be explicitly registered. Missing operators caused runtime failures that could be misinterpreted as memory errors. By carefully inspecting the converted TFLite model and incrementally adding only the required operators to the resolver, these issues were resolved. While AllOpsResolver was occasionally used for debugging, the final system favored minimal operator registration to reduce code size and memory usage.</w:t>
      </w:r>
    </w:p>
    <w:p w14:paraId="23C69642">
      <w:r>
        <w:t>After stabilizing the core inference pipeline, the project advanced to the most critical phase: building a reliable end-to-end test harness that connected the PC-hosted dataset to the microcontroller via UART. KMNIST samples were distributed in compressed MNIST IDX format (.idx-ubyte.gz), requiring a custom conversion pipeline. Dedicated Python scripts were implemented to parse IDX headers and data payloads directly from gzip files, converting them into standardized NumPy arrays. These arrays were saved as .npz and .npy files with fixed shapes and data types, ensuring that test samples could be streamed consistently to the microcontroller.</w:t>
      </w:r>
    </w:p>
    <w:p w14:paraId="72A41D9D">
      <w:r>
        <w:t>On the firmware side, the quantized model was exported into a C array and integrated into the project. To alleviate internal SRAM pressure, the model was copied into external SDRAM at runtime. A custom SDRAM allocator was implemented to manage placement of both the model copy and the tensor arena. This strategy significantly improved stability by preventing large buffers from competing with Mbed OS internal allocations in SRAM.</w:t>
      </w:r>
    </w:p>
    <w:p w14:paraId="0A1CEB23">
      <w:r>
        <w:t>A custom UART protocol was designed to support streaming inference. The PC transmitted a binary frame containing a magic identifier, sequence number, payload length, and a 784-byte image payload. The microcontroller quantized the input using the model’s scale and zero-point parameters, executed inference, and returned a response frame containing a result identifier, the sequence number, the predicted class, and the raw INT8 logits. This enabled automated verification of predictions against ground truth labels on the PC.</w:t>
      </w:r>
    </w:p>
    <w:p w14:paraId="3E36405D">
      <w:r>
        <w:t>Several UART-related issues were encountered and resolved. On Windows, serial port access errors occurred when the COM port was already in use by another application, highlighting the importance of exclusive port ownership. Additionally, early protocol failures were caused by debug printf output being interleaved with binary data on the same UART channel. This corrupted the data stream and caused desynchronization on the PC side. The issue was resolved by minimizing UART debug output and implementing resynchronization logic on the PC that scanned the input stream for valid response markers.</w:t>
      </w:r>
    </w:p>
    <w:p w14:paraId="64916816">
      <w:r>
        <w:t>Another critical issue stemmed from the non-blocking behavior of UnbufferedSerial.read() in Mbed OS. The initial read logic assumed blocking behavior and could stall indefinitely when no data was available. This was fixed by adding short delays in the polling loop, ensuring forward progress and reliable reception of headers and payloads. With this fix in place, the microcontroller consistently received frames, executed inference, and returned results.</w:t>
      </w:r>
    </w:p>
    <w:p w14:paraId="0492D0DF">
      <w:r>
        <w:t>Finally, the communication design was refined by adopting a request–response protocol. Instead of relying on the PC to push data continuously, the microcontroller periodically sent readiness requests, and the PC responded with a single sample per request. This approach improved robustness against startup noise, timing mismatches, and partial transmissions, resulting in a deterministic and repeatable inference loop.</w:t>
      </w:r>
    </w:p>
    <w:p w14:paraId="4DFA03DA">
      <w:r>
        <w:t>In conclusion, the final system demonstrates a complete and reliable embedded machine learning pipeline on a resource-constrained microcontroller. The project highlights the importance of memory-aware model design, careful runtime configuration, explicit operator registration, strategic use of external memory, and robust communication protocols. By addressing these challenges, the system successfully performs INT8-quantized KMNIST classification on the STM32F746G, with end-to-end validation using real dataset samples streamed from a host PC.</w:t>
      </w:r>
    </w:p>
    <w:p w14:paraId="584619AC">
      <w:pPr>
        <w:rPr>
          <w:rFonts w:hint="default"/>
          <w:lang w:val="tr-TR"/>
        </w:rPr>
      </w:pPr>
      <w:r>
        <w:br w:type="textWrapping"/>
      </w:r>
      <w:r>
        <w:br w:type="textWrapping"/>
      </w:r>
      <w:r>
        <w:rPr>
          <w:rFonts w:hint="default"/>
          <w:lang w:val="tr-TR"/>
        </w:rPr>
        <w:drawing>
          <wp:inline distT="0" distB="0" distL="114300" distR="114300">
            <wp:extent cx="2209800" cy="1076325"/>
            <wp:effectExtent l="0" t="0" r="0" b="9525"/>
            <wp:docPr id="2" name="Resim 2" descr="WhatsApp Image 2026-01-15 at 12.4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descr="WhatsApp Image 2026-01-15 at 12.47.27"/>
                    <pic:cNvPicPr>
                      <a:picLocks noChangeAspect="1"/>
                    </pic:cNvPicPr>
                  </pic:nvPicPr>
                  <pic:blipFill>
                    <a:blip r:embed="rId6"/>
                    <a:stretch>
                      <a:fillRect/>
                    </a:stretch>
                  </pic:blipFill>
                  <pic:spPr>
                    <a:xfrm>
                      <a:off x="0" y="0"/>
                      <a:ext cx="2209800" cy="1076325"/>
                    </a:xfrm>
                    <a:prstGeom prst="rect">
                      <a:avLst/>
                    </a:prstGeom>
                  </pic:spPr>
                </pic:pic>
              </a:graphicData>
            </a:graphic>
          </wp:inline>
        </w:draw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F379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mehme</cp:lastModifiedBy>
  <dcterms:modified xsi:type="dcterms:W3CDTF">2026-01-15T10:26:50Z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1055-12.2.0.22549</vt:lpwstr>
  </property>
  <property fmtid="{D5CDD505-2E9C-101B-9397-08002B2CF9AE}" pid="3" name="ICV">
    <vt:lpwstr>2528478F9DD14D00AED025AFECAF4908_12</vt:lpwstr>
  </property>
</Properties>
</file>