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大模型推理加速：从隐藏状态提取到 DSpark 投机解码的工程实践</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配套材料：DSpark_投机解码分享.pptx</w:t>
      </w:r>
    </w:p>
    <w:p>
      <w:pPr>
        <w:spacing w:before="680"/>
        <w:jc w:val="center"/>
      </w:pPr>
      <w:r>
        <w:rPr>
          <w:rFonts w:ascii="Calibri" w:hAnsi="Calibri" w:eastAsia="Microsoft YaHei"/>
          <w:color w:val="626B75"/>
          <w:sz w:val="20"/>
        </w:rPr>
        <w:t>2026-08-05</w:t>
      </w:r>
      <w:r>
        <w:br w:type="page"/>
      </w:r>
    </w:p>
    <w:p>
      <w:pPr>
        <w:pStyle w:val="Lead"/>
      </w:pPr>
      <w:r>
        <w:rPr>
          <w:b/>
        </w:rPr>
        <w:t>原视频</w:t>
      </w:r>
      <w:r>
        <w:t>：</w:t>
      </w:r>
      <w:hyperlink r:id="rId11">
        <w:r>
          <w:rPr>
            <w:color w:val="0563C1"/>
            <w:u w:val="single"/>
          </w:rPr>
          <w:t>DSpark：投机解码详解</w:t>
        </w:r>
      </w:hyperlink>
      <w:r>
        <w:t xml:space="preserve"> · </w:t>
      </w:r>
      <w:r>
        <w:rPr>
          <w:b/>
        </w:rPr>
        <w:t>配套资料</w:t>
      </w:r>
      <w:r>
        <w:t>：</w:t>
      </w:r>
      <w:hyperlink r:id="rId12">
        <w:r>
          <w:rPr>
            <w:color w:val="0563C1"/>
            <w:u w:val="single"/>
          </w:rPr>
          <w:t>DSpark 投机解码分享</w:t>
        </w:r>
      </w:hyperlink>
    </w:p>
    <w:p>
      <w:pPr/>
      <w:r>
        <w:t>大模型自回归生成的核心瓶颈众所周知——每步只产出一个 token，每步都要把全部参数从显存搬到计算单元，GPU 算力大量闲置。投机解码（Speculative Decoding）通过"小模型猜、大模型验"的范式打破了这一局面，但草稿质量不够高、隐藏状态获取成本过大、集群部署链路不通等工程矛盾，使得真正落地远比算法论文描述的复杂。</w:t>
      </w:r>
    </w:p>
    <w:p>
      <w:pPr/>
      <w:r>
        <w:t>本文围绕 Speculators 库与 DSpark 算法，拆解从 Drafter 训练到 vLLM 原生部署的端到端链路：算法层面，DSpark 如何用 Markov Head 以不到 1.3% 的延迟代价换回 18–30% 的接受长度增益；工程层面，在线隐藏状态提取如何复用 KVConnector 管道、Mooncake Store 如何补齐跨节点传输的最后一环。</w:t>
      </w:r>
    </w:p>
    <w:p>
      <w:pPr/>
      <w:r>
        <w:rPr>
          <w:b/>
        </w:rPr>
        <w:t>适读人群：</w:t>
      </w:r>
      <w:r>
        <w:t xml:space="preserve"> 熟悉大模型推理基础，希望深入了解投机解码底层机制与工程优化的后端或 AI 系统工程师。</w:t>
      </w:r>
    </w:p>
    <w:p>
      <w:pPr/>
      <w:r>
        <w:rPr>
          <w:b/>
        </w:rPr>
        <w:t>前置知识：</w:t>
      </w:r>
    </w:p>
    <w:p>
      <w:pPr>
        <w:spacing w:after="80" w:line="290" w:lineRule="auto"/>
        <w:numPr>
          <w:ilvl w:val="0"/>
          <w:numId w:val="10"/>
        </w:numPr>
      </w:pPr>
      <w:r>
        <w:t>了解大模型自回归生成的基本原理</w:t>
      </w:r>
    </w:p>
    <w:p>
      <w:pPr>
        <w:spacing w:after="80" w:line="290" w:lineRule="auto"/>
        <w:numPr>
          <w:ilvl w:val="0"/>
          <w:numId w:val="10"/>
        </w:numPr>
      </w:pPr>
      <w:r>
        <w:t>熟悉 vLLM 等推理引擎的基本概念</w:t>
      </w:r>
    </w:p>
    <w:p>
      <w:pPr>
        <w:spacing w:after="80" w:line="290" w:lineRule="auto"/>
        <w:numPr>
          <w:ilvl w:val="0"/>
          <w:numId w:val="10"/>
        </w:numPr>
      </w:pPr>
      <w:r>
        <w:t>对投机解码有初步认知</w:t>
      </w:r>
    </w:p>
    <w:p>
      <w:pPr/>
      <w:r>
        <w:rPr>
          <w:b/>
        </w:rPr>
        <w:t>阅读目标：</w:t>
      </w:r>
    </w:p>
    <w:p>
      <w:pPr>
        <w:spacing w:after="80" w:line="290" w:lineRule="auto"/>
        <w:numPr>
          <w:ilvl w:val="0"/>
          <w:numId w:val="12"/>
        </w:numPr>
      </w:pPr>
      <w:r>
        <w:t>理解接受长度对投机解码加速比的决定性作用</w:t>
      </w:r>
    </w:p>
    <w:p>
      <w:pPr>
        <w:spacing w:after="80" w:line="290" w:lineRule="auto"/>
        <w:numPr>
          <w:ilvl w:val="0"/>
          <w:numId w:val="12"/>
        </w:numPr>
      </w:pPr>
      <w:r>
        <w:t>掌握 DSpark 通过 Markov Head 修正并行生成的原理</w:t>
      </w:r>
    </w:p>
    <w:p>
      <w:pPr>
        <w:spacing w:after="80" w:line="290" w:lineRule="auto"/>
        <w:numPr>
          <w:ilvl w:val="0"/>
          <w:numId w:val="12"/>
        </w:numPr>
      </w:pPr>
      <w:r>
        <w:t>了解在线隐藏状态提取复用 KVConnector 的工程巧思</w:t>
      </w:r>
    </w:p>
    <w:p>
      <w:pPr>
        <w:spacing w:after="80" w:line="290" w:lineRule="auto"/>
        <w:numPr>
          <w:ilvl w:val="0"/>
          <w:numId w:val="12"/>
        </w:numPr>
      </w:pPr>
      <w:r>
        <w:t>认识 Mooncake Store 在跨节点数据传输中的关键作用</w:t>
      </w:r>
    </w:p>
    <w:p>
      <w:pPr>
        <w:pStyle w:val="Heading1"/>
      </w:pPr>
      <w:r>
        <w:t>一、投机解码的工程价值与核心矛盾</w:t>
      </w:r>
    </w:p>
    <w:p>
      <w:pPr>
        <w:pStyle w:val="Heading2"/>
      </w:pPr>
      <w:r>
        <w:t>一次前向产出多个 token</w:t>
      </w:r>
    </w:p>
    <w:p>
      <w:pPr/>
      <w:r>
        <w:t>投机解码的核心思路可以拆为三步：</w:t>
      </w:r>
    </w:p>
    <w:tbl>
      <w:tblPr>
        <w:tblStyle w:val="TableGrid"/>
        <w:tblW w:type="dxa" w:w="9360"/>
        <w:jc w:val="left"/>
        <w:tblLayout w:type="fixed"/>
        <w:tblLook w:firstColumn="1" w:firstRow="1" w:lastColumn="0" w:lastRow="0" w:noHBand="0" w:noVBand="1" w:val="04A0"/>
        <w:tblInd w:w="120" w:type="dxa"/>
      </w:tblPr>
      <w:tblGrid>
        <w:gridCol w:w="1305"/>
        <w:gridCol w:w="2327"/>
        <w:gridCol w:w="2634"/>
        <w:gridCol w:w="3094"/>
      </w:tblGrid>
      <w:tr>
        <w:trPr>
          <w:tblHeader w:val="true"/>
        </w:trPr>
        <w:tc>
          <w:tcPr>
            <w:tcW w:type="dxa" w:w="13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32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角色</w:t>
            </w:r>
          </w:p>
        </w:tc>
        <w:tc>
          <w:tcPr>
            <w:tcW w:type="dxa" w:w="263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做什么</w:t>
            </w:r>
          </w:p>
        </w:tc>
        <w:tc>
          <w:tcPr>
            <w:tcW w:type="dxa" w:w="30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关键性质</w:t>
            </w:r>
          </w:p>
        </w:tc>
      </w:tr>
      <w:tr>
        <w:tc>
          <w:tcPr>
            <w:tcW w:type="dxa" w:w="1305"/>
            <w:vAlign w:val="center"/>
            <w:tcMar>
              <w:top w:w="80" w:type="dxa"/>
              <w:start w:w="120" w:type="dxa"/>
              <w:bottom w:w="80" w:type="dxa"/>
              <w:end w:w="120" w:type="dxa"/>
            </w:tcMar>
          </w:tcPr>
          <w:p>
            <w:pPr>
              <w:spacing w:before="0" w:after="0" w:line="259" w:lineRule="auto"/>
            </w:pPr>
            <w:r>
              <w:rPr>
                <w:rFonts w:ascii="Calibri" w:hAnsi="Calibri" w:eastAsia="Microsoft YaHei"/>
                <w:b/>
                <w:sz w:val="18"/>
              </w:rPr>
              <w:t>提议</w:t>
            </w:r>
          </w:p>
        </w:tc>
        <w:tc>
          <w:tcPr>
            <w:tcW w:type="dxa" w:w="23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轻量 Drafter（草稿模型）</w:t>
            </w:r>
          </w:p>
        </w:tc>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快速生成 k 个候选 token</w:t>
            </w:r>
          </w:p>
        </w:tc>
        <w:tc>
          <w:tcPr>
            <w:tcW w:type="dxa" w:w="3094"/>
            <w:vAlign w:val="center"/>
            <w:tcMar>
              <w:top w:w="80" w:type="dxa"/>
              <w:start w:w="120" w:type="dxa"/>
              <w:bottom w:w="80" w:type="dxa"/>
              <w:end w:w="120" w:type="dxa"/>
            </w:tcMar>
          </w:tcPr>
          <w:p>
            <w:pPr>
              <w:spacing w:before="0" w:after="0" w:line="259" w:lineRule="auto"/>
            </w:pPr>
            <w:r>
              <w:rPr>
                <w:rFonts w:ascii="Calibri" w:hAnsi="Calibri" w:eastAsia="Microsoft YaHei"/>
                <w:sz w:val="18"/>
              </w:rPr>
              <w:t>可自回归（如 EAGLE-3），也可并行（如 DFlash / DSpark）</w:t>
            </w:r>
          </w:p>
        </w:tc>
      </w:tr>
      <w:tr>
        <w:tc>
          <w:tcPr>
            <w:tcW w:type="dxa" w:w="1305"/>
            <w:vAlign w:val="center"/>
            <w:tcMar>
              <w:top w:w="80" w:type="dxa"/>
              <w:start w:w="120" w:type="dxa"/>
              <w:bottom w:w="80" w:type="dxa"/>
              <w:end w:w="120" w:type="dxa"/>
            </w:tcMar>
          </w:tcPr>
          <w:p>
            <w:pPr>
              <w:spacing w:before="0" w:after="0" w:line="259" w:lineRule="auto"/>
            </w:pPr>
            <w:r>
              <w:rPr>
                <w:rFonts w:ascii="Calibri" w:hAnsi="Calibri" w:eastAsia="Microsoft YaHei"/>
                <w:b/>
                <w:sz w:val="18"/>
              </w:rPr>
              <w:t>验证</w:t>
            </w:r>
          </w:p>
        </w:tc>
        <w:tc>
          <w:tcPr>
            <w:tcW w:type="dxa" w:w="23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Target（目标大模型）</w:t>
            </w:r>
          </w:p>
        </w:tc>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一次前向传播同时对 k 个位置打分</w:t>
            </w:r>
          </w:p>
        </w:tc>
        <w:tc>
          <w:tcPr>
            <w:tcW w:type="dxa" w:w="3094"/>
            <w:vAlign w:val="center"/>
            <w:tcMar>
              <w:top w:w="80" w:type="dxa"/>
              <w:start w:w="120" w:type="dxa"/>
              <w:bottom w:w="80" w:type="dxa"/>
              <w:end w:w="120" w:type="dxa"/>
            </w:tcMar>
          </w:tcPr>
          <w:p>
            <w:pPr>
              <w:spacing w:before="0" w:after="0" w:line="259" w:lineRule="auto"/>
            </w:pPr>
            <w:r>
              <w:rPr>
                <w:rFonts w:ascii="Calibri" w:hAnsi="Calibri" w:eastAsia="Microsoft YaHei"/>
                <w:sz w:val="18"/>
              </w:rPr>
              <w:t>仅需 1 次完整前向，开销约等于生成 1 个 token</w:t>
            </w:r>
          </w:p>
        </w:tc>
      </w:tr>
      <w:tr>
        <w:tc>
          <w:tcPr>
            <w:tcW w:type="dxa" w:w="1305"/>
            <w:vAlign w:val="center"/>
            <w:tcMar>
              <w:top w:w="80" w:type="dxa"/>
              <w:start w:w="120" w:type="dxa"/>
              <w:bottom w:w="80" w:type="dxa"/>
              <w:end w:w="120" w:type="dxa"/>
            </w:tcMar>
          </w:tcPr>
          <w:p>
            <w:pPr>
              <w:spacing w:before="0" w:after="0" w:line="259" w:lineRule="auto"/>
            </w:pPr>
            <w:r>
              <w:rPr>
                <w:rFonts w:ascii="Calibri" w:hAnsi="Calibri" w:eastAsia="Microsoft YaHei"/>
                <w:b/>
                <w:sz w:val="18"/>
              </w:rPr>
              <w:t>提交</w:t>
            </w:r>
          </w:p>
        </w:tc>
        <w:tc>
          <w:tcPr>
            <w:tcW w:type="dxa" w:w="2327"/>
            <w:vAlign w:val="center"/>
            <w:tcMar>
              <w:top w:w="80" w:type="dxa"/>
              <w:start w:w="120" w:type="dxa"/>
              <w:bottom w:w="80" w:type="dxa"/>
              <w:end w:w="120" w:type="dxa"/>
            </w:tcMar>
          </w:tcPr>
          <w:p>
            <w:pPr>
              <w:spacing w:before="0" w:after="0" w:line="259" w:lineRule="auto"/>
            </w:pPr>
            <w:r>
              <w:rPr>
                <w:rFonts w:ascii="Calibri" w:hAnsi="Calibri" w:eastAsia="Microsoft YaHei"/>
                <w:sz w:val="18"/>
              </w:rPr>
              <w:t>拒绝采样（Rejection Sampling）</w:t>
            </w:r>
          </w:p>
        </w:tc>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接受最长正确前缀，并由 Target 重采样第一个不一致位置</w:t>
            </w:r>
          </w:p>
        </w:tc>
        <w:tc>
          <w:tcPr>
            <w:tcW w:type="dxa" w:w="3094"/>
            <w:vAlign w:val="center"/>
            <w:tcMar>
              <w:top w:w="80" w:type="dxa"/>
              <w:start w:w="120" w:type="dxa"/>
              <w:bottom w:w="80" w:type="dxa"/>
              <w:end w:w="120" w:type="dxa"/>
            </w:tcMar>
          </w:tcPr>
          <w:p>
            <w:pPr>
              <w:spacing w:before="0" w:after="0" w:line="259" w:lineRule="auto"/>
            </w:pPr>
            <w:r>
              <w:rPr>
                <w:rFonts w:ascii="Calibri" w:hAnsi="Calibri" w:eastAsia="Microsoft YaHei"/>
                <w:b/>
                <w:sz w:val="18"/>
              </w:rPr>
              <w:t>无损</w:t>
            </w:r>
            <w:r>
              <w:rPr>
                <w:rFonts w:ascii="Calibri" w:hAnsi="Calibri" w:eastAsia="Microsoft YaHei"/>
                <w:sz w:val="18"/>
              </w:rPr>
              <w:t>——Target 的输出分布与不使用投机解码时完全相同</w:t>
            </w:r>
          </w:p>
        </w:tc>
      </w:tr>
    </w:tbl>
    <w:p>
      <w:pPr>
        <w:spacing w:after="40"/>
      </w:pPr>
    </w:p>
    <w:p>
      <w:pPr/>
      <w:r>
        <w:t>"无损"是投机解码区别于量化、剪枝等传统加速手段的根本优势：它不改变大模型的输出质量，纯粹通过减少前向传播次数来换取速度。</w:t>
      </w:r>
    </w:p>
    <w:p>
      <w:pPr>
        <w:pStyle w:val="Heading2"/>
      </w:pPr>
      <w:r>
        <w:t>图解：一次验证提交多个 token</w:t>
      </w:r>
    </w:p>
    <w:p>
      <w:pPr/>
      <w:r>
        <w:t>下图展示了投机解码中"提议-验证-提交"的完整过程，帮助理解每个阶段的数据流和判定逻辑。</w:t>
      </w:r>
    </w:p>
    <w:p>
      <w:pPr>
        <w:keepNext/>
        <w:keepLines/>
        <w:spacing w:before="120" w:after="0"/>
        <w:jc w:val="center"/>
      </w:pPr>
      <w:r>
        <w:drawing>
          <wp:inline xmlns:a="http://schemas.openxmlformats.org/drawingml/2006/main" xmlns:pic="http://schemas.openxmlformats.org/drawingml/2006/picture">
            <wp:extent cx="5943600" cy="3343275"/>
            <wp:docPr id="1" name="Picture 1" descr="投机解码流程：Drafter 提议 4 个 token，Target 验证后接受 3 个并重采样 1 个" title="投机解码流程：Drafter 提议 4 个 token，Target 验证后接受 3 个并重采样 1 个"/>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3275"/>
                    </a:xfrm>
                    <a:prstGeom prst="rect"/>
                  </pic:spPr>
                </pic:pic>
              </a:graphicData>
            </a:graphic>
          </wp:inline>
        </w:drawing>
      </w:r>
    </w:p>
    <w:p>
      <w:pPr/>
      <w:r>
        <w:rPr>
          <w:i/>
        </w:rPr>
        <w:t>图注：投机解码提议-验证-提交流程。来源：演讲 PPT 第 3 页</w:t>
      </w:r>
    </w:p>
    <w:p>
      <w:pPr/>
      <w:r>
        <w:t>逐项拆解图中的关键元素：</w:t>
      </w:r>
    </w:p>
    <w:p>
      <w:pPr>
        <w:spacing w:after="80" w:line="290" w:lineRule="auto"/>
        <w:numPr>
          <w:ilvl w:val="0"/>
          <w:numId w:val="13"/>
        </w:numPr>
      </w:pPr>
      <w:r>
        <w:rPr>
          <w:b/>
        </w:rPr>
        <w:t>Drafter 提议 4 个 token</w:t>
      </w:r>
      <w:r>
        <w:t xml:space="preserve">：草稿模型一次给出候选序列 </w:t>
      </w:r>
      <w:r>
        <w:rPr>
          <w:rFonts w:ascii="Consolas" w:hAnsi="Consolas" w:eastAsia="Microsoft YaHei"/>
          <w:color w:val="1F4D78"/>
          <w:sz w:val="19"/>
          <w:shd w:fill="EEF2F6"/>
        </w:rPr>
        <w:t>jumps over the lazy</w:t>
      </w:r>
      <w:r>
        <w:t>。</w:t>
      </w:r>
    </w:p>
    <w:p>
      <w:pPr>
        <w:spacing w:after="80" w:line="290" w:lineRule="auto"/>
        <w:numPr>
          <w:ilvl w:val="0"/>
          <w:numId w:val="13"/>
        </w:numPr>
      </w:pPr>
      <w:r>
        <w:rPr>
          <w:b/>
        </w:rPr>
        <w:t>Target 一次前向验证</w:t>
      </w:r>
      <w:r>
        <w:t>：大模型接收全部 4 个候选，在同一次前向传播中分别计算各位置的 log probability。</w:t>
      </w:r>
    </w:p>
    <w:p>
      <w:pPr>
        <w:spacing w:after="80" w:line="290" w:lineRule="auto"/>
        <w:numPr>
          <w:ilvl w:val="0"/>
          <w:numId w:val="13"/>
        </w:numPr>
      </w:pPr>
      <w:r>
        <w:rPr>
          <w:b/>
        </w:rPr>
        <w:t>前 3 个通过</w:t>
      </w:r>
      <w:r>
        <w:t xml:space="preserve">：对于 </w:t>
      </w:r>
      <w:r>
        <w:rPr>
          <w:rFonts w:ascii="Consolas" w:hAnsi="Consolas" w:eastAsia="Microsoft YaHei"/>
          <w:color w:val="1F4D78"/>
          <w:sz w:val="19"/>
          <w:shd w:fill="EEF2F6"/>
        </w:rPr>
        <w:t>jumps</w:t>
      </w:r>
      <w:r>
        <w:t>、</w:t>
      </w:r>
      <w:r>
        <w:rPr>
          <w:rFonts w:ascii="Consolas" w:hAnsi="Consolas" w:eastAsia="Microsoft YaHei"/>
          <w:color w:val="1F4D78"/>
          <w:sz w:val="19"/>
          <w:shd w:fill="EEF2F6"/>
        </w:rPr>
        <w:t>over</w:t>
      </w:r>
      <w:r>
        <w:t>、</w:t>
      </w:r>
      <w:r>
        <w:rPr>
          <w:rFonts w:ascii="Consolas" w:hAnsi="Consolas" w:eastAsia="Microsoft YaHei"/>
          <w:color w:val="1F4D78"/>
          <w:sz w:val="19"/>
          <w:shd w:fill="EEF2F6"/>
        </w:rPr>
        <w:t>the</w:t>
      </w:r>
      <w:r>
        <w:t xml:space="preserve"> 三个位置，Target 的置信度不低于 Drafter 的置信度，通过拒绝采样予以接受。</w:t>
      </w:r>
    </w:p>
    <w:p>
      <w:pPr>
        <w:spacing w:after="80" w:line="290" w:lineRule="auto"/>
        <w:numPr>
          <w:ilvl w:val="0"/>
          <w:numId w:val="13"/>
        </w:numPr>
      </w:pPr>
      <w:r>
        <w:rPr>
          <w:b/>
        </w:rPr>
        <w:t>第 4 个被拒绝</w:t>
      </w:r>
      <w:r>
        <w:t>：</w:t>
      </w:r>
      <w:r>
        <w:rPr>
          <w:rFonts w:ascii="Consolas" w:hAnsi="Consolas" w:eastAsia="Microsoft YaHei"/>
          <w:color w:val="1F4D78"/>
          <w:sz w:val="19"/>
          <w:shd w:fill="EEF2F6"/>
        </w:rPr>
        <w:t>lazy</w:t>
      </w:r>
      <w:r>
        <w:t xml:space="preserve"> 在 Target 看来 log probability 不够高，被拒绝。</w:t>
      </w:r>
    </w:p>
    <w:p>
      <w:pPr>
        <w:spacing w:after="80" w:line="290" w:lineRule="auto"/>
        <w:numPr>
          <w:ilvl w:val="0"/>
          <w:numId w:val="13"/>
        </w:numPr>
      </w:pPr>
      <w:r>
        <w:rPr>
          <w:b/>
        </w:rPr>
        <w:t>重采样获得 bonus token</w:t>
      </w:r>
      <w:r>
        <w:t xml:space="preserve">：Target 在被拒绝的位置依据自身分布重新采样，产出 </w:t>
      </w:r>
      <w:r>
        <w:rPr>
          <w:rFonts w:ascii="Consolas" w:hAnsi="Consolas" w:eastAsia="Microsoft YaHei"/>
          <w:color w:val="1F4D78"/>
          <w:sz w:val="19"/>
          <w:shd w:fill="EEF2F6"/>
        </w:rPr>
        <w:t>dog</w:t>
      </w:r>
      <w:r>
        <w:t>。这个 token 来自 Target 本轮前向已经计算好的 logit，无需额外开销。</w:t>
      </w:r>
    </w:p>
    <w:p>
      <w:pPr>
        <w:spacing w:after="80" w:line="290" w:lineRule="auto"/>
        <w:numPr>
          <w:ilvl w:val="0"/>
          <w:numId w:val="13"/>
        </w:numPr>
      </w:pPr>
      <w:r>
        <w:rPr>
          <w:b/>
        </w:rPr>
        <w:t>最终提交 4 个 token</w:t>
      </w:r>
      <w:r>
        <w:t>：3 个接受 + 1 个重采样 = 一次 Target 步骤净增 4 个 token。</w:t>
      </w:r>
    </w:p>
    <w:p>
      <w:pPr>
        <w:pStyle w:val="Heading2"/>
      </w:pPr>
      <w:r>
        <w:t>接受长度：加速比的第一决定因素</w:t>
      </w:r>
    </w:p>
    <w:p>
      <w:pPr/>
      <w:r>
        <w:t>整条因果链可以浓缩为：</w:t>
      </w:r>
    </w:p>
    <w:p>
      <w:pPr/>
      <w:r>
        <w:t>```</w:t>
      </w:r>
    </w:p>
    <w:p>
      <w:pPr/>
      <w:r>
        <w:t>Drafter 快速提议 k 个 token</w:t>
      </w:r>
    </w:p>
    <w:p>
      <w:pPr/>
      <w:r>
        <w:t>→ Target 一次前向传播验证全部 k 个位置</w:t>
      </w:r>
    </w:p>
    <w:p>
      <w:pPr/>
      <w:r>
        <w:t>→ 验证成本 ≈ 单步生成 1 个 token 的成本</w:t>
      </w:r>
    </w:p>
    <w:p>
      <w:pPr/>
      <w:r>
        <w:t>→ 净产出 = 接受长度 α（平均接受的前缀长度 + 1 bonus）</w:t>
      </w:r>
    </w:p>
    <w:p>
      <w:pPr/>
      <w:r>
        <w:t>→ 等效吞吐提升 ≈ α 倍</w:t>
      </w:r>
    </w:p>
    <w:p>
      <w:pPr/>
      <w:r>
        <w:t>```</w:t>
      </w:r>
    </w:p>
    <w:p>
      <w:pPr/>
      <w:r>
        <w:t>这里的关键变量是</w:t>
      </w:r>
      <w:r>
        <w:rPr>
          <w:b/>
        </w:rPr>
        <w:t>接受长度</w:t>
      </w:r>
      <w:r>
        <w:t>（Acceptance Length）——每次 Target 步骤平均产出的 token 数。如果 Drafter 猜得不准，频繁被拒绝，接受长度趋近于 1，投机解码就退化为普通自回归生成，反而因为额外运行 Drafter 而浪费算力。</w:t>
      </w:r>
    </w:p>
    <w:p>
      <w:pPr/>
      <w:r>
        <w:t xml:space="preserve">以一个最小例子说明：假设输入上下文为 </w:t>
      </w:r>
      <w:r>
        <w:rPr>
          <w:rFonts w:ascii="Consolas" w:hAnsi="Consolas" w:eastAsia="Microsoft YaHei"/>
          <w:color w:val="1F4D78"/>
          <w:sz w:val="19"/>
          <w:shd w:fill="EEF2F6"/>
        </w:rPr>
        <w:t>The</w:t>
      </w:r>
      <w:r>
        <w:t>，Drafter 提议 3 个 token：</w:t>
      </w:r>
    </w:p>
    <w:tbl>
      <w:tblPr>
        <w:tblStyle w:val="TableGrid"/>
        <w:tblW w:type="dxa" w:w="9360"/>
        <w:jc w:val="left"/>
        <w:tblLayout w:type="fixed"/>
        <w:tblLook w:firstColumn="1" w:firstRow="1" w:lastColumn="0" w:lastRow="0" w:noHBand="0" w:noVBand="1" w:val="04A0"/>
        <w:tblInd w:w="120" w:type="dxa"/>
      </w:tblPr>
      <w:tblGrid>
        <w:gridCol w:w="1609"/>
        <w:gridCol w:w="2372"/>
        <w:gridCol w:w="2245"/>
        <w:gridCol w:w="3134"/>
      </w:tblGrid>
      <w:tr>
        <w:trPr>
          <w:tblHeader w:val="true"/>
        </w:trPr>
        <w:tc>
          <w:tcPr>
            <w:tcW w:type="dxa" w:w="160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23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Drafter 提议</w:t>
            </w:r>
          </w:p>
        </w:tc>
        <w:tc>
          <w:tcPr>
            <w:tcW w:type="dxa" w:w="22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Target 判定</w:t>
            </w:r>
          </w:p>
        </w:tc>
        <w:tc>
          <w:tcPr>
            <w:tcW w:type="dxa" w:w="313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结果</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位置 1</w:t>
            </w:r>
          </w:p>
        </w:tc>
        <w:tc>
          <w:tcPr>
            <w:tcW w:type="dxa" w:w="237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lazy</w:t>
            </w:r>
          </w:p>
        </w:tc>
        <w:tc>
          <w:tcPr>
            <w:tcW w:type="dxa" w:w="22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接受</w:t>
            </w:r>
          </w:p>
        </w:tc>
        <w:tc>
          <w:tcPr>
            <w:tcW w:type="dxa" w:w="31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保留</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位置 2</w:t>
            </w:r>
          </w:p>
        </w:tc>
        <w:tc>
          <w:tcPr>
            <w:tcW w:type="dxa" w:w="237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dog</w:t>
            </w:r>
          </w:p>
        </w:tc>
        <w:tc>
          <w:tcPr>
            <w:tcW w:type="dxa" w:w="22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接受</w:t>
            </w:r>
          </w:p>
        </w:tc>
        <w:tc>
          <w:tcPr>
            <w:tcW w:type="dxa" w:w="313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保留</w:t>
            </w:r>
          </w:p>
        </w:tc>
      </w:tr>
      <w:tr>
        <w:tc>
          <w:tcPr>
            <w:tcW w:type="dxa" w:w="1609"/>
            <w:vAlign w:val="center"/>
            <w:tcMar>
              <w:top w:w="80" w:type="dxa"/>
              <w:start w:w="120" w:type="dxa"/>
              <w:bottom w:w="80" w:type="dxa"/>
              <w:end w:w="120" w:type="dxa"/>
            </w:tcMar>
          </w:tcPr>
          <w:p>
            <w:pPr>
              <w:spacing w:before="0" w:after="0" w:line="259" w:lineRule="auto"/>
            </w:pPr>
            <w:r>
              <w:rPr>
                <w:rFonts w:ascii="Calibri" w:hAnsi="Calibri" w:eastAsia="Microsoft YaHei"/>
                <w:sz w:val="18"/>
              </w:rPr>
              <w:t>位置 3</w:t>
            </w:r>
          </w:p>
        </w:tc>
        <w:tc>
          <w:tcPr>
            <w:tcW w:type="dxa" w:w="2372"/>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runs</w:t>
            </w:r>
          </w:p>
        </w:tc>
        <w:tc>
          <w:tcPr>
            <w:tcW w:type="dxa" w:w="224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拒绝</w:t>
            </w:r>
          </w:p>
        </w:tc>
        <w:tc>
          <w:tcPr>
            <w:tcW w:type="dxa" w:w="313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Target 重采样 → </w:t>
            </w:r>
            <w:r>
              <w:rPr>
                <w:rFonts w:ascii="Consolas" w:hAnsi="Consolas" w:eastAsia="Microsoft YaHei"/>
                <w:color w:val="1F4D78"/>
                <w:sz w:val="19"/>
                <w:shd w:fill="EEF2F6"/>
              </w:rPr>
              <w:t>sat</w:t>
            </w:r>
          </w:p>
        </w:tc>
      </w:tr>
    </w:tbl>
    <w:p>
      <w:pPr>
        <w:spacing w:after="40"/>
      </w:pPr>
    </w:p>
    <w:p>
      <w:pPr/>
      <w:r>
        <w:t>一次 Target 前向传播净产出 3 个 token（</w:t>
      </w:r>
      <w:r>
        <w:rPr>
          <w:rFonts w:ascii="Consolas" w:hAnsi="Consolas" w:eastAsia="Microsoft YaHei"/>
          <w:color w:val="1F4D78"/>
          <w:sz w:val="19"/>
          <w:shd w:fill="EEF2F6"/>
        </w:rPr>
        <w:t>lazy dog sat</w:t>
      </w:r>
      <w:r>
        <w:t>），等效加速约 3 倍。</w:t>
      </w:r>
    </w:p>
    <w:p>
      <w:pPr>
        <w:pStyle w:val="Heading2"/>
      </w:pPr>
      <w:r>
        <w:t>加速边界</w:t>
      </w:r>
    </w:p>
    <w:p>
      <w:pPr/>
      <w:r>
        <w:t xml:space="preserve">据演讲中分享的工程实测经验，在 vLLM（一个开源的大模型推理和服务引擎）上通常观测到的端到端加速比在 </w:t>
      </w:r>
      <w:r>
        <w:rPr>
          <w:b/>
        </w:rPr>
        <w:t>3–5 倍</w:t>
      </w:r>
      <w:r>
        <w:t>左右，具体取决于算法与负载。但投机解码存在一个硬性边界：</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当推理引擎处于 compute bound（计算瓶颈）状态时，投机解码无法带来收益，反而消耗额外算力。</w:t>
      </w:r>
    </w:p>
    <w:p>
      <w:pPr/>
      <w:r>
        <w:t>原因很直接：投机解码的本质是"用多余算力换取更少的显存搬运次数"。一旦请求并发量很高、GPU 算力已经饱和，就没有多余算力可用。此时建议动态关闭投机解码，将全部计算资源留给 Target 本身。</w:t>
      </w:r>
    </w:p>
    <w:p>
      <w:pPr/>
      <w:r>
        <w:rPr>
          <w:b/>
        </w:rPr>
        <w:t>小结：</w:t>
      </w:r>
      <w:r>
        <w:t xml:space="preserve"> 投机解码以无损方式将每步单 token 的瓶颈拓宽为每步多 token，其加速效果取决于接受长度。接下来的核心问题是：如何训练出更准的 Drafter，以推高接受长度？</w:t>
      </w:r>
    </w:p>
    <w:p>
      <w:pPr>
        <w:pStyle w:val="Heading1"/>
      </w:pPr>
      <w:r>
        <w:t>二、现代 Drafter 的进化：从文本到隐藏状态</w:t>
      </w:r>
    </w:p>
    <w:p>
      <w:pPr>
        <w:pStyle w:val="Heading2"/>
      </w:pPr>
      <w:r>
        <w:t>早期方案为何接受率有限</w:t>
      </w:r>
    </w:p>
    <w:p>
      <w:pPr/>
      <w:r>
        <w:t>早期投机解码的思路很朴素：拿同系列的小参数模型做草稿——两者都接收相同的自然语言文本，小模型先猜，大模型后验。但小模型和大模型虽然读到同样的 prompt，内部的"理解深度"天差地别。小模型用有限参数猜测下一个词，而大模型的预测来自数十层 Transformer 逐层蒸馏出的丰富语义。纯文本输入下，两者的输出分布偏差难以弥合，</w:t>
      </w:r>
      <w:r>
        <w:rPr>
          <w:b/>
        </w:rPr>
        <w:t>接受率</w:t>
      </w:r>
      <w:r>
        <w:t>（Acceptance Rate，每个位置被确认的概率）始终上不去，接受长度也随之受限。</w:t>
      </w:r>
    </w:p>
    <w:p>
      <w:pPr>
        <w:pStyle w:val="Heading2"/>
      </w:pPr>
      <w:r>
        <w:t>关键转折：让 Drafter 窥探 Target 的中间表示</w:t>
      </w:r>
    </w:p>
    <w:p>
      <w:pPr/>
      <w:r>
        <w:t>突破始于一个核心洞察——与其让 Drafter 从原始文本重新"理解"一遍 prompt，不如直接把 Target 模型在 prefill 阶段产生的中间结果喂给它。</w:t>
      </w:r>
    </w:p>
    <w:p>
      <w:pPr/>
      <w:r>
        <w:t>这里需要定义一个关键概念：</w:t>
      </w:r>
      <w:r>
        <w:rPr>
          <w:b/>
        </w:rPr>
        <w:t>隐藏状态（Hidden States）</w:t>
      </w:r>
      <w:r>
        <w:t>，即 Transformer 各层的中间激活值。Target 模型每处理一个 token 序列，都会在每层输出一组向量，这些向量编码了该层对输入文本的语义理解——越深的层抽象程度越高。将若干层隐藏状态抽取出来作为 Drafter 的输入，等于让小模型直接站在大模型的语义基础上做预测，而非从零开始推断。</w:t>
      </w:r>
    </w:p>
    <w:p>
      <w:pPr>
        <w:pStyle w:val="Heading2"/>
      </w:pPr>
      <w:r>
        <w:t>架构：Verifier 与 Draft 模型如何协作</w:t>
      </w:r>
    </w:p>
    <w:p>
      <w:pPr/>
      <w:r>
        <w:t>下图展示了 Target（图中标为 Verifier）如何将多层激活传递给 Draft 模型，是理解后续各节的架构基础。</w:t>
      </w:r>
    </w:p>
    <w:p>
      <w:pPr>
        <w:keepNext/>
        <w:keepLines/>
        <w:spacing w:before="120" w:after="0"/>
        <w:jc w:val="center"/>
      </w:pPr>
      <w:r>
        <w:drawing>
          <wp:inline xmlns:a="http://schemas.openxmlformats.org/drawingml/2006/main" xmlns:pic="http://schemas.openxmlformats.org/drawingml/2006/picture">
            <wp:extent cx="5943600" cy="3343275"/>
            <wp:docPr id="2" name="Picture 2" descr="Verifier 模型将多层隐藏状态传递给 Draft 模型的协作架构" title="Verifier 模型将多层隐藏状态传递给 Draft 模型的协作架构"/>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3275"/>
                    </a:xfrm>
                    <a:prstGeom prst="rect"/>
                  </pic:spPr>
                </pic:pic>
              </a:graphicData>
            </a:graphic>
          </wp:inline>
        </w:drawing>
      </w:r>
    </w:p>
    <w:p>
      <w:pPr/>
      <w:r>
        <w:rPr>
          <w:i/>
        </w:rPr>
        <w:t>图注：左侧为 Verifier（Target）模型，右侧为 Draft 模型；箭头表示隐藏状态的传递路径。来源：演讲 PPT 第 4 页</w:t>
      </w:r>
    </w:p>
    <w:p>
      <w:pPr/>
      <w:r>
        <w:t>图中包含两个核心组件和一条关键数据通路：</w:t>
      </w:r>
    </w:p>
    <w:tbl>
      <w:tblPr>
        <w:tblStyle w:val="TableGrid"/>
        <w:tblW w:type="dxa" w:w="9360"/>
        <w:jc w:val="left"/>
        <w:tblLayout w:type="fixed"/>
        <w:tblLook w:firstColumn="1" w:firstRow="1" w:lastColumn="0" w:lastRow="0" w:noHBand="0" w:noVBand="1" w:val="04A0"/>
        <w:tblInd w:w="120" w:type="dxa"/>
      </w:tblPr>
      <w:tblGrid>
        <w:gridCol w:w="2859"/>
        <w:gridCol w:w="3935"/>
        <w:gridCol w:w="2566"/>
      </w:tblGrid>
      <w:tr>
        <w:trPr>
          <w:tblHeader w:val="true"/>
        </w:trPr>
        <w:tc>
          <w:tcPr>
            <w:tcW w:type="dxa" w:w="285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组件</w:t>
            </w:r>
          </w:p>
        </w:tc>
        <w:tc>
          <w:tcPr>
            <w:tcW w:type="dxa" w:w="393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角色</w:t>
            </w:r>
          </w:p>
        </w:tc>
        <w:tc>
          <w:tcPr>
            <w:tcW w:type="dxa" w:w="256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特征</w:t>
            </w:r>
          </w:p>
        </w:tc>
      </w:tr>
      <w:tr>
        <w:tc>
          <w:tcPr>
            <w:tcW w:type="dxa" w:w="2859"/>
            <w:vAlign w:val="center"/>
            <w:tcMar>
              <w:top w:w="80" w:type="dxa"/>
              <w:start w:w="120" w:type="dxa"/>
              <w:bottom w:w="80" w:type="dxa"/>
              <w:end w:w="120" w:type="dxa"/>
            </w:tcMar>
          </w:tcPr>
          <w:p>
            <w:pPr>
              <w:spacing w:before="0" w:after="0" w:line="259" w:lineRule="auto"/>
            </w:pPr>
            <w:r>
              <w:rPr>
                <w:rFonts w:ascii="Calibri" w:hAnsi="Calibri" w:eastAsia="Microsoft YaHei"/>
                <w:b/>
                <w:sz w:val="18"/>
              </w:rPr>
              <w:t>Verifier Model</w:t>
            </w:r>
            <w:r>
              <w:rPr>
                <w:rFonts w:ascii="Calibri" w:hAnsi="Calibri" w:eastAsia="Microsoft YaHei"/>
                <w:sz w:val="18"/>
              </w:rPr>
              <w:t>（左侧）</w:t>
            </w:r>
          </w:p>
        </w:tc>
        <w:tc>
          <w:tcPr>
            <w:tcW w:type="dxa" w:w="3935"/>
            <w:vAlign w:val="center"/>
            <w:tcMar>
              <w:top w:w="80" w:type="dxa"/>
              <w:start w:w="120" w:type="dxa"/>
              <w:bottom w:w="80" w:type="dxa"/>
              <w:end w:w="120" w:type="dxa"/>
            </w:tcMar>
          </w:tcPr>
          <w:p>
            <w:pPr>
              <w:spacing w:before="0" w:after="0" w:line="259" w:lineRule="auto"/>
            </w:pPr>
            <w:r>
              <w:rPr>
                <w:rFonts w:ascii="Calibri" w:hAnsi="Calibri" w:eastAsia="Microsoft YaHei"/>
                <w:sz w:val="18"/>
              </w:rPr>
              <w:t>接收原始 token，执行完整前向传播，输出预测并验证草稿</w:t>
            </w:r>
          </w:p>
        </w:tc>
        <w:tc>
          <w:tcPr>
            <w:tcW w:type="dxa" w:w="25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层数多、参数量大</w:t>
            </w:r>
          </w:p>
        </w:tc>
      </w:tr>
      <w:tr>
        <w:tc>
          <w:tcPr>
            <w:tcW w:type="dxa" w:w="2859"/>
            <w:vAlign w:val="center"/>
            <w:tcMar>
              <w:top w:w="80" w:type="dxa"/>
              <w:start w:w="120" w:type="dxa"/>
              <w:bottom w:w="80" w:type="dxa"/>
              <w:end w:w="120" w:type="dxa"/>
            </w:tcMar>
          </w:tcPr>
          <w:p>
            <w:pPr>
              <w:spacing w:before="0" w:after="0" w:line="259" w:lineRule="auto"/>
            </w:pPr>
            <w:r>
              <w:rPr>
                <w:rFonts w:ascii="Calibri" w:hAnsi="Calibri" w:eastAsia="Microsoft YaHei"/>
                <w:b/>
                <w:sz w:val="18"/>
              </w:rPr>
              <w:t>Draft Model</w:t>
            </w:r>
            <w:r>
              <w:rPr>
                <w:rFonts w:ascii="Calibri" w:hAnsi="Calibri" w:eastAsia="Microsoft YaHei"/>
                <w:sz w:val="18"/>
              </w:rPr>
              <w:t>（右侧）</w:t>
            </w:r>
          </w:p>
        </w:tc>
        <w:tc>
          <w:tcPr>
            <w:tcW w:type="dxa" w:w="3935"/>
            <w:vAlign w:val="center"/>
            <w:tcMar>
              <w:top w:w="80" w:type="dxa"/>
              <w:start w:w="120" w:type="dxa"/>
              <w:bottom w:w="80" w:type="dxa"/>
              <w:end w:w="120" w:type="dxa"/>
            </w:tcMar>
          </w:tcPr>
          <w:p>
            <w:pPr>
              <w:spacing w:before="0" w:after="0" w:line="259" w:lineRule="auto"/>
            </w:pPr>
            <w:r>
              <w:rPr>
                <w:rFonts w:ascii="Calibri" w:hAnsi="Calibri" w:eastAsia="Microsoft YaHei"/>
                <w:sz w:val="18"/>
              </w:rPr>
              <w:t>接收隐藏状态，快速生成多个候选 token</w:t>
            </w:r>
          </w:p>
        </w:tc>
        <w:tc>
          <w:tcPr>
            <w:tcW w:type="dxa" w:w="25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层数少（3–5 层），推理极快</w:t>
            </w:r>
          </w:p>
        </w:tc>
      </w:tr>
    </w:tbl>
    <w:p>
      <w:pPr>
        <w:spacing w:after="40"/>
      </w:pPr>
    </w:p>
    <w:p>
      <w:pPr/>
      <w:r>
        <w:t>数据流依次为：① Verifier 接收输入 token；② 从 Verifier 的多个层级抽取隐藏状态，传入 Draft 模型；③ Draft 模型据此输出候选 token；④ Verifier 自身也生成预测，与草稿逐 token 比对验证。</w:t>
      </w:r>
    </w:p>
    <w:p>
      <w:pPr/>
      <w:r>
        <w:t>用两条路径对比能最清晰地看出差异：</w:t>
      </w:r>
    </w:p>
    <w:p>
      <w:pPr>
        <w:spacing w:after="80" w:line="290" w:lineRule="auto"/>
        <w:numPr>
          <w:ilvl w:val="0"/>
          <w:numId w:val="10"/>
        </w:numPr>
      </w:pPr>
      <w:r>
        <w:rPr>
          <w:b/>
        </w:rPr>
        <w:t>纯文本路径</w:t>
      </w:r>
      <w:r>
        <w:t>：相同 prompt → 小模型独立理解 → 缺少大模型的中间推理线索 → 输出分布偏差大 → 接受率低</w:t>
      </w:r>
    </w:p>
    <w:p>
      <w:pPr>
        <w:spacing w:after="80" w:line="290" w:lineRule="auto"/>
        <w:numPr>
          <w:ilvl w:val="0"/>
          <w:numId w:val="10"/>
        </w:numPr>
      </w:pPr>
      <w:r>
        <w:rPr>
          <w:b/>
        </w:rPr>
        <w:t>隐藏状态路径</w:t>
      </w:r>
      <w:r>
        <w:t>：Target prefill 产生多层激活 → Drafter 获得中间语义表示 → 输出分布贴近 Target → 接受率提升 → 接受长度增长</w:t>
      </w:r>
    </w:p>
    <w:p>
      <w:pPr>
        <w:pStyle w:val="Heading2"/>
      </w:pPr>
      <w:r>
        <w:t>不同算法的层数策略</w:t>
      </w:r>
    </w:p>
    <w:tbl>
      <w:tblPr>
        <w:tblStyle w:val="TableGrid"/>
        <w:tblW w:type="dxa" w:w="9360"/>
        <w:jc w:val="left"/>
        <w:tblLayout w:type="fixed"/>
        <w:tblLook w:firstColumn="1" w:firstRow="1" w:lastColumn="0" w:lastRow="0" w:noHBand="0" w:noVBand="1" w:val="04A0"/>
        <w:tblInd w:w="120" w:type="dxa"/>
      </w:tblPr>
      <w:tblGrid>
        <w:gridCol w:w="4518"/>
        <w:gridCol w:w="1877"/>
        <w:gridCol w:w="2965"/>
      </w:tblGrid>
      <w:tr>
        <w:trPr>
          <w:tblHeader w:val="true"/>
        </w:trPr>
        <w:tc>
          <w:tcPr>
            <w:tcW w:type="dxa" w:w="451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算法</w:t>
            </w:r>
          </w:p>
        </w:tc>
        <w:tc>
          <w:tcPr>
            <w:tcW w:type="dxa" w:w="18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提取层数</w:t>
            </w:r>
          </w:p>
        </w:tc>
        <w:tc>
          <w:tcPr>
            <w:tcW w:type="dxa" w:w="296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4518"/>
            <w:vAlign w:val="center"/>
            <w:tcMar>
              <w:top w:w="80" w:type="dxa"/>
              <w:start w:w="120" w:type="dxa"/>
              <w:bottom w:w="80" w:type="dxa"/>
              <w:end w:w="120" w:type="dxa"/>
            </w:tcMar>
          </w:tcPr>
          <w:p>
            <w:pPr>
              <w:spacing w:before="0" w:after="0" w:line="259" w:lineRule="auto"/>
            </w:pPr>
            <w:r>
              <w:rPr>
                <w:rFonts w:ascii="Calibri" w:hAnsi="Calibri" w:eastAsia="Microsoft YaHei"/>
                <w:sz w:val="18"/>
              </w:rPr>
              <w:t>EAGLE-3（一种经典自回归投机解码算法）</w:t>
            </w:r>
          </w:p>
        </w:tc>
        <w:tc>
          <w:tcPr>
            <w:tcW w:type="dxa" w:w="187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层</w:t>
            </w:r>
          </w:p>
        </w:tc>
        <w:tc>
          <w:tcPr>
            <w:tcW w:type="dxa" w:w="29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结构最简，开销最低</w:t>
            </w:r>
          </w:p>
        </w:tc>
      </w:tr>
      <w:tr>
        <w:tc>
          <w:tcPr>
            <w:tcW w:type="dxa" w:w="4518"/>
            <w:vAlign w:val="center"/>
            <w:tcMar>
              <w:top w:w="80" w:type="dxa"/>
              <w:start w:w="120" w:type="dxa"/>
              <w:bottom w:w="80" w:type="dxa"/>
              <w:end w:w="120" w:type="dxa"/>
            </w:tcMar>
          </w:tcPr>
          <w:p>
            <w:pPr>
              <w:spacing w:before="0" w:after="0" w:line="259" w:lineRule="auto"/>
            </w:pPr>
            <w:r>
              <w:rPr>
                <w:rFonts w:ascii="Calibri" w:hAnsi="Calibri" w:eastAsia="Microsoft YaHei"/>
                <w:sz w:val="18"/>
              </w:rPr>
              <w:t>DFlash / DSpark</w:t>
            </w:r>
          </w:p>
        </w:tc>
        <w:tc>
          <w:tcPr>
            <w:tcW w:type="dxa" w:w="187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3–5 层</w:t>
            </w:r>
          </w:p>
        </w:tc>
        <w:tc>
          <w:tcPr>
            <w:tcW w:type="dxa" w:w="29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多层融合，语义信息更丰富</w:t>
            </w:r>
          </w:p>
        </w:tc>
      </w:tr>
    </w:tbl>
    <w:p>
      <w:pPr>
        <w:spacing w:after="40"/>
      </w:pPr>
    </w:p>
    <w:p>
      <w:pPr/>
      <w:r>
        <w:t>层数增加带来更丰富的 Target 内部信息，但也意味着更大的激活传输和存储成本。3–5 层是当前高性能 Drafter 的常见选择，在信息量与工程开销间取得了实用平衡。</w:t>
      </w:r>
    </w:p>
    <w:p>
      <w:pPr/>
      <w:r>
        <w:rPr>
          <w:b/>
        </w:rPr>
        <w:t>小结：</w:t>
      </w:r>
      <w:r>
        <w:t xml:space="preserve"> 从自然语言输入切换到隐藏状态输入，是投机解码从"文本级模仿"走向"表示级学习"的分水岭。在此基础上，DSpark 围绕"如何利用这些隐藏状态做更高效的并行草稿"展开了更精细的架构设计。</w:t>
      </w:r>
    </w:p>
    <w:p>
      <w:pPr>
        <w:pStyle w:val="Heading1"/>
      </w:pPr>
      <w:r>
        <w:t>三、DSpark 算法：并行骨干与 Markov 修正</w:t>
      </w:r>
    </w:p>
    <w:p>
      <w:pPr>
        <w:pStyle w:val="Heading2"/>
      </w:pPr>
      <w:r>
        <w:t>并行生成为何会"胡言乱语"</w:t>
      </w:r>
    </w:p>
    <w:p>
      <w:pPr/>
      <w:r>
        <w:t>自回归生成的核心保障是：每个 token 都能看到它左侧已经确定的所有 token。一旦改为并行生成——一次前向同时产出多个位置——各位置之间互相不知道对方的预测结果，token 间的条件依赖就断裂了。</w:t>
      </w:r>
    </w:p>
    <w:p>
      <w:pPr/>
      <w:r>
        <w:t>以一个最小例子说明：用户说 "thank you"，合理回复既包含 "no problem"，也包含 "of course"。自回归模型若在第一个位置输出了 "of"，第二个位置必然选 "course"；但并行生成时，第一位置选了 "of"，第二位置却独立选出 "problem"，拼成 "of problem"——输出退化为无意义组合。这正是 DFlash（一种基于非因果 mask token 的并行投机解码算法）面临的核心瓶颈。</w:t>
      </w:r>
    </w:p>
    <w:p>
      <w:pPr/>
      <w:r>
        <w:rPr>
          <w:b/>
        </w:rPr>
        <w:t>DSpark</w:t>
      </w:r>
      <w:r>
        <w:t>（一种投机解码算法，结合 DFlash 式并行骨干和 Markov Head 建模块内依赖）的设计目标就是：</w:t>
      </w:r>
      <w:r>
        <w:rPr>
          <w:b/>
        </w:rPr>
        <w:t>保留 DFlash 的并行吞吐，同时以极低代价恢复块内一致性</w:t>
      </w:r>
      <w:r>
        <w:t>。</w:t>
      </w:r>
    </w:p>
    <w:p>
      <w:pPr>
        <w:pStyle w:val="Heading2"/>
      </w:pPr>
      <w:r>
        <w:t>DSpark 解码循环全景</w:t>
      </w:r>
    </w:p>
    <w:p>
      <w:pPr/>
      <w:r>
        <w:t>下图是 DSpark 每一轮解码的三阶段全貌，展示了并行骨干、Markov 修正和置信度调度如何协同工作。</w:t>
      </w:r>
    </w:p>
    <w:p>
      <w:pPr>
        <w:keepNext/>
        <w:keepLines/>
        <w:spacing w:before="120" w:after="0"/>
        <w:jc w:val="center"/>
      </w:pPr>
      <w:r>
        <w:drawing>
          <wp:inline xmlns:a="http://schemas.openxmlformats.org/drawingml/2006/main" xmlns:pic="http://schemas.openxmlformats.org/drawingml/2006/picture">
            <wp:extent cx="5943600" cy="3343275"/>
            <wp:docPr id="3" name="Picture 3" descr="DSpark 解码循环：重型并行骨干、Markov head 修正与前缀调度器三步流程" title="DSpark 解码循环：重型并行骨干、Markov head 修正与前缀调度器三步流程"/>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3343275"/>
                    </a:xfrm>
                    <a:prstGeom prst="rect"/>
                  </pic:spPr>
                </pic:pic>
              </a:graphicData>
            </a:graphic>
          </wp:inline>
        </w:drawing>
      </w:r>
    </w:p>
    <w:p>
      <w:pPr/>
      <w:r>
        <w:rPr>
          <w:i/>
        </w:rPr>
        <w:t>图注：DSpark 三阶段解码循环。来源：演讲 PPT 第 10 页</w:t>
      </w:r>
    </w:p>
    <w:p>
      <w:pPr>
        <w:pStyle w:val="Heading3"/>
      </w:pPr>
      <w:r>
        <w:t>① Target Step：确定锚点</w:t>
      </w:r>
    </w:p>
    <w:p>
      <w:pPr/>
      <w:r>
        <w:t xml:space="preserve">Target 模型执行一次自回归前向，输出已接受序列末尾的下一个 token，记为 </w:t>
      </w:r>
      <w:r>
        <w:rPr>
          <w:b/>
        </w:rPr>
        <w:t>D</w:t>
      </w:r>
      <w:r>
        <w:t>。D 即本轮草稿的</w:t>
      </w:r>
      <w:r>
        <w:rPr>
          <w:b/>
        </w:rPr>
        <w:t>锚点（anchor）</w:t>
      </w:r>
      <w:r>
        <w:t>——后续并行位置的左边界条件。</w:t>
      </w:r>
    </w:p>
    <w:p>
      <w:pPr>
        <w:pStyle w:val="Heading3"/>
      </w:pPr>
      <w:r>
        <w:t>② DSpark Drafting Engine：并行骨干 + Markov 修正 + 前缀调度</w:t>
      </w:r>
    </w:p>
    <w:p>
      <w:pPr/>
      <w:r>
        <w:t>这一步是 DSpark 的核心，内部分三层：</w:t>
      </w:r>
    </w:p>
    <w:tbl>
      <w:tblPr>
        <w:tblStyle w:val="TableGrid"/>
        <w:tblW w:type="dxa" w:w="9360"/>
        <w:jc w:val="left"/>
        <w:tblLayout w:type="fixed"/>
        <w:tblLook w:firstColumn="1" w:firstRow="1" w:lastColumn="0" w:lastRow="0" w:noHBand="0" w:noVBand="1" w:val="04A0"/>
        <w:tblInd w:w="120" w:type="dxa"/>
      </w:tblPr>
      <w:tblGrid>
        <w:gridCol w:w="1045"/>
        <w:gridCol w:w="1694"/>
        <w:gridCol w:w="2424"/>
        <w:gridCol w:w="2667"/>
        <w:gridCol w:w="1530"/>
      </w:tblGrid>
      <w:tr>
        <w:trPr>
          <w:tblHeader w:val="true"/>
        </w:trPr>
        <w:tc>
          <w:tcPr>
            <w:tcW w:type="dxa" w:w="104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层</w:t>
            </w:r>
          </w:p>
        </w:tc>
        <w:tc>
          <w:tcPr>
            <w:tcW w:type="dxa" w:w="16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组件</w:t>
            </w:r>
          </w:p>
        </w:tc>
        <w:tc>
          <w:tcPr>
            <w:tcW w:type="dxa" w:w="24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输入</w:t>
            </w:r>
          </w:p>
        </w:tc>
        <w:tc>
          <w:tcPr>
            <w:tcW w:type="dxa" w:w="26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w:t>
            </w:r>
          </w:p>
        </w:tc>
        <w:tc>
          <w:tcPr>
            <w:tcW w:type="dxa" w:w="15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开销</w:t>
            </w:r>
          </w:p>
        </w:tc>
      </w:tr>
      <w:tr>
        <w:tc>
          <w:tcPr>
            <w:tcW w:type="dxa" w:w="1045"/>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16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并行骨干（DFlash）</w:t>
            </w:r>
          </w:p>
        </w:tc>
        <w:tc>
          <w:tcPr>
            <w:tcW w:type="dxa" w:w="2424"/>
            <w:vAlign w:val="center"/>
            <w:tcMar>
              <w:top w:w="80" w:type="dxa"/>
              <w:start w:w="120" w:type="dxa"/>
              <w:bottom w:w="80" w:type="dxa"/>
              <w:end w:w="120" w:type="dxa"/>
            </w:tcMar>
          </w:tcPr>
          <w:p>
            <w:pPr>
              <w:spacing w:before="0" w:after="0" w:line="259" w:lineRule="auto"/>
            </w:pPr>
            <w:r>
              <w:rPr>
                <w:rFonts w:ascii="Calibri" w:hAnsi="Calibri" w:eastAsia="Microsoft YaHei"/>
                <w:sz w:val="18"/>
              </w:rPr>
              <w:t>锚点 D + mask positions</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所有位置的 logits U₁–U₄</w:t>
            </w:r>
          </w:p>
        </w:tc>
        <w:tc>
          <w:tcPr>
            <w:tcW w:type="dxa" w:w="15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一次非因果前向</w:t>
            </w:r>
          </w:p>
        </w:tc>
      </w:tr>
      <w:tr>
        <w:tc>
          <w:tcPr>
            <w:tcW w:type="dxa" w:w="1045"/>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1694"/>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Markov Head</w:t>
            </w:r>
          </w:p>
        </w:tc>
        <w:tc>
          <w:tcPr>
            <w:tcW w:type="dxa" w:w="24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U₁–U₄</w:t>
            </w:r>
          </w:p>
        </w:tc>
        <w:tc>
          <w:tcPr>
            <w:tcW w:type="dxa" w:w="2667"/>
            <w:vAlign w:val="center"/>
            <w:tcMar>
              <w:top w:w="80" w:type="dxa"/>
              <w:start w:w="120" w:type="dxa"/>
              <w:bottom w:w="80" w:type="dxa"/>
              <w:end w:w="120" w:type="dxa"/>
            </w:tcMar>
          </w:tcPr>
          <w:p>
            <w:pPr>
              <w:spacing w:before="0" w:after="0" w:line="259" w:lineRule="auto"/>
            </w:pPr>
            <w:r>
              <w:rPr>
                <w:rFonts w:ascii="Calibri" w:hAnsi="Calibri" w:eastAsia="Microsoft YaHei"/>
                <w:sz w:val="18"/>
              </w:rPr>
              <w:t>修正后的 token 序列 E, F, G, H</w:t>
            </w:r>
          </w:p>
        </w:tc>
        <w:tc>
          <w:tcPr>
            <w:tcW w:type="dxa" w:w="15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低秩偏置，近乎零成本</w:t>
            </w:r>
          </w:p>
        </w:tc>
      </w:tr>
      <w:tr>
        <w:tc>
          <w:tcPr>
            <w:tcW w:type="dxa" w:w="1045"/>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16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前缀调度器</w:t>
            </w:r>
          </w:p>
        </w:tc>
        <w:tc>
          <w:tcPr>
            <w:tcW w:type="dxa" w:w="242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置信度 c₁–c₄</w:t>
            </w:r>
          </w:p>
        </w:tc>
        <w:tc>
          <w:tcPr>
            <w:tcW w:type="dxa" w:w="266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保留高置信前缀；丢弃低置信尾部</w:t>
            </w:r>
          </w:p>
        </w:tc>
        <w:tc>
          <w:tcPr>
            <w:tcW w:type="dxa" w:w="15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仅比较阈值</w:t>
            </w:r>
          </w:p>
        </w:tc>
      </w:tr>
    </w:tbl>
    <w:p>
      <w:pPr>
        <w:spacing w:after="40"/>
      </w:pPr>
    </w:p>
    <w:p>
      <w:pPr/>
      <w:r>
        <w:rPr>
          <w:b/>
        </w:rPr>
        <w:t>并行骨干</w:t>
      </w:r>
      <w:r>
        <w:t>：锚点 D 与若干 mask 位置一起送入 DFlash，执行一次非因果前向，同时得到 U₁–U₄ 四个位置的 logits，吞吐与原始 DFlash 完全相同。</w:t>
      </w:r>
    </w:p>
    <w:p>
      <w:pPr/>
      <w:r>
        <w:rPr>
          <w:b/>
        </w:rPr>
        <w:t>Markov Head</w:t>
      </w:r>
      <w:r>
        <w:t>（用于修正并行生成 token 依赖关系的轻量序列头）：对 U₁–U₄ 从左到右依次施加</w:t>
      </w:r>
      <w:r>
        <w:rPr>
          <w:b/>
        </w:rPr>
        <w:t>低秩偏置（low-rank bias）</w:t>
      </w:r>
      <w:r>
        <w:t>。具体地，位置 k+1 的 logits 会叠加一个由位置 k 的已选 token 决定的偏置项——E 修正后得到 F，F 修正后得到 G，以此类推。Markov Head 本质上是一个轻量的亲和矩阵，学习 token 到 token 的接续概率，因为偏置矩阵是低秩的，附加延迟极小。</w:t>
      </w:r>
    </w:p>
    <w:p>
      <w:pPr/>
      <w:r>
        <w:rPr>
          <w:b/>
        </w:rPr>
        <w:t>前缀调度器（Prefix Scheduler）</w:t>
      </w:r>
      <w:r>
        <w:t>：每个位置同时输出一个置信度分数。调度器从左到右扫描，一旦置信度低于阈值，就将该位置及其右侧全部截断。这使得</w:t>
      </w:r>
      <w:r>
        <w:rPr>
          <w:b/>
        </w:rPr>
        <w:t>模型不确定时草稿自动缩短</w:t>
      </w:r>
      <w:r>
        <w:t>，避免将低质量 token 送入 Target 浪费批次容量。</w:t>
      </w:r>
    </w:p>
    <w:p>
      <w:pPr>
        <w:pStyle w:val="Heading3"/>
      </w:pPr>
      <w:r>
        <w:t>③ Parallel Verify：验证与发射</w:t>
      </w:r>
    </w:p>
    <w:p>
      <w:pPr/>
      <w:r>
        <w:t>Target 模型对保留的草稿 token 执行一次并行验证。被接受的直接采纳；第一个被拒绝的位置由 Target 重采样，产出修正 token 作为下一轮锚点，循环重新开始。</w:t>
      </w:r>
    </w:p>
    <w:p>
      <w:pPr>
        <w:pStyle w:val="Heading2"/>
      </w:pPr>
      <w:r>
        <w:t>因果链</w:t>
      </w:r>
    </w:p>
    <w:p>
      <w:pPr/>
      <w:r>
        <w:t>```</w:t>
      </w:r>
    </w:p>
    <w:p>
      <w:pPr/>
      <w:r>
        <w:t>纯并行生成 → token 间依赖断裂 → 输出一致性下降</w:t>
      </w:r>
    </w:p>
    <w:p>
      <w:pPr/>
      <w:r>
        <w:t>→ 引入 Markov Head（低秩偏置，从左到右逐位修正）</w:t>
      </w:r>
    </w:p>
    <w:p>
      <w:pPr/>
      <w:r>
        <w:t>→ 恢复块内条件依赖 → 接受率回升</w:t>
      </w:r>
    </w:p>
    <w:p>
      <w:pPr/>
      <w:r>
        <w:t>→ 叠加置信度头 → 前缀调度器截断低置信尾部</w:t>
      </w:r>
    </w:p>
    <w:p>
      <w:pPr/>
      <w:r>
        <w:t>→ 草稿长度自适应 → Target 验证开销进一步降低</w:t>
      </w:r>
    </w:p>
    <w:p>
      <w:pPr/>
      <w:r>
        <w:t>```</w:t>
      </w:r>
    </w:p>
    <w:p>
      <w:pPr>
        <w:pStyle w:val="Heading2"/>
      </w:pPr>
      <w:r>
        <w:t>边界与现状</w:t>
      </w:r>
    </w:p>
    <w:p>
      <w:pPr/>
      <w:r>
        <w:t>Markov Head 与置信度头是两个独立机制，可以单独启用或组合使用。目前在 Speculators（一个覆盖训练、转换到 vLLM 部署的投机解码库）训练侧二者均已支持；但在 vLLM 推理端，</w:t>
      </w:r>
      <w:r>
        <w:rPr>
          <w:b/>
        </w:rPr>
        <w:t>置信度头的推理支持尚未完全就绪</w:t>
      </w:r>
      <w:r>
        <w:t>，相关工作仍在进行中。因此，当前线上部署主要依赖 Markov Head 修正来提升接受率，置信度调度的实际收益还有待工程侧的进一步验证。</w:t>
      </w:r>
    </w:p>
    <w:p>
      <w:pPr>
        <w:pStyle w:val="Heading1"/>
      </w:pPr>
      <w:r>
        <w:t>四、DSpark 性能验证与边界条件</w:t>
      </w:r>
    </w:p>
    <w:p>
      <w:pPr>
        <w:pStyle w:val="Heading2"/>
      </w:pPr>
      <w:r>
        <w:t>离线评测设置</w:t>
      </w:r>
    </w:p>
    <w:p>
      <w:pPr/>
      <w:r>
        <w:t>为了公平比较 EAGLE-3（自回归草稿）、DFlash（非因果并行草稿）和 DSpark（并行骨干 + Markov Head）三种策略，评测在以下受控条件下进行：</w:t>
      </w:r>
    </w:p>
    <w:tbl>
      <w:tblPr>
        <w:tblStyle w:val="TableGrid"/>
        <w:tblW w:type="dxa" w:w="9360"/>
        <w:jc w:val="left"/>
        <w:tblLayout w:type="fixed"/>
        <w:tblLook w:firstColumn="1" w:firstRow="1" w:lastColumn="0" w:lastRow="0" w:noHBand="0" w:noVBand="1" w:val="04A0"/>
        <w:tblInd w:w="120" w:type="dxa"/>
      </w:tblPr>
      <w:tblGrid>
        <w:gridCol w:w="2634"/>
        <w:gridCol w:w="6726"/>
      </w:tblGrid>
      <w:tr>
        <w:trPr>
          <w:tblHeader w:val="true"/>
        </w:trPr>
        <w:tc>
          <w:tcPr>
            <w:tcW w:type="dxa" w:w="26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6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取值</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目标模型</w:t>
            </w:r>
          </w:p>
        </w:tc>
        <w:tc>
          <w:tcPr>
            <w:tcW w:type="dxa" w:w="6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Qwen3-14B</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采样温度</w:t>
            </w:r>
          </w:p>
        </w:tc>
        <w:tc>
          <w:tcPr>
            <w:tcW w:type="dxa" w:w="6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草稿模式</w:t>
            </w:r>
          </w:p>
        </w:tc>
        <w:tc>
          <w:tcPr>
            <w:tcW w:type="dxa" w:w="6726"/>
            <w:vAlign w:val="center"/>
            <w:tcMar>
              <w:top w:w="80" w:type="dxa"/>
              <w:start w:w="120" w:type="dxa"/>
              <w:bottom w:w="80" w:type="dxa"/>
              <w:end w:w="120" w:type="dxa"/>
            </w:tcMar>
          </w:tcPr>
          <w:p>
            <w:pPr>
              <w:spacing w:before="0" w:after="0" w:line="259" w:lineRule="auto"/>
            </w:pPr>
            <w:r>
              <w:rPr>
                <w:rFonts w:ascii="Calibri" w:hAnsi="Calibri" w:eastAsia="Microsoft YaHei"/>
                <w:sz w:val="18"/>
              </w:rPr>
              <w:t>链式草稿（chained drafting）</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置信度调度器</w:t>
            </w:r>
          </w:p>
        </w:tc>
        <w:tc>
          <w:tcPr>
            <w:tcW w:type="dxa" w:w="6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关闭</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块长范围</w:t>
            </w:r>
          </w:p>
        </w:tc>
        <w:tc>
          <w:tcPr>
            <w:tcW w:type="dxa" w:w="6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 16</w:t>
            </w:r>
          </w:p>
        </w:tc>
      </w:tr>
      <w:tr>
        <w:tc>
          <w:tcPr>
            <w:tcW w:type="dxa" w:w="2634"/>
            <w:vAlign w:val="center"/>
            <w:tcMar>
              <w:top w:w="80" w:type="dxa"/>
              <w:start w:w="120" w:type="dxa"/>
              <w:bottom w:w="80" w:type="dxa"/>
              <w:end w:w="120" w:type="dxa"/>
            </w:tcMar>
          </w:tcPr>
          <w:p>
            <w:pPr>
              <w:spacing w:before="0" w:after="0" w:line="259" w:lineRule="auto"/>
            </w:pPr>
            <w:r>
              <w:rPr>
                <w:rFonts w:ascii="Calibri" w:hAnsi="Calibri" w:eastAsia="Microsoft YaHei"/>
                <w:sz w:val="18"/>
              </w:rPr>
              <w:t>批大小</w:t>
            </w:r>
          </w:p>
        </w:tc>
        <w:tc>
          <w:tcPr>
            <w:tcW w:type="dxa" w:w="6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r>
    </w:tbl>
    <w:p>
      <w:pPr>
        <w:spacing w:after="40"/>
      </w:pPr>
    </w:p>
    <w:p>
      <w:pPr/>
      <w:r>
        <w:t>温度设为 1.0 意味着采样随机性最大，对草稿模型的预测精度要求更高；关闭置信度调度器则排除了自适应裁剪对结果的干扰，使对比更纯粹地反映草稿质量本身。</w:t>
      </w:r>
    </w:p>
    <w:p>
      <w:pPr>
        <w:pStyle w:val="Heading2"/>
      </w:pPr>
      <w:r>
        <w:t>基准数据一览</w:t>
      </w:r>
    </w:p>
    <w:p>
      <w:pPr/>
      <w:r>
        <w:t>下图展示了三种算法在五个代表性任务上的接受长度对比，是判断 Markov Head 实际收益的核心证据。</w:t>
      </w:r>
    </w:p>
    <w:p>
      <w:pPr>
        <w:keepNext/>
        <w:keepLines/>
        <w:spacing w:before="120" w:after="0"/>
        <w:jc w:val="center"/>
      </w:pPr>
      <w:r>
        <w:drawing>
          <wp:inline xmlns:a="http://schemas.openxmlformats.org/drawingml/2006/main" xmlns:pic="http://schemas.openxmlformats.org/drawingml/2006/picture">
            <wp:extent cx="5943600" cy="3343275"/>
            <wp:docPr id="4" name="Picture 4" descr="DSpark 离线效果对比表，展示三种算法在五个数据集上的接受长度及宏平均提升" title="DSpark 离线效果对比表，展示三种算法在五个数据集上的接受长度及宏平均提升"/>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3343275"/>
                    </a:xfrm>
                    <a:prstGeom prst="rect"/>
                  </pic:spPr>
                </pic:pic>
              </a:graphicData>
            </a:graphic>
          </wp:inline>
        </w:drawing>
      </w:r>
    </w:p>
    <w:p>
      <w:pPr/>
      <w:r>
        <w:rPr>
          <w:i/>
        </w:rPr>
        <w:t>图注：离线效果对比——DSpark 在所有基准上全面领先两条基线。来源：演讲 PPT 第 11 页</w:t>
      </w:r>
    </w:p>
    <w:p>
      <w:pPr/>
      <w:r>
        <w:t>指标是</w:t>
      </w:r>
      <w:r>
        <w:rPr>
          <w:b/>
        </w:rPr>
        <w:t>接受长度（含 bonus token）</w:t>
      </w:r>
      <w:r>
        <w:t>，即目标模型一次验证后实际采纳的 token 数，数值越大说明草稿越准、加速越明显：</w:t>
      </w:r>
    </w:p>
    <w:tbl>
      <w:tblPr>
        <w:tblStyle w:val="TableGrid"/>
        <w:tblW w:type="dxa" w:w="9360"/>
        <w:jc w:val="left"/>
        <w:tblLayout w:type="fixed"/>
        <w:tblLook w:firstColumn="1" w:firstRow="1" w:lastColumn="0" w:lastRow="0" w:noHBand="0" w:noVBand="1" w:val="04A0"/>
        <w:tblInd w:w="120" w:type="dxa"/>
      </w:tblPr>
      <w:tblGrid>
        <w:gridCol w:w="1898"/>
        <w:gridCol w:w="1636"/>
        <w:gridCol w:w="1505"/>
        <w:gridCol w:w="1505"/>
        <w:gridCol w:w="2816"/>
      </w:tblGrid>
      <w:tr>
        <w:trPr>
          <w:tblHeader w:val="true"/>
        </w:trPr>
        <w:tc>
          <w:tcPr>
            <w:tcW w:type="dxa" w:w="189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数据集</w:t>
            </w:r>
          </w:p>
        </w:tc>
        <w:tc>
          <w:tcPr>
            <w:tcW w:type="dxa" w:w="16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EAGLE-3</w:t>
            </w:r>
          </w:p>
        </w:tc>
        <w:tc>
          <w:tcPr>
            <w:tcW w:type="dxa" w:w="15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DFlash</w:t>
            </w:r>
          </w:p>
        </w:tc>
        <w:tc>
          <w:tcPr>
            <w:tcW w:type="dxa" w:w="15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DSpark</w:t>
            </w:r>
          </w:p>
        </w:tc>
        <w:tc>
          <w:tcPr>
            <w:tcW w:type="dxa" w:w="28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DSpark 领先 DFlash</w:t>
            </w:r>
          </w:p>
        </w:tc>
      </w:tr>
      <w:tr>
        <w:tc>
          <w:tcPr>
            <w:tcW w:type="dxa" w:w="1898"/>
            <w:vAlign w:val="center"/>
            <w:tcMar>
              <w:top w:w="80" w:type="dxa"/>
              <w:start w:w="120" w:type="dxa"/>
              <w:bottom w:w="80" w:type="dxa"/>
              <w:end w:w="120" w:type="dxa"/>
            </w:tcMar>
          </w:tcPr>
          <w:p>
            <w:pPr>
              <w:spacing w:before="0" w:after="0" w:line="259" w:lineRule="auto"/>
            </w:pPr>
            <w:r>
              <w:rPr>
                <w:rFonts w:ascii="Calibri" w:hAnsi="Calibri" w:eastAsia="Microsoft YaHei"/>
                <w:sz w:val="18"/>
              </w:rPr>
              <w:t>GSM8K</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5.24</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5.41</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6.21</w:t>
            </w:r>
          </w:p>
        </w:tc>
        <w:tc>
          <w:tcPr>
            <w:tcW w:type="dxa" w:w="28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+14.8%</w:t>
            </w:r>
          </w:p>
        </w:tc>
      </w:tr>
      <w:tr>
        <w:tc>
          <w:tcPr>
            <w:tcW w:type="dxa" w:w="1898"/>
            <w:vAlign w:val="center"/>
            <w:tcMar>
              <w:top w:w="80" w:type="dxa"/>
              <w:start w:w="120" w:type="dxa"/>
              <w:bottom w:w="80" w:type="dxa"/>
              <w:end w:w="120" w:type="dxa"/>
            </w:tcMar>
          </w:tcPr>
          <w:p>
            <w:pPr>
              <w:spacing w:before="0" w:after="0" w:line="259" w:lineRule="auto"/>
            </w:pPr>
            <w:r>
              <w:rPr>
                <w:rFonts w:ascii="Calibri" w:hAnsi="Calibri" w:eastAsia="Microsoft YaHei"/>
                <w:sz w:val="18"/>
              </w:rPr>
              <w:t>MATH500</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4.60</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4.84</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5.74</w:t>
            </w:r>
          </w:p>
        </w:tc>
        <w:tc>
          <w:tcPr>
            <w:tcW w:type="dxa" w:w="28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+18.6%</w:t>
            </w:r>
          </w:p>
        </w:tc>
      </w:tr>
      <w:tr>
        <w:tc>
          <w:tcPr>
            <w:tcW w:type="dxa" w:w="1898"/>
            <w:vAlign w:val="center"/>
            <w:tcMar>
              <w:top w:w="80" w:type="dxa"/>
              <w:start w:w="120" w:type="dxa"/>
              <w:bottom w:w="80" w:type="dxa"/>
              <w:end w:w="120" w:type="dxa"/>
            </w:tcMar>
          </w:tcPr>
          <w:p>
            <w:pPr>
              <w:spacing w:before="0" w:after="0" w:line="259" w:lineRule="auto"/>
            </w:pPr>
            <w:r>
              <w:rPr>
                <w:rFonts w:ascii="Calibri" w:hAnsi="Calibri" w:eastAsia="Microsoft YaHei"/>
                <w:sz w:val="18"/>
              </w:rPr>
              <w:t>MBPP</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3.81</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4.44</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5.26</w:t>
            </w:r>
          </w:p>
        </w:tc>
        <w:tc>
          <w:tcPr>
            <w:tcW w:type="dxa" w:w="28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+18.5%</w:t>
            </w:r>
          </w:p>
        </w:tc>
      </w:tr>
      <w:tr>
        <w:tc>
          <w:tcPr>
            <w:tcW w:type="dxa" w:w="1898"/>
            <w:vAlign w:val="center"/>
            <w:tcMar>
              <w:top w:w="80" w:type="dxa"/>
              <w:start w:w="120" w:type="dxa"/>
              <w:bottom w:w="80" w:type="dxa"/>
              <w:end w:w="120" w:type="dxa"/>
            </w:tcMar>
          </w:tcPr>
          <w:p>
            <w:pPr>
              <w:spacing w:before="0" w:after="0" w:line="259" w:lineRule="auto"/>
            </w:pPr>
            <w:r>
              <w:rPr>
                <w:rFonts w:ascii="Calibri" w:hAnsi="Calibri" w:eastAsia="Microsoft YaHei"/>
                <w:sz w:val="18"/>
              </w:rPr>
              <w:t>HumanEval</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4.14</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4.59</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5.43</w:t>
            </w:r>
          </w:p>
        </w:tc>
        <w:tc>
          <w:tcPr>
            <w:tcW w:type="dxa" w:w="28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+18.3%</w:t>
            </w:r>
          </w:p>
        </w:tc>
      </w:tr>
      <w:tr>
        <w:tc>
          <w:tcPr>
            <w:tcW w:type="dxa" w:w="1898"/>
            <w:vAlign w:val="center"/>
            <w:tcMar>
              <w:top w:w="80" w:type="dxa"/>
              <w:start w:w="120" w:type="dxa"/>
              <w:bottom w:w="80" w:type="dxa"/>
              <w:end w:w="120" w:type="dxa"/>
            </w:tcMar>
          </w:tcPr>
          <w:p>
            <w:pPr>
              <w:spacing w:before="0" w:after="0" w:line="259" w:lineRule="auto"/>
            </w:pPr>
            <w:r>
              <w:rPr>
                <w:rFonts w:ascii="Calibri" w:hAnsi="Calibri" w:eastAsia="Microsoft YaHei"/>
                <w:sz w:val="18"/>
              </w:rPr>
              <w:t>MT-Bench</w:t>
            </w:r>
          </w:p>
        </w:tc>
        <w:tc>
          <w:tcPr>
            <w:tcW w:type="dxa" w:w="163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2.62</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3.10</w:t>
            </w:r>
          </w:p>
        </w:tc>
        <w:tc>
          <w:tcPr>
            <w:tcW w:type="dxa" w:w="1505"/>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3.70</w:t>
            </w:r>
          </w:p>
        </w:tc>
        <w:tc>
          <w:tcPr>
            <w:tcW w:type="dxa" w:w="28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+19.4%</w:t>
            </w:r>
          </w:p>
        </w:tc>
      </w:tr>
    </w:tbl>
    <w:p>
      <w:pPr>
        <w:spacing w:after="40"/>
      </w:pPr>
    </w:p>
    <w:p>
      <w:pPr/>
      <w:r>
        <w:t>表格下方的宏平均汇总：</w:t>
      </w:r>
    </w:p>
    <w:p>
      <w:pPr>
        <w:spacing w:after="80" w:line="290" w:lineRule="auto"/>
        <w:numPr>
          <w:ilvl w:val="0"/>
          <w:numId w:val="10"/>
        </w:numPr>
      </w:pPr>
      <w:r>
        <w:rPr>
          <w:b/>
        </w:rPr>
        <w:t>+30.0%</w:t>
      </w:r>
      <w:r>
        <w:t xml:space="preserve"> ——DSpark 相对 EAGLE-3 的宏平均接受长度提升</w:t>
      </w:r>
    </w:p>
    <w:p>
      <w:pPr>
        <w:spacing w:after="80" w:line="290" w:lineRule="auto"/>
        <w:numPr>
          <w:ilvl w:val="0"/>
          <w:numId w:val="10"/>
        </w:numPr>
      </w:pPr>
      <w:r>
        <w:rPr>
          <w:b/>
        </w:rPr>
        <w:t>+18.3%</w:t>
      </w:r>
      <w:r>
        <w:t xml:space="preserve"> ——DSpark 相对 DFlash 的宏平均提升</w:t>
      </w:r>
    </w:p>
    <w:p>
      <w:pPr>
        <w:spacing w:after="80" w:line="290" w:lineRule="auto"/>
        <w:numPr>
          <w:ilvl w:val="0"/>
          <w:numId w:val="10"/>
        </w:numPr>
      </w:pPr>
      <w:r>
        <w:rPr>
          <w:b/>
        </w:rPr>
        <w:t>+0.2\~1.3%</w:t>
      </w:r>
      <w:r>
        <w:t xml:space="preserve"> ——Markov Head 引入的单轮延迟开销，块长从 4 增至 16 时逐渐增大，但始终不超过 1.3%</w:t>
      </w:r>
    </w:p>
    <w:p>
      <w:pPr>
        <w:pStyle w:val="Heading2"/>
      </w:pPr>
      <w:r>
        <w:t>为什么 Markov Head 如此高效</w:t>
      </w:r>
    </w:p>
    <w:p>
      <w:pPr>
        <w:spacing w:after="80" w:line="290" w:lineRule="auto"/>
        <w:numPr>
          <w:ilvl w:val="0"/>
          <w:numId w:val="14"/>
        </w:numPr>
      </w:pPr>
      <w:r>
        <w:rPr>
          <w:b/>
        </w:rPr>
        <w:t>块内依赖缺失 → DFlash 精度衰减。</w:t>
      </w:r>
      <w:r>
        <w:t xml:space="preserve"> DFlash 采用非因果 mask 并行生成一整块 token，块内位置之间彼此看不到。块内位置接受率数据显示，DFlash 在数学任务上从首位约 0.88 衰减到块尾约 0.78。</w:t>
      </w:r>
    </w:p>
    <w:p>
      <w:pPr>
        <w:spacing w:after="80" w:line="290" w:lineRule="auto"/>
        <w:numPr>
          <w:ilvl w:val="0"/>
          <w:numId w:val="14"/>
        </w:numPr>
      </w:pPr>
      <w:r>
        <w:rPr>
          <w:b/>
        </w:rPr>
        <w:t>Markov Head 注入低秩偏置 → 块内精度恢复。</w:t>
      </w:r>
      <w:r>
        <w:t xml:space="preserve"> 从左到右为每个下一位置叠加低秩偏置，修正并行带来的独立性假设误差。同一指标下，DSpark 从约 0.93 起步且全块保持平稳。</w:t>
      </w:r>
    </w:p>
    <w:p>
      <w:pPr>
        <w:spacing w:after="80" w:line="290" w:lineRule="auto"/>
        <w:numPr>
          <w:ilvl w:val="0"/>
          <w:numId w:val="14"/>
        </w:numPr>
      </w:pPr>
      <w:r>
        <w:rPr>
          <w:b/>
        </w:rPr>
        <w:t>位置接受率提升 → 接受长度增加。</w:t>
      </w:r>
      <w:r>
        <w:t xml:space="preserve"> 接受长度本质上由各位置接受率的乘积决定：每个位置多几个百分点，最终可累积出 18–30% 的增长。</w:t>
      </w:r>
    </w:p>
    <w:p>
      <w:pPr>
        <w:spacing w:after="80" w:line="290" w:lineRule="auto"/>
        <w:numPr>
          <w:ilvl w:val="0"/>
          <w:numId w:val="14"/>
        </w:numPr>
      </w:pPr>
      <w:r>
        <w:rPr>
          <w:b/>
        </w:rPr>
        <w:t>低秩结构 → 极低延迟开销。</w:t>
      </w:r>
      <w:r>
        <w:t xml:space="preserve"> 序列头参数量远小于并行骨干，额外计算仅占单轮推理时间的 0.2–1.3%。付出不到 1.3% 的时间代价，换回 18–30% 的有效 token 增益。</w:t>
      </w:r>
    </w:p>
    <w:p>
      <w:pPr>
        <w:pStyle w:val="Heading2"/>
      </w:pPr>
      <w:r>
        <w:t>待验证与适用边界</w:t>
      </w:r>
    </w:p>
    <w:p>
      <w:pPr>
        <w:spacing w:after="80" w:line="290" w:lineRule="auto"/>
        <w:numPr>
          <w:ilvl w:val="0"/>
          <w:numId w:val="10"/>
        </w:numPr>
      </w:pPr>
      <w:r>
        <w:rPr>
          <w:b/>
        </w:rPr>
        <w:t>温度敏感性：</w:t>
      </w:r>
      <w:r>
        <w:t xml:space="preserve"> 上述结果均在温度 1.0 下取得。低温时草稿命中率通常更高，DSpark 的相对优势幅度可能变化，但演讲材料未给出低温对比数据。</w:t>
      </w:r>
    </w:p>
    <w:p>
      <w:pPr>
        <w:spacing w:after="80" w:line="290" w:lineRule="auto"/>
        <w:numPr>
          <w:ilvl w:val="0"/>
          <w:numId w:val="10"/>
        </w:numPr>
      </w:pPr>
      <w:r>
        <w:rPr>
          <w:b/>
        </w:rPr>
        <w:t>在线端到端延迟：</w:t>
      </w:r>
      <w:r>
        <w:t xml:space="preserve"> 此处评测聚焦"接受长度"这一离线指标。实际部署的端到端加速比还受调度器效率、KV 缓存管理等因素影响，需要在线环境另行验证。</w:t>
      </w:r>
    </w:p>
    <w:p>
      <w:pPr>
        <w:spacing w:after="80" w:line="290" w:lineRule="auto"/>
        <w:numPr>
          <w:ilvl w:val="0"/>
          <w:numId w:val="10"/>
        </w:numPr>
      </w:pPr>
      <w:r>
        <w:rPr>
          <w:b/>
        </w:rPr>
        <w:t>置信度调度器的叠加效果：</w:t>
      </w:r>
      <w:r>
        <w:t xml:space="preserve"> 本表关闭了该调度器，数据仅体现 Markov Head 本身的贡献。</w:t>
      </w:r>
    </w:p>
    <w:p>
      <w:pPr/>
      <w:r>
        <w:rPr>
          <w:b/>
        </w:rPr>
        <w:t>小结：</w:t>
      </w:r>
      <w:r>
        <w:t xml:space="preserve"> 在受控离线条件下，DSpark 以不超过 1.3% 的延迟代价实现了对两条基线的全面领先。然而，训练这样一个高精度 Drafter，首先需要大规模、高质量的隐藏状态数据——这正是工程落地中最大的瓶颈所在。</w:t>
      </w:r>
    </w:p>
    <w:p>
      <w:pPr>
        <w:pStyle w:val="Heading1"/>
      </w:pPr>
      <w:r>
        <w:t>五、训练数据瓶颈：离线落盘的带宽墙</w:t>
      </w:r>
    </w:p>
    <w:p>
      <w:pPr>
        <w:pStyle w:val="Heading2"/>
      </w:pPr>
      <w:r>
        <w:t>两条路径的全景对比</w:t>
      </w:r>
    </w:p>
    <w:p>
      <w:pPr/>
      <w:r>
        <w:t>Drafter 的知识蒸馏建立在 Target 模型的中间层激活之上，数据规模往往达到数十亿 token。获取这些隐藏状态存在截然不同的两条工程路径。下图给出了离线落盘与在线流式的完整对比，是理解后续两节工程设计的出发点。</w:t>
      </w:r>
    </w:p>
    <w:p>
      <w:pPr>
        <w:keepNext/>
        <w:keepLines/>
        <w:spacing w:before="120" w:after="0"/>
        <w:jc w:val="center"/>
      </w:pPr>
      <w:r>
        <w:drawing>
          <wp:inline xmlns:a="http://schemas.openxmlformats.org/drawingml/2006/main" xmlns:pic="http://schemas.openxmlformats.org/drawingml/2006/picture">
            <wp:extent cx="5943600" cy="3343275"/>
            <wp:docPr id="5" name="Picture 5" descr="离线落盘与在线流式两条隐藏状态获取路径的对比示意" title="离线落盘与在线流式两条隐藏状态获取路径的对比示意"/>
            <wp:cNvGraphicFramePr>
              <a:graphicFrameLocks noChangeAspect="1"/>
            </wp:cNvGraphicFramePr>
            <a:graphic>
              <a:graphicData uri="http://schemas.openxmlformats.org/drawingml/2006/picture">
                <pic:pic>
                  <pic:nvPicPr>
                    <pic:cNvPr id="0" name="slide-13.png"/>
                    <pic:cNvPicPr/>
                  </pic:nvPicPr>
                  <pic:blipFill>
                    <a:blip r:embed="rId17"/>
                    <a:stretch>
                      <a:fillRect/>
                    </a:stretch>
                  </pic:blipFill>
                  <pic:spPr>
                    <a:xfrm>
                      <a:off x="0" y="0"/>
                      <a:ext cx="5943600" cy="3343275"/>
                    </a:xfrm>
                    <a:prstGeom prst="rect"/>
                  </pic:spPr>
                </pic:pic>
              </a:graphicData>
            </a:graphic>
          </wp:inline>
        </w:drawing>
      </w:r>
    </w:p>
    <w:p>
      <w:pPr/>
      <w:r>
        <w:rPr>
          <w:i/>
        </w:rPr>
        <w:t>图注：离线路径需经磁盘中转，在线路径直接 produce → consume → free，路径上没有持久存储。来源：演讲 PPT 第 13 页</w:t>
      </w:r>
    </w:p>
    <w:p>
      <w:pPr/>
      <w:r>
        <w:t xml:space="preserve">图中上半部分展示了离线路径：vLLM Target 执行 prefill 后，将隐藏状态 </w:t>
      </w:r>
      <w:r>
        <w:rPr>
          <w:b/>
        </w:rPr>
        <w:t>write</w:t>
      </w:r>
      <w:r>
        <w:t xml:space="preserve"> 到磁盘，形成巨量的 hidden-state dump 文件；训练器再从磁盘 </w:t>
      </w:r>
      <w:r>
        <w:rPr>
          <w:b/>
        </w:rPr>
        <w:t>read</w:t>
      </w:r>
      <w:r>
        <w:t xml:space="preserve"> 回这些数据。下半部分是在线路径：vLLM Target 产出的隐藏状态直接以流式方式送达训练器，用完即弃，路径上不存在任何持久化存储节点。</w:t>
      </w:r>
    </w:p>
    <w:p>
      <w:pPr>
        <w:pStyle w:val="Heading2"/>
      </w:pPr>
      <w:r>
        <w:t>离线路径的三重致命瓶颈</w:t>
      </w:r>
    </w:p>
    <w:tbl>
      <w:tblPr>
        <w:tblStyle w:val="TableGrid"/>
        <w:tblW w:type="dxa" w:w="9360"/>
        <w:jc w:val="left"/>
        <w:tblLayout w:type="fixed"/>
        <w:tblLook w:firstColumn="1" w:firstRow="1" w:lastColumn="0" w:lastRow="0" w:noHBand="0" w:noVBand="1" w:val="04A0"/>
        <w:tblInd w:w="120" w:type="dxa"/>
      </w:tblPr>
      <w:tblGrid>
        <w:gridCol w:w="1566"/>
        <w:gridCol w:w="4596"/>
        <w:gridCol w:w="3198"/>
      </w:tblGrid>
      <w:tr>
        <w:trPr>
          <w:tblHeader w:val="true"/>
        </w:trPr>
        <w:tc>
          <w:tcPr>
            <w:tcW w:type="dxa" w:w="15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环节</w:t>
            </w:r>
          </w:p>
        </w:tc>
        <w:tc>
          <w:tcPr>
            <w:tcW w:type="dxa" w:w="45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瓶颈描述</w:t>
            </w:r>
          </w:p>
        </w:tc>
        <w:tc>
          <w:tcPr>
            <w:tcW w:type="dxa" w:w="319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后果</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写入</w:t>
            </w:r>
          </w:p>
        </w:tc>
        <w:tc>
          <w:tcPr>
            <w:tcW w:type="dxa" w:w="4596"/>
            <w:vAlign w:val="center"/>
            <w:tcMar>
              <w:top w:w="80" w:type="dxa"/>
              <w:start w:w="120" w:type="dxa"/>
              <w:bottom w:w="80" w:type="dxa"/>
              <w:end w:w="120" w:type="dxa"/>
            </w:tcMar>
          </w:tcPr>
          <w:p>
            <w:pPr>
              <w:spacing w:before="0" w:after="0" w:line="259" w:lineRule="auto"/>
            </w:pPr>
            <w:r>
              <w:rPr>
                <w:rFonts w:ascii="Calibri" w:hAnsi="Calibri" w:eastAsia="Microsoft YaHei"/>
                <w:sz w:val="18"/>
              </w:rPr>
              <w:t>每个 token 的多层隐藏状态体积巨大，写入磁盘带宽被打满</w:t>
            </w:r>
          </w:p>
        </w:tc>
        <w:tc>
          <w:tcPr>
            <w:tcW w:type="dxa" w:w="31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落盘耗时从数小时膨胀到数天</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回读</w:t>
            </w:r>
          </w:p>
        </w:tc>
        <w:tc>
          <w:tcPr>
            <w:tcW w:type="dxa" w:w="4596"/>
            <w:vAlign w:val="center"/>
            <w:tcMar>
              <w:top w:w="80" w:type="dxa"/>
              <w:start w:w="120" w:type="dxa"/>
              <w:bottom w:w="80" w:type="dxa"/>
              <w:end w:w="120" w:type="dxa"/>
            </w:tcMar>
          </w:tcPr>
          <w:p>
            <w:pPr>
              <w:spacing w:before="0" w:after="0" w:line="259" w:lineRule="auto"/>
            </w:pPr>
            <w:r>
              <w:rPr>
                <w:rFonts w:ascii="Calibri" w:hAnsi="Calibri" w:eastAsia="Microsoft YaHei"/>
                <w:sz w:val="18"/>
              </w:rPr>
              <w:t>训练时需从磁盘反复读回，磁盘 I/O 远低于显存带宽</w:t>
            </w:r>
          </w:p>
        </w:tc>
        <w:tc>
          <w:tcPr>
            <w:tcW w:type="dxa" w:w="3198"/>
            <w:vAlign w:val="center"/>
            <w:tcMar>
              <w:top w:w="80" w:type="dxa"/>
              <w:start w:w="120" w:type="dxa"/>
              <w:bottom w:w="80" w:type="dxa"/>
              <w:end w:w="120" w:type="dxa"/>
            </w:tcMar>
          </w:tcPr>
          <w:p>
            <w:pPr>
              <w:spacing w:before="0" w:after="0" w:line="259" w:lineRule="auto"/>
            </w:pPr>
            <w:r>
              <w:rPr>
                <w:rFonts w:ascii="Calibri" w:hAnsi="Calibri" w:eastAsia="Microsoft YaHei"/>
                <w:sz w:val="18"/>
              </w:rPr>
              <w:t>训练 GPU 长时间空等，利用率骤降</w:t>
            </w:r>
          </w:p>
        </w:tc>
      </w:tr>
      <w:tr>
        <w:tc>
          <w:tcPr>
            <w:tcW w:type="dxa" w:w="1566"/>
            <w:vAlign w:val="center"/>
            <w:tcMar>
              <w:top w:w="80" w:type="dxa"/>
              <w:start w:w="120" w:type="dxa"/>
              <w:bottom w:w="80" w:type="dxa"/>
              <w:end w:w="120" w:type="dxa"/>
            </w:tcMar>
          </w:tcPr>
          <w:p>
            <w:pPr>
              <w:spacing w:before="0" w:after="0" w:line="259" w:lineRule="auto"/>
            </w:pPr>
            <w:r>
              <w:rPr>
                <w:rFonts w:ascii="Calibri" w:hAnsi="Calibri" w:eastAsia="Microsoft YaHei"/>
                <w:b/>
                <w:sz w:val="18"/>
              </w:rPr>
              <w:t>陈旧</w:t>
            </w:r>
          </w:p>
        </w:tc>
        <w:tc>
          <w:tcPr>
            <w:tcW w:type="dxa" w:w="4596"/>
            <w:vAlign w:val="center"/>
            <w:tcMar>
              <w:top w:w="80" w:type="dxa"/>
              <w:start w:w="120" w:type="dxa"/>
              <w:bottom w:w="80" w:type="dxa"/>
              <w:end w:w="120" w:type="dxa"/>
            </w:tcMar>
          </w:tcPr>
          <w:p>
            <w:pPr>
              <w:spacing w:before="0" w:after="0" w:line="259" w:lineRule="auto"/>
            </w:pPr>
            <w:r>
              <w:rPr>
                <w:rFonts w:ascii="Calibri" w:hAnsi="Calibri" w:eastAsia="Microsoft YaHei"/>
                <w:sz w:val="18"/>
              </w:rPr>
              <w:t>落盘数据严格绑定当次 Target 模型权重与精度配置</w:t>
            </w:r>
          </w:p>
        </w:tc>
        <w:tc>
          <w:tcPr>
            <w:tcW w:type="dxa" w:w="3198"/>
            <w:vAlign w:val="center"/>
            <w:tcMar>
              <w:top w:w="80" w:type="dxa"/>
              <w:start w:w="120" w:type="dxa"/>
              <w:bottom w:w="80" w:type="dxa"/>
              <w:end w:w="120" w:type="dxa"/>
            </w:tcMar>
          </w:tcPr>
          <w:p>
            <w:pPr>
              <w:spacing w:before="0" w:after="0" w:line="259" w:lineRule="auto"/>
            </w:pPr>
            <w:r>
              <w:rPr>
                <w:rFonts w:ascii="Calibri" w:hAnsi="Calibri" w:eastAsia="Microsoft YaHei"/>
                <w:sz w:val="18"/>
              </w:rPr>
              <w:t>模型或量化方案一旦变更，全部数据作废</w:t>
            </w:r>
          </w:p>
        </w:tc>
      </w:tr>
    </w:tbl>
    <w:p>
      <w:pPr>
        <w:spacing w:after="40"/>
      </w:pPr>
    </w:p>
    <w:p>
      <w:pPr/>
      <w:r>
        <w:t>用一个具体数据锚点来感受规模：以 GLM-5.2 在 OpenPerfectBlend 数据集上重生成为例，累计产出</w:t>
      </w:r>
      <w:r>
        <w:rPr>
          <w:b/>
        </w:rPr>
        <w:t>约 239 TB</w:t>
      </w:r>
      <w:r>
        <w:t xml:space="preserve"> 的 dump 文件。这在绝大多数生产环境中都不现实。</w:t>
      </w:r>
    </w:p>
    <w:p>
      <w:pPr/>
      <w:r>
        <w:t>更致命的是陈旧问题：假设团队花费数天完成落盘，此时业务侧对 Target 模型做了一次参数微调或量化精度调整，由于隐藏状态与 Target 权重严格耦合，</w:t>
      </w:r>
      <w:r>
        <w:rPr>
          <w:b/>
        </w:rPr>
        <w:t>先前所有落盘数据瞬间失去价值</w:t>
      </w:r>
      <w:r>
        <w:t>，必须从零重跑整个提取流程。</w:t>
      </w:r>
    </w:p>
    <w:p>
      <w:pPr>
        <w:pStyle w:val="Heading2"/>
      </w:pPr>
      <w:r>
        <w:t>在线流式的破局思路</w:t>
      </w:r>
    </w:p>
    <w:p>
      <w:pPr/>
      <w:r>
        <w:t>在线路径的核心设计极其简洁：训练器向 vLLM Target 发起批量请求，Target 在 prefill 阶段产出隐藏状态后，激活数据被直接消费、随即释放，</w:t>
      </w:r>
      <w:r>
        <w:rPr>
          <w:b/>
        </w:rPr>
        <w:t>每批即用即弃</w:t>
      </w:r>
      <w:r>
        <w:t>。离线方案的三重瓶颈被同时消除——无需海量存储、无磁盘回读延迟、激活始终来自当前版本的 Target 模型，天然零陈旧。</w:t>
      </w:r>
    </w:p>
    <w:p>
      <w:pPr/>
      <w:r>
        <w:t>在数据量需求方面，通用场景下训练 Drafter 通常准备约 50 万条对话数据（如 Magpie、UltraChat 等）；而针对特定领域的微调场景，经验表明 3 万至 7 万条数据即可取得较好的加速收益（此为演讲中分享的实践经验值，非严格实验结论）。在线流式使得按需获取这些数据成为低成本操作。</w:t>
      </w:r>
    </w:p>
    <w:p>
      <w:pPr/>
      <w:r>
        <w:rPr>
          <w:b/>
        </w:rPr>
        <w:t>结论：</w:t>
      </w:r>
      <w:r>
        <w:t xml:space="preserve"> 离线落盘在存储规模、读写带宽和数据时效性三个维度同时碰壁。在线提取是实际可行的选择，但它引入了新的工程问题——如何在不侵入 vLLM 核心逻辑的前提下，把隐藏状态"搬"出来？</w:t>
      </w:r>
    </w:p>
    <w:p>
      <w:pPr>
        <w:pStyle w:val="Heading1"/>
      </w:pPr>
      <w:r>
        <w:t>六、在线提取机制：伪装成 KV 的巧妙设计</w:t>
      </w:r>
    </w:p>
    <w:p>
      <w:pPr>
        <w:pStyle w:val="Heading2"/>
      </w:pPr>
      <w:r>
        <w:t>从"造通路"到"借通路"</w:t>
      </w:r>
    </w:p>
    <w:p>
      <w:pPr/>
      <w:r>
        <w:t>最直觉的在线提取做法是在推理引擎里新造一条专用管道，但这意味着深度侵入 vLLM 的调度与内存管理逻辑——工程成本高、升级易冲突。更优的策略是复用引擎已有的高带宽通路。</w:t>
      </w:r>
    </w:p>
    <w:p>
      <w:pPr/>
      <w:r>
        <w:t>推导过程分为四步：</w:t>
      </w:r>
    </w:p>
    <w:p>
      <w:pPr>
        <w:spacing w:after="80" w:line="290" w:lineRule="auto"/>
        <w:numPr>
          <w:ilvl w:val="0"/>
          <w:numId w:val="15"/>
        </w:numPr>
      </w:pPr>
      <w:r>
        <w:t>新造通路需要重写调度、内存分配和并发控制，维护负担大。</w:t>
      </w:r>
    </w:p>
    <w:p>
      <w:pPr>
        <w:spacing w:after="80" w:line="290" w:lineRule="auto"/>
        <w:numPr>
          <w:ilvl w:val="0"/>
          <w:numId w:val="15"/>
        </w:numPr>
      </w:pPr>
      <w:r>
        <w:t xml:space="preserve">vLLM 内部已经为 </w:t>
      </w:r>
      <w:r>
        <w:rPr>
          <w:b/>
        </w:rPr>
        <w:t>KV Cache</w:t>
      </w:r>
      <w:r>
        <w:t>（注意力计算中缓存的 Key/Value 张量）打磨了一套成熟的 KVConnector 传输管道。</w:t>
      </w:r>
    </w:p>
    <w:p>
      <w:pPr>
        <w:spacing w:after="80" w:line="290" w:lineRule="auto"/>
        <w:numPr>
          <w:ilvl w:val="0"/>
          <w:numId w:val="15"/>
        </w:numPr>
      </w:pPr>
      <w:r>
        <w:t xml:space="preserve">KV Cache 槽位按 </w:t>
      </w:r>
      <w:r>
        <w:rPr>
          <w:rFonts w:ascii="Consolas" w:hAnsi="Consolas" w:eastAsia="Microsoft YaHei"/>
          <w:color w:val="1F4D78"/>
          <w:sz w:val="19"/>
          <w:shd w:fill="EEF2F6"/>
        </w:rPr>
        <w:t>[Token, num_heads, head_size]</w:t>
      </w:r>
      <w:r>
        <w:t xml:space="preserve"> 组织；辅助激活栈恰好也是三维张量 </w:t>
      </w:r>
      <w:r>
        <w:rPr>
          <w:rFonts w:ascii="Consolas" w:hAnsi="Consolas" w:eastAsia="Microsoft YaHei"/>
          <w:color w:val="1F4D78"/>
          <w:sz w:val="19"/>
          <w:shd w:fill="EEF2F6"/>
        </w:rPr>
        <w:t>[T, L, H]</w:t>
      </w:r>
      <w:r>
        <w:t>。</w:t>
      </w:r>
    </w:p>
    <w:p>
      <w:pPr>
        <w:spacing w:after="80" w:line="290" w:lineRule="auto"/>
        <w:numPr>
          <w:ilvl w:val="0"/>
          <w:numId w:val="15"/>
        </w:numPr>
      </w:pPr>
      <w:r>
        <w:t xml:space="preserve">只要把层轴 </w:t>
      </w:r>
      <w:r>
        <w:rPr>
          <w:rFonts w:ascii="Consolas" w:hAnsi="Consolas" w:eastAsia="Microsoft YaHei"/>
          <w:color w:val="1F4D78"/>
          <w:sz w:val="19"/>
          <w:shd w:fill="EEF2F6"/>
        </w:rPr>
        <w:t>L</w:t>
      </w:r>
      <w:r>
        <w:t xml:space="preserve"> 映射到 </w:t>
      </w:r>
      <w:r>
        <w:rPr>
          <w:rFonts w:ascii="Consolas" w:hAnsi="Consolas" w:eastAsia="Microsoft YaHei"/>
          <w:color w:val="1F4D78"/>
          <w:sz w:val="19"/>
          <w:shd w:fill="EEF2F6"/>
        </w:rPr>
        <w:t>num_heads</w:t>
      </w:r>
      <w:r>
        <w:t xml:space="preserve">、隐藏维 </w:t>
      </w:r>
      <w:r>
        <w:rPr>
          <w:rFonts w:ascii="Consolas" w:hAnsi="Consolas" w:eastAsia="Microsoft YaHei"/>
          <w:color w:val="1F4D78"/>
          <w:sz w:val="19"/>
          <w:shd w:fill="EEF2F6"/>
        </w:rPr>
        <w:t>H</w:t>
      </w:r>
      <w:r>
        <w:t xml:space="preserve"> 映射到 </w:t>
      </w:r>
      <w:r>
        <w:rPr>
          <w:rFonts w:ascii="Consolas" w:hAnsi="Consolas" w:eastAsia="Microsoft YaHei"/>
          <w:color w:val="1F4D78"/>
          <w:sz w:val="19"/>
          <w:shd w:fill="EEF2F6"/>
        </w:rPr>
        <w:t>head_size</w:t>
      </w:r>
      <w:r>
        <w:t>，即可严丝合缝地嵌入现有槽位。</w:t>
      </w:r>
    </w:p>
    <w:p>
      <w:pPr>
        <w:pStyle w:val="Heading2"/>
      </w:pPr>
      <w:r>
        <w:t>维度映射细节</w:t>
      </w:r>
    </w:p>
    <w:p>
      <w:pPr/>
      <w:r>
        <w:t xml:space="preserve">Target 前向时，从指定的中间层（例如第 8、23、39、55、70 层）抽取激活值并沿层轴堆叠，得到一个形状为 </w:t>
      </w:r>
      <w:r>
        <w:rPr>
          <w:rFonts w:ascii="Consolas" w:hAnsi="Consolas" w:eastAsia="Microsoft YaHei"/>
          <w:color w:val="1F4D78"/>
          <w:sz w:val="19"/>
          <w:shd w:fill="EEF2F6"/>
        </w:rPr>
        <w:t>[T, L, H]</w:t>
      </w:r>
      <w:r>
        <w:t xml:space="preserve"> 的张量：</w:t>
      </w:r>
    </w:p>
    <w:tbl>
      <w:tblPr>
        <w:tblStyle w:val="TableGrid"/>
        <w:tblW w:type="dxa" w:w="9360"/>
        <w:jc w:val="left"/>
        <w:tblLayout w:type="fixed"/>
        <w:tblLook w:firstColumn="1" w:firstRow="1" w:lastColumn="0" w:lastRow="0" w:noHBand="0" w:noVBand="1" w:val="04A0"/>
        <w:tblInd w:w="120" w:type="dxa"/>
      </w:tblPr>
      <w:tblGrid>
        <w:gridCol w:w="1908"/>
        <w:gridCol w:w="3726"/>
        <w:gridCol w:w="3726"/>
      </w:tblGrid>
      <w:tr>
        <w:trPr>
          <w:tblHeader w:val="true"/>
        </w:trPr>
        <w:tc>
          <w:tcPr>
            <w:tcW w:type="dxa" w:w="190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符号</w:t>
            </w:r>
          </w:p>
        </w:tc>
        <w:tc>
          <w:tcPr>
            <w:tcW w:type="dxa" w:w="3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含义</w:t>
            </w:r>
          </w:p>
        </w:tc>
        <w:tc>
          <w:tcPr>
            <w:tcW w:type="dxa" w:w="3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对应 KV 槽位语义</w:t>
            </w:r>
          </w:p>
        </w:tc>
      </w:tr>
      <w:tr>
        <w:tc>
          <w:tcPr>
            <w:tcW w:type="dxa" w:w="190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当前批次的 token 数</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维——保持不变</w:t>
            </w:r>
          </w:p>
        </w:tc>
      </w:tr>
      <w:tr>
        <w:tc>
          <w:tcPr>
            <w:tcW w:type="dxa" w:w="190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L</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抽取的层数（如 5 层）</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xml:space="preserve">被视作 </w:t>
            </w:r>
            <w:r>
              <w:rPr>
                <w:rFonts w:ascii="Consolas" w:hAnsi="Consolas" w:eastAsia="Microsoft YaHei"/>
                <w:color w:val="1F4D78"/>
                <w:sz w:val="19"/>
                <w:shd w:fill="EEF2F6"/>
              </w:rPr>
              <w:t>num_heads</w:t>
            </w:r>
          </w:p>
        </w:tc>
      </w:tr>
      <w:tr>
        <w:tc>
          <w:tcPr>
            <w:tcW w:type="dxa" w:w="190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H</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每层隐藏状态维度</w:t>
            </w:r>
          </w:p>
        </w:tc>
        <w:tc>
          <w:tcPr>
            <w:tcW w:type="dxa" w:w="3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xml:space="preserve">被视作 </w:t>
            </w:r>
            <w:r>
              <w:rPr>
                <w:rFonts w:ascii="Consolas" w:hAnsi="Consolas" w:eastAsia="Microsoft YaHei"/>
                <w:color w:val="1F4D78"/>
                <w:sz w:val="19"/>
                <w:shd w:fill="EEF2F6"/>
              </w:rPr>
              <w:t>head_size</w:t>
            </w:r>
          </w:p>
        </w:tc>
      </w:tr>
    </w:tbl>
    <w:p>
      <w:pPr>
        <w:spacing w:after="40"/>
      </w:pPr>
    </w:p>
    <w:p>
      <w:pPr/>
      <w:r>
        <w:t xml:space="preserve">这一映射不需要任何 </w:t>
      </w:r>
      <w:r>
        <w:rPr>
          <w:rFonts w:ascii="Consolas" w:hAnsi="Consolas" w:eastAsia="Microsoft YaHei"/>
          <w:color w:val="1F4D78"/>
          <w:sz w:val="19"/>
          <w:shd w:fill="EEF2F6"/>
        </w:rPr>
        <w:t>reshape</w:t>
      </w:r>
      <w:r>
        <w:t xml:space="preserve"> 或转置操作——内存布局天然一致，引擎将其当作一组"虚拟注意力头"直接写入 KV 槽位并经 KVConnector 送出。</w:t>
      </w:r>
    </w:p>
    <w:p>
      <w:pPr/>
      <w:r>
        <w:t>下图展示了伪装的具体映射关系和数据在引擎中的流转路径。</w:t>
      </w:r>
    </w:p>
    <w:p>
      <w:pPr>
        <w:keepNext/>
        <w:keepLines/>
        <w:spacing w:before="120" w:after="0"/>
        <w:jc w:val="center"/>
      </w:pPr>
      <w:r>
        <w:drawing>
          <wp:inline xmlns:a="http://schemas.openxmlformats.org/drawingml/2006/main" xmlns:pic="http://schemas.openxmlformats.org/drawingml/2006/picture">
            <wp:extent cx="5943600" cy="3343275"/>
            <wp:docPr id="6" name="Picture 6" descr="辅助激活栈的维度伪装为 KV 槽位的映射示意" title="辅助激活栈的维度伪装为 KV 槽位的映射示意"/>
            <wp:cNvGraphicFramePr>
              <a:graphicFrameLocks noChangeAspect="1"/>
            </wp:cNvGraphicFramePr>
            <a:graphic>
              <a:graphicData uri="http://schemas.openxmlformats.org/drawingml/2006/picture">
                <pic:pic>
                  <pic:nvPicPr>
                    <pic:cNvPr id="0" name="slide-14.png"/>
                    <pic:cNvPicPr/>
                  </pic:nvPicPr>
                  <pic:blipFill>
                    <a:blip r:embed="rId18"/>
                    <a:stretch>
                      <a:fillRect/>
                    </a:stretch>
                  </pic:blipFill>
                  <pic:spPr>
                    <a:xfrm>
                      <a:off x="0" y="0"/>
                      <a:ext cx="5943600" cy="3343275"/>
                    </a:xfrm>
                    <a:prstGeom prst="rect"/>
                  </pic:spPr>
                </pic:pic>
              </a:graphicData>
            </a:graphic>
          </wp:inline>
        </w:drawing>
      </w:r>
    </w:p>
    <w:p>
      <w:pPr/>
      <w:r>
        <w:rPr>
          <w:i/>
        </w:rPr>
        <w:t>图注：隐藏状态提取与 KV 伪装机制——层轴充当 num\_heads，隐藏维充当 head\_size，直接落入现有 KV 槽位。来源：演讲 PPT 第 14 页</w:t>
      </w:r>
    </w:p>
    <w:p>
      <w:pPr/>
      <w:r>
        <w:t>图中自上而下展示三个阶段：</w:t>
      </w:r>
    </w:p>
    <w:p>
      <w:pPr>
        <w:spacing w:after="80" w:line="290" w:lineRule="auto"/>
        <w:numPr>
          <w:ilvl w:val="0"/>
          <w:numId w:val="10"/>
        </w:numPr>
      </w:pPr>
      <w:r>
        <w:rPr>
          <w:b/>
        </w:rPr>
        <w:t>Target 前向</w:t>
      </w:r>
      <w:r>
        <w:t xml:space="preserve">：从五个指定层抽出激活，堆叠为辅助激活栈 </w:t>
      </w:r>
      <w:r>
        <w:rPr>
          <w:rFonts w:ascii="Consolas" w:hAnsi="Consolas" w:eastAsia="Microsoft YaHei"/>
          <w:color w:val="1F4D78"/>
          <w:sz w:val="19"/>
          <w:shd w:fill="EEF2F6"/>
        </w:rPr>
        <w:t>[T, L, H]</w:t>
      </w:r>
      <w:r>
        <w:t>。</w:t>
      </w:r>
    </w:p>
    <w:p>
      <w:pPr>
        <w:spacing w:after="80" w:line="290" w:lineRule="auto"/>
        <w:numPr>
          <w:ilvl w:val="0"/>
          <w:numId w:val="10"/>
        </w:numPr>
      </w:pPr>
      <w:r>
        <w:rPr>
          <w:b/>
        </w:rPr>
        <w:t>伪装成 KV</w:t>
      </w:r>
      <w:r>
        <w:t xml:space="preserve">：将 </w:t>
      </w:r>
      <w:r>
        <w:rPr>
          <w:rFonts w:ascii="Consolas" w:hAnsi="Consolas" w:eastAsia="Microsoft YaHei"/>
          <w:color w:val="1F4D78"/>
          <w:sz w:val="19"/>
          <w:shd w:fill="EEF2F6"/>
        </w:rPr>
        <w:t>L</w:t>
      </w:r>
      <w:r>
        <w:t xml:space="preserve"> 标记为 </w:t>
      </w:r>
      <w:r>
        <w:rPr>
          <w:rFonts w:ascii="Consolas" w:hAnsi="Consolas" w:eastAsia="Microsoft YaHei"/>
          <w:color w:val="1F4D78"/>
          <w:sz w:val="19"/>
          <w:shd w:fill="EEF2F6"/>
        </w:rPr>
        <w:t>num_heads</w:t>
      </w:r>
      <w:r>
        <w:t>、</w:t>
      </w:r>
      <w:r>
        <w:rPr>
          <w:rFonts w:ascii="Consolas" w:hAnsi="Consolas" w:eastAsia="Microsoft YaHei"/>
          <w:color w:val="1F4D78"/>
          <w:sz w:val="19"/>
          <w:shd w:fill="EEF2F6"/>
        </w:rPr>
        <w:t>H</w:t>
      </w:r>
      <w:r>
        <w:t xml:space="preserve"> 标记为 </w:t>
      </w:r>
      <w:r>
        <w:rPr>
          <w:rFonts w:ascii="Consolas" w:hAnsi="Consolas" w:eastAsia="Microsoft YaHei"/>
          <w:color w:val="1F4D78"/>
          <w:sz w:val="19"/>
          <w:shd w:fill="EEF2F6"/>
        </w:rPr>
        <w:t>head_size</w:t>
      </w:r>
      <w:r>
        <w:t>，无需拷贝或重排即可装入 KV Cache 槽位。</w:t>
      </w:r>
    </w:p>
    <w:p>
      <w:pPr>
        <w:spacing w:after="80" w:line="290" w:lineRule="auto"/>
        <w:numPr>
          <w:ilvl w:val="0"/>
          <w:numId w:val="10"/>
        </w:numPr>
      </w:pPr>
      <w:r>
        <w:rPr>
          <w:b/>
        </w:rPr>
        <w:t>KVConnector 送出</w:t>
      </w:r>
      <w:r>
        <w:t>：沿用服务侧已有的传输管道，将伪装后的"KV"发送给训练器，还可复用前缀缓存的好处。</w:t>
      </w:r>
    </w:p>
    <w:p>
      <w:pPr>
        <w:pStyle w:val="Heading2"/>
      </w:pPr>
      <w:r>
        <w:t>最小状态演进</w:t>
      </w:r>
    </w:p>
    <w:p>
      <w:pPr/>
      <w:r>
        <w:t>假设抽取 5 层、隐藏维度为 4096、当前批次含 32 个 token：</w:t>
      </w:r>
    </w:p>
    <w:p>
      <w:pPr/>
      <w:r>
        <w:t>```</w:t>
      </w:r>
    </w:p>
    <w:p>
      <w:pPr/>
      <w:r>
        <w:t>原始辅助激活栈形状: [32, 5, 4096]</w:t>
      </w:r>
    </w:p>
    <w:p>
      <w:pPr/>
      <w:r>
        <w:t>引擎眼中的 KV 形状: [32, num_heads=5, head_size=4096]</w:t>
      </w:r>
    </w:p>
    <w:p>
      <w:pPr/>
      <w:r>
        <w:t>→ 直接写入 KV 槽位，零字节拷贝</w:t>
      </w:r>
    </w:p>
    <w:p>
      <w:pPr/>
      <w:r>
        <w:t>→ KVConnector 按常规 KV 传输流程送出</w:t>
      </w:r>
    </w:p>
    <w:p>
      <w:pPr/>
      <w:r>
        <w:t>→ 训练器收到后按 [T, L, H] 语义还原使用</w:t>
      </w:r>
    </w:p>
    <w:p>
      <w:pPr/>
      <w:r>
        <w:t>```</w:t>
      </w:r>
    </w:p>
    <w:p>
      <w:pPr/>
      <w:r>
        <w:t>整个过程中不触发额外的注意力计算，也不修改引擎对 KV Cache 的管理逻辑。</w:t>
      </w:r>
    </w:p>
    <w:p>
      <w:pPr>
        <w:pStyle w:val="Heading2"/>
      </w:pPr>
      <w:r>
        <w:t>边界与局限</w:t>
      </w:r>
    </w:p>
    <w:p>
      <w:pPr/>
      <w:r>
        <w:t>这一方案的前提是 KVConnector 的实现要求生产者（Target 推理进程）与消费者（训练器）位于</w:t>
      </w:r>
      <w:r>
        <w:rPr>
          <w:b/>
        </w:rPr>
        <w:t>同一节点</w:t>
      </w:r>
      <w:r>
        <w:t>，共享部分内存区域。当模型规模大到单节点无法部署，或训练与推理需要分别放在不同节点池时，这种本地共享内存的约束便成为瓶颈——这正是引入跨节点连接器的直接动因。</w:t>
      </w:r>
    </w:p>
    <w:p>
      <w:pPr>
        <w:pStyle w:val="Heading1"/>
      </w:pPr>
      <w:r>
        <w:t>七、跨节点传输：引入 Mooncake Store</w:t>
      </w:r>
    </w:p>
    <w:p>
      <w:pPr>
        <w:pStyle w:val="Heading2"/>
      </w:pPr>
      <w:r>
        <w:t>分池部署带来的传输困境</w:t>
      </w:r>
    </w:p>
    <w:p>
      <w:pPr/>
      <w:r>
        <w:t>当 Target 模型达到 Qwen3（千问大模型系列）量级时，GPU 显存几乎不允许推理和训练共存于同一台机器。工程上的解法是</w:t>
      </w:r>
      <w:r>
        <w:rPr>
          <w:b/>
        </w:rPr>
        <w:t>分池</w:t>
      </w:r>
      <w:r>
        <w:t>：推理节点专注跑在线 prefill，训练节点专注消费隐藏状态做梯度更新。分池一旦成立，跨网络传输就成了绕不开的问题。</w:t>
      </w:r>
    </w:p>
    <w:p>
      <w:pPr>
        <w:pStyle w:val="Heading2"/>
      </w:pPr>
      <w:r>
        <w:t>四条硬性要求</w:t>
      </w:r>
    </w:p>
    <w:p>
      <w:pPr/>
      <w:r>
        <w:t>演讲中明确列出了这条传输路径必须同时满足的四项约束：</w:t>
      </w:r>
    </w:p>
    <w:tbl>
      <w:tblPr>
        <w:tblStyle w:val="TableGrid"/>
        <w:tblW w:type="dxa" w:w="9360"/>
        <w:jc w:val="left"/>
        <w:tblLayout w:type="fixed"/>
        <w:tblLook w:firstColumn="1" w:firstRow="1" w:lastColumn="0" w:lastRow="0" w:noHBand="0" w:noVBand="1" w:val="04A0"/>
        <w:tblInd w:w="120" w:type="dxa"/>
      </w:tblPr>
      <w:tblGrid>
        <w:gridCol w:w="1549"/>
        <w:gridCol w:w="3344"/>
        <w:gridCol w:w="4467"/>
      </w:tblGrid>
      <w:tr>
        <w:trPr>
          <w:tblHeader w:val="true"/>
        </w:trPr>
        <w:tc>
          <w:tcPr>
            <w:tcW w:type="dxa" w:w="154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编号</w:t>
            </w:r>
          </w:p>
        </w:tc>
        <w:tc>
          <w:tcPr>
            <w:tcW w:type="dxa" w:w="33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要求</w:t>
            </w:r>
          </w:p>
        </w:tc>
        <w:tc>
          <w:tcPr>
            <w:tcW w:type="dxa" w:w="446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现实原因</w:t>
            </w:r>
          </w:p>
        </w:tc>
      </w:tr>
      <w:tr>
        <w:tc>
          <w:tcPr>
            <w:tcW w:type="dxa" w:w="1549"/>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3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跨节点，且不假设共享文件系统</w:t>
            </w:r>
          </w:p>
        </w:tc>
        <w:tc>
          <w:tcPr>
            <w:tcW w:type="dxa" w:w="4467"/>
            <w:vAlign w:val="center"/>
            <w:tcMar>
              <w:top w:w="80" w:type="dxa"/>
              <w:start w:w="120" w:type="dxa"/>
              <w:bottom w:w="80" w:type="dxa"/>
              <w:end w:w="120" w:type="dxa"/>
            </w:tcMar>
          </w:tcPr>
          <w:p>
            <w:pPr>
              <w:spacing w:before="0" w:after="0" w:line="259" w:lineRule="auto"/>
            </w:pPr>
            <w:r>
              <w:rPr>
                <w:rFonts w:ascii="Calibri" w:hAnsi="Calibri" w:eastAsia="Microsoft YaHei"/>
                <w:sz w:val="18"/>
              </w:rPr>
              <w:t>生产者池和训练器池位于不同机器，许多集群不具备高速共享 FS</w:t>
            </w:r>
          </w:p>
        </w:tc>
      </w:tr>
      <w:tr>
        <w:tc>
          <w:tcPr>
            <w:tcW w:type="dxa" w:w="1549"/>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3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按 key 寻址</w:t>
            </w:r>
          </w:p>
        </w:tc>
        <w:tc>
          <w:tcPr>
            <w:tcW w:type="dxa" w:w="4467"/>
            <w:vAlign w:val="center"/>
            <w:tcMar>
              <w:top w:w="80" w:type="dxa"/>
              <w:start w:w="120" w:type="dxa"/>
              <w:bottom w:w="80" w:type="dxa"/>
              <w:end w:w="120" w:type="dxa"/>
            </w:tcMar>
          </w:tcPr>
          <w:p>
            <w:pPr>
              <w:spacing w:before="0" w:after="0" w:line="259" w:lineRule="auto"/>
            </w:pPr>
            <w:r>
              <w:rPr>
                <w:rFonts w:ascii="Calibri" w:hAnsi="Calibri" w:eastAsia="Microsoft YaHei"/>
                <w:sz w:val="18"/>
              </w:rPr>
              <w:t>生产者不知道谁来消费、何时消费；两侧无法互相寻址</w:t>
            </w:r>
          </w:p>
        </w:tc>
      </w:tr>
      <w:tr>
        <w:tc>
          <w:tcPr>
            <w:tcW w:type="dxa" w:w="1549"/>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344"/>
            <w:vAlign w:val="center"/>
            <w:tcMar>
              <w:top w:w="80" w:type="dxa"/>
              <w:start w:w="120" w:type="dxa"/>
              <w:bottom w:w="80" w:type="dxa"/>
              <w:end w:w="120" w:type="dxa"/>
            </w:tcMar>
          </w:tcPr>
          <w:p>
            <w:pPr>
              <w:spacing w:before="0" w:after="0" w:line="259" w:lineRule="auto"/>
            </w:pPr>
            <w:r>
              <w:rPr>
                <w:rFonts w:ascii="Calibri" w:hAnsi="Calibri" w:eastAsia="Microsoft YaHei"/>
                <w:sz w:val="18"/>
              </w:rPr>
              <w:t>单边读取（one-sided read）</w:t>
            </w:r>
          </w:p>
        </w:tc>
        <w:tc>
          <w:tcPr>
            <w:tcW w:type="dxa" w:w="4467"/>
            <w:vAlign w:val="center"/>
            <w:tcMar>
              <w:top w:w="80" w:type="dxa"/>
              <w:start w:w="120" w:type="dxa"/>
              <w:bottom w:w="80" w:type="dxa"/>
              <w:end w:w="120" w:type="dxa"/>
            </w:tcMar>
          </w:tcPr>
          <w:p>
            <w:pPr>
              <w:spacing w:before="0" w:after="0" w:line="259" w:lineRule="auto"/>
            </w:pPr>
            <w:r>
              <w:rPr>
                <w:rFonts w:ascii="Calibri" w:hAnsi="Calibri" w:eastAsia="Microsoft YaHei"/>
                <w:sz w:val="18"/>
              </w:rPr>
              <w:t>传输操作不能占用生产者 CPU——它仍在为线上请求服务</w:t>
            </w:r>
          </w:p>
        </w:tc>
      </w:tr>
      <w:tr>
        <w:tc>
          <w:tcPr>
            <w:tcW w:type="dxa" w:w="1549"/>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34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有界 + 可驱逐</w:t>
            </w:r>
          </w:p>
        </w:tc>
        <w:tc>
          <w:tcPr>
            <w:tcW w:type="dxa" w:w="4467"/>
            <w:vAlign w:val="center"/>
            <w:tcMar>
              <w:top w:w="80" w:type="dxa"/>
              <w:start w:w="120" w:type="dxa"/>
              <w:bottom w:w="80" w:type="dxa"/>
              <w:end w:w="120" w:type="dxa"/>
            </w:tcMar>
          </w:tcPr>
          <w:p>
            <w:pPr>
              <w:spacing w:before="0" w:after="0" w:line="259" w:lineRule="auto"/>
            </w:pPr>
            <w:r>
              <w:rPr>
                <w:rFonts w:ascii="Calibri" w:hAnsi="Calibri" w:eastAsia="Microsoft YaHei"/>
                <w:sz w:val="18"/>
              </w:rPr>
              <w:t>若消费者掉线，生产速度超过消费速度时必须能停写和清理</w:t>
            </w:r>
          </w:p>
        </w:tc>
      </w:tr>
    </w:tbl>
    <w:p>
      <w:pPr>
        <w:spacing w:after="40"/>
      </w:pPr>
    </w:p>
    <w:p>
      <w:pPr/>
      <w:r>
        <w:t>其中第④点尤为关键：演讲者提到实际训练中曾出现过消费端停止工作而生产端持续写入、最终磁盘写满的事故。</w:t>
      </w:r>
    </w:p>
    <w:p>
      <w:pPr>
        <w:pStyle w:val="Heading2"/>
      </w:pPr>
      <w:r>
        <w:t>候选方案对比</w:t>
      </w:r>
    </w:p>
    <w:p>
      <w:pPr/>
      <w:r>
        <w:t>下图列出了四种候选方案对四项要求的满足情况，是选择 Mooncake Store 的决策依据。</w:t>
      </w:r>
    </w:p>
    <w:p>
      <w:pPr>
        <w:keepNext/>
        <w:keepLines/>
        <w:spacing w:before="120" w:after="0"/>
        <w:jc w:val="center"/>
      </w:pPr>
      <w:r>
        <w:drawing>
          <wp:inline xmlns:a="http://schemas.openxmlformats.org/drawingml/2006/main" xmlns:pic="http://schemas.openxmlformats.org/drawingml/2006/picture">
            <wp:extent cx="5943600" cy="3343275"/>
            <wp:docPr id="7" name="Picture 7" descr="Mooncake connector 候选方案对比与四条硬性要求" title="Mooncake connector 候选方案对比与四条硬性要求"/>
            <wp:cNvGraphicFramePr>
              <a:graphicFrameLocks noChangeAspect="1"/>
            </wp:cNvGraphicFramePr>
            <a:graphic>
              <a:graphicData uri="http://schemas.openxmlformats.org/drawingml/2006/picture">
                <pic:pic>
                  <pic:nvPicPr>
                    <pic:cNvPr id="0" name="slide-15.png"/>
                    <pic:cNvPicPr/>
                  </pic:nvPicPr>
                  <pic:blipFill>
                    <a:blip r:embed="rId19"/>
                    <a:stretch>
                      <a:fillRect/>
                    </a:stretch>
                  </pic:blipFill>
                  <pic:spPr>
                    <a:xfrm>
                      <a:off x="0" y="0"/>
                      <a:ext cx="5943600" cy="3343275"/>
                    </a:xfrm>
                    <a:prstGeom prst="rect"/>
                  </pic:spPr>
                </pic:pic>
              </a:graphicData>
            </a:graphic>
          </wp:inline>
        </w:drawing>
      </w:r>
    </w:p>
    <w:p>
      <w:pPr/>
      <w:r>
        <w:rPr>
          <w:i/>
        </w:rPr>
        <w:t>图注：跨网络传输候选方案及其对四项要求的满足情况。来源：演讲 PPT 第 15 页</w:t>
      </w:r>
    </w:p>
    <w:p>
      <w:pPr/>
      <w:r>
        <w:t>逐一分析：</w:t>
      </w:r>
    </w:p>
    <w:p>
      <w:pPr>
        <w:spacing w:after="80" w:line="290" w:lineRule="auto"/>
        <w:numPr>
          <w:ilvl w:val="0"/>
          <w:numId w:val="10"/>
        </w:numPr>
      </w:pPr>
      <w:r>
        <w:rPr>
          <w:b/>
        </w:rPr>
        <w:t>共享文件系统</w:t>
      </w:r>
      <w:r>
        <w:t xml:space="preserve"> ✗ —— 磁盘 I/O 横在传输路径中间，且依赖集群预装高速 FS，通用性差。</w:t>
      </w:r>
    </w:p>
    <w:p>
      <w:pPr>
        <w:spacing w:after="80" w:line="290" w:lineRule="auto"/>
        <w:numPr>
          <w:ilvl w:val="0"/>
          <w:numId w:val="10"/>
        </w:numPr>
      </w:pPr>
      <w:r>
        <w:rPr>
          <w:b/>
        </w:rPr>
        <w:t>NCCL 等集合通信</w:t>
      </w:r>
      <w:r>
        <w:t xml:space="preserve"> ✗ —— 需要固定通信域和锁步参与，而此场景是异步、动态、多对多的拓扑，完全不匹配。</w:t>
      </w:r>
    </w:p>
    <w:p>
      <w:pPr>
        <w:spacing w:after="80" w:line="290" w:lineRule="auto"/>
        <w:numPr>
          <w:ilvl w:val="0"/>
          <w:numId w:val="10"/>
        </w:numPr>
      </w:pPr>
      <w:r>
        <w:rPr>
          <w:b/>
        </w:rPr>
        <w:t>直接 RDMA / UCX</w:t>
      </w:r>
      <w:r>
        <w:t xml:space="preserve"> ～ —— 带宽足够，但寻址、生命周期管理、驱逐和背压策略全需从零实现，工程量大。</w:t>
      </w:r>
    </w:p>
    <w:p>
      <w:pPr>
        <w:spacing w:after="80" w:line="290" w:lineRule="auto"/>
        <w:numPr>
          <w:ilvl w:val="0"/>
          <w:numId w:val="10"/>
        </w:numPr>
      </w:pPr>
      <w:r>
        <w:rPr>
          <w:b/>
        </w:rPr>
        <w:t>Mooncake Store</w:t>
      </w:r>
      <w:r>
        <w:t xml:space="preserve"> ✓ —— 四条要求全部满足，且 vLLM 在做 PD（Prefill-Decode）分离时已经集成过该组件，成熟度较高。</w:t>
      </w:r>
    </w:p>
    <w:p>
      <w:pPr>
        <w:pStyle w:val="Heading2"/>
      </w:pPr>
      <w:r>
        <w:t>Mooncake Store 的工作方式</w:t>
      </w:r>
    </w:p>
    <w:p>
      <w:pPr/>
      <w:r>
        <w:rPr>
          <w:b/>
        </w:rPr>
        <w:t>Mooncake</w:t>
      </w:r>
      <w:r>
        <w:t xml:space="preserve">（一种跨网络连接器 / Store）提供跨节点、按 key 寻址、支持单边读取的键值存储能力，专为隐藏状态等中间张量的高速传输设计。其核心特征包括：写入方只需 </w:t>
      </w:r>
      <w:r>
        <w:rPr>
          <w:rFonts w:ascii="Consolas" w:hAnsi="Consolas" w:eastAsia="Microsoft YaHei"/>
          <w:color w:val="1F4D78"/>
          <w:sz w:val="19"/>
          <w:shd w:fill="EEF2F6"/>
        </w:rPr>
        <w:t>put(key, tensor)</w:t>
      </w:r>
      <w:r>
        <w:t>，读取方凭 key 即可主动拉取，无需生产者参与调度；同时内置有界缓冲和 TTL 驱逐机制。</w:t>
      </w:r>
    </w:p>
    <w:p>
      <w:pPr/>
      <w:r>
        <w:t>一次最小工作流：</w:t>
      </w:r>
    </w:p>
    <w:p>
      <w:pPr>
        <w:spacing w:after="80" w:line="290" w:lineRule="auto"/>
        <w:numPr>
          <w:ilvl w:val="0"/>
          <w:numId w:val="16"/>
        </w:numPr>
      </w:pPr>
      <w:r>
        <w:rPr>
          <w:b/>
        </w:rPr>
        <w:t>vLLM 推理节点</w:t>
      </w:r>
      <w:r>
        <w:t xml:space="preserve">在完成一次 prefill 后，将隐藏状态以 </w:t>
      </w:r>
      <w:r>
        <w:rPr>
          <w:rFonts w:ascii="Consolas" w:hAnsi="Consolas" w:eastAsia="Microsoft YaHei"/>
          <w:color w:val="1F4D78"/>
          <w:sz w:val="19"/>
          <w:shd w:fill="EEF2F6"/>
        </w:rPr>
        <w:t>(request_id, tensor)</w:t>
      </w:r>
      <w:r>
        <w:t xml:space="preserve"> 的形式写入本地 Mooncake Store，随即返回继续处理下一请求——CPU 不被传输阻塞。</w:t>
      </w:r>
    </w:p>
    <w:p>
      <w:pPr>
        <w:spacing w:after="80" w:line="290" w:lineRule="auto"/>
        <w:numPr>
          <w:ilvl w:val="0"/>
          <w:numId w:val="16"/>
        </w:numPr>
      </w:pPr>
      <w:r>
        <w:rPr>
          <w:b/>
        </w:rPr>
        <w:t>Trainer 节点</w:t>
      </w:r>
      <w:r>
        <w:t xml:space="preserve">根据已知的 </w:t>
      </w:r>
      <w:r>
        <w:rPr>
          <w:rFonts w:ascii="Consolas" w:hAnsi="Consolas" w:eastAsia="Microsoft YaHei"/>
          <w:color w:val="1F4D78"/>
          <w:sz w:val="19"/>
          <w:shd w:fill="EEF2F6"/>
        </w:rPr>
        <w:t>request_id</w:t>
      </w:r>
      <w:r>
        <w:t>（key），通过 RDMA 单边读取从 Mooncake Store 拉取对应张量，整个过程不打断推理侧的任何线程。</w:t>
      </w:r>
    </w:p>
    <w:p>
      <w:pPr>
        <w:spacing w:after="80" w:line="290" w:lineRule="auto"/>
        <w:numPr>
          <w:ilvl w:val="0"/>
          <w:numId w:val="16"/>
        </w:numPr>
      </w:pPr>
      <w:r>
        <w:t>若 Trainer 节点长时间未消费，Mooncake Store 按 TTL 策略自动驱逐过期数据，防止内存溢出。</w:t>
      </w:r>
    </w:p>
    <w:p>
      <w:pPr/>
      <w:r>
        <w:rPr>
          <w:b/>
        </w:rPr>
        <w:t>结论与边界：</w:t>
      </w:r>
      <w:r>
        <w:t xml:space="preserve"> Mooncake Store 补齐了集群规模在线提取的关键一环。其适用边界在于依赖 RDMA 网络的可用性；演讲材料未给出跨节点传输的具体带宽或延迟基准数据，实际吞吐还需结合集群网络拓扑评估。</w:t>
      </w:r>
    </w:p>
    <w:p>
      <w:pPr>
        <w:pStyle w:val="Heading1"/>
      </w:pPr>
      <w:r>
        <w:t>八、Speculators：端到端的一站式闭环</w:t>
      </w:r>
    </w:p>
    <w:p>
      <w:pPr>
        <w:pStyle w:val="Heading2"/>
      </w:pPr>
      <w:r>
        <w:t>最后一公里的门槛</w:t>
      </w:r>
    </w:p>
    <w:p>
      <w:pPr/>
      <w:r>
        <w:t>前面各节讨论了 DSpark 的算法设计、隐藏状态的在线提取和跨节点传输。然而在实际生产中，工程师面对的另一道门槛是：</w:t>
      </w:r>
      <w:r>
        <w:rPr>
          <w:b/>
        </w:rPr>
        <w:t>训练好的 Drafter 如何才能零改造地跑在推理引擎里？</w:t>
      </w:r>
      <w:r>
        <w:t xml:space="preserve"> 传统做法通常需要手动编写模型加载逻辑、对齐配置参数、维护格式转换脚本，任何一环出错都可能导致精度或性能回退。</w:t>
      </w:r>
    </w:p>
    <w:p>
      <w:pPr/>
      <w:r>
        <w:t xml:space="preserve">Speculators 库正是为消除这段距离而设计的，它覆盖 </w:t>
      </w:r>
      <w:r>
        <w:rPr>
          <w:b/>
        </w:rPr>
        <w:t>数据准备 → 隐藏状态提取 → 模型训练 → 格式转换 → 推理部署</w:t>
      </w:r>
      <w:r>
        <w:t xml:space="preserve"> 的全流程，核心承诺是：</w:t>
      </w:r>
      <w:r>
        <w:rPr>
          <w:b/>
        </w:rPr>
        <w:t>训练产出的 Drafter checkpoint 与 config，无需任何胶水代码即可被 vLLM 原生加载并启动服务。</w:t>
      </w:r>
      <w:r>
        <w:t xml:space="preserve"> 它同时支持在线提取、离线提取以及混合模式，也覆盖 MoE（混合专家模型）和 VLM（视觉语言模型）等架构。</w:t>
      </w:r>
    </w:p>
    <w:p>
      <w:pPr>
        <w:pStyle w:val="Heading2"/>
      </w:pPr>
      <w:r>
        <w:t>一份 config.json 如何驱动 vLLM</w:t>
      </w:r>
    </w:p>
    <w:p>
      <w:pPr/>
      <w:r>
        <w:t xml:space="preserve">下图展示了 Speculators 导出的 </w:t>
      </w:r>
      <w:r>
        <w:rPr>
          <w:rFonts w:ascii="Consolas" w:hAnsi="Consolas" w:eastAsia="Microsoft YaHei"/>
          <w:color w:val="1F4D78"/>
          <w:sz w:val="19"/>
          <w:shd w:fill="EEF2F6"/>
        </w:rPr>
        <w:t>config.json</w:t>
      </w:r>
      <w:r>
        <w:t xml:space="preserve"> 关键字段以及 vLLM 的自动检测流程，是理解"零胶水"如何实现的核心。</w:t>
      </w:r>
    </w:p>
    <w:p>
      <w:pPr>
        <w:keepNext/>
        <w:keepLines/>
        <w:spacing w:before="120" w:after="0"/>
        <w:jc w:val="center"/>
      </w:pPr>
      <w:r>
        <w:drawing>
          <wp:inline xmlns:a="http://schemas.openxmlformats.org/drawingml/2006/main" xmlns:pic="http://schemas.openxmlformats.org/drawingml/2006/picture">
            <wp:extent cx="5943600" cy="3343275"/>
            <wp:docPr id="8" name="Picture 8" descr="Speculators 导出的 config.json 关键字段与 vLLM 自动检测流程" title="Speculators 导出的 config.json 关键字段与 vLLM 自动检测流程"/>
            <wp:cNvGraphicFramePr>
              <a:graphicFrameLocks noChangeAspect="1"/>
            </wp:cNvGraphicFramePr>
            <a:graphic>
              <a:graphicData uri="http://schemas.openxmlformats.org/drawingml/2006/picture">
                <pic:pic>
                  <pic:nvPicPr>
                    <pic:cNvPr id="0" name="slide-09.png"/>
                    <pic:cNvPicPr/>
                  </pic:nvPicPr>
                  <pic:blipFill>
                    <a:blip r:embed="rId20"/>
                    <a:stretch>
                      <a:fillRect/>
                    </a:stretch>
                  </pic:blipFill>
                  <pic:spPr>
                    <a:xfrm>
                      <a:off x="0" y="0"/>
                      <a:ext cx="5943600" cy="3343275"/>
                    </a:xfrm>
                    <a:prstGeom prst="rect"/>
                  </pic:spPr>
                </pic:pic>
              </a:graphicData>
            </a:graphic>
          </wp:inline>
        </w:drawing>
      </w:r>
    </w:p>
    <w:p>
      <w:pPr/>
      <w:r>
        <w:rPr>
          <w:i/>
        </w:rPr>
        <w:t>图注：config.json 核心字段与 vLLM 自动检测机制。来源：演讲 PPT 第 9 页</w:t>
      </w:r>
    </w:p>
    <w:p>
      <w:pPr/>
      <w:r>
        <w:t>图中的 JSON 配置包含以下关键字段，每一项都与训练参数严格对应：</w:t>
      </w:r>
    </w:p>
    <w:tbl>
      <w:tblPr>
        <w:tblStyle w:val="TableGrid"/>
        <w:tblW w:type="dxa" w:w="9360"/>
        <w:jc w:val="left"/>
        <w:tblLayout w:type="fixed"/>
        <w:tblLook w:firstColumn="1" w:firstRow="1" w:lastColumn="0" w:lastRow="0" w:noHBand="0" w:noVBand="1" w:val="04A0"/>
        <w:tblInd w:w="120" w:type="dxa"/>
      </w:tblPr>
      <w:tblGrid>
        <w:gridCol w:w="3120"/>
        <w:gridCol w:w="2654"/>
        <w:gridCol w:w="3586"/>
      </w:tblGrid>
      <w:tr>
        <w:trPr>
          <w:tblHeader w:val="true"/>
        </w:trPr>
        <w:tc>
          <w:tcPr>
            <w:tcW w:type="dxa" w:w="31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字段</w:t>
            </w:r>
          </w:p>
        </w:tc>
        <w:tc>
          <w:tcPr>
            <w:tcW w:type="dxa" w:w="265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示例值</w:t>
            </w:r>
          </w:p>
        </w:tc>
        <w:tc>
          <w:tcPr>
            <w:tcW w:type="dxa" w:w="358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作用</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speculators_model_type</w:t>
            </w:r>
          </w:p>
        </w:tc>
        <w:tc>
          <w:tcPr>
            <w:tcW w:type="dxa" w:w="265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"dspark"</w:t>
            </w:r>
          </w:p>
        </w:tc>
        <w:tc>
          <w:tcPr>
            <w:tcW w:type="dxa" w:w="3586"/>
            <w:vAlign w:val="center"/>
            <w:tcMar>
              <w:top w:w="80" w:type="dxa"/>
              <w:start w:w="120" w:type="dxa"/>
              <w:bottom w:w="80" w:type="dxa"/>
              <w:end w:w="120" w:type="dxa"/>
            </w:tcMar>
          </w:tcPr>
          <w:p>
            <w:pPr>
              <w:spacing w:before="0" w:after="0" w:line="259" w:lineRule="auto"/>
            </w:pPr>
            <w:r>
              <w:rPr>
                <w:rFonts w:ascii="Calibri" w:hAnsi="Calibri" w:eastAsia="Microsoft YaHei"/>
                <w:sz w:val="18"/>
              </w:rPr>
              <w:t>告诉 vLLM 选择 DSpark 草稿路径</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verifier</w:t>
            </w:r>
          </w:p>
        </w:tc>
        <w:tc>
          <w:tcPr>
            <w:tcW w:type="dxa" w:w="265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"GLM-5.2-FP8"</w:t>
            </w:r>
          </w:p>
        </w:tc>
        <w:tc>
          <w:tcPr>
            <w:tcW w:type="dxa" w:w="3586"/>
            <w:vAlign w:val="center"/>
            <w:tcMar>
              <w:top w:w="80" w:type="dxa"/>
              <w:start w:w="120" w:type="dxa"/>
              <w:bottom w:w="80" w:type="dxa"/>
              <w:end w:w="120" w:type="dxa"/>
            </w:tcMar>
          </w:tcPr>
          <w:p>
            <w:pPr>
              <w:spacing w:before="0" w:after="0" w:line="259" w:lineRule="auto"/>
            </w:pPr>
            <w:r>
              <w:rPr>
                <w:rFonts w:ascii="Calibri" w:hAnsi="Calibri" w:eastAsia="Microsoft YaHei"/>
                <w:sz w:val="18"/>
              </w:rPr>
              <w:t>锁定训练时对应的 Target 模型标识</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markov_rank</w:t>
            </w:r>
          </w:p>
        </w:tc>
        <w:tc>
          <w:tcPr>
            <w:tcW w:type="dxa" w:w="265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256</w:t>
            </w:r>
          </w:p>
        </w:tc>
        <w:tc>
          <w:tcPr>
            <w:tcW w:type="dxa" w:w="3586"/>
            <w:vAlign w:val="center"/>
            <w:tcMar>
              <w:top w:w="80" w:type="dxa"/>
              <w:start w:w="120" w:type="dxa"/>
              <w:bottom w:w="80" w:type="dxa"/>
              <w:end w:w="120" w:type="dxa"/>
            </w:tcMar>
          </w:tcPr>
          <w:p>
            <w:pPr>
              <w:spacing w:before="0" w:after="0" w:line="259" w:lineRule="auto"/>
            </w:pPr>
            <w:r>
              <w:rPr>
                <w:rFonts w:ascii="Calibri" w:hAnsi="Calibri" w:eastAsia="Microsoft YaHei"/>
                <w:sz w:val="18"/>
              </w:rPr>
              <w:t>Markov Head 中低秩分解的秩，决定块内依赖修正的参数量</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block_size</w:t>
            </w:r>
          </w:p>
        </w:tc>
        <w:tc>
          <w:tcPr>
            <w:tcW w:type="dxa" w:w="265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8</w:t>
            </w:r>
          </w:p>
        </w:tc>
        <w:tc>
          <w:tcPr>
            <w:tcW w:type="dxa" w:w="35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每次草稿生成的 token 块大小</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aux_hidden_state_layer_ids</w:t>
            </w:r>
          </w:p>
        </w:tc>
        <w:tc>
          <w:tcPr>
            <w:tcW w:type="dxa" w:w="265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[8, 23, 39, 55, 70]</w:t>
            </w:r>
          </w:p>
        </w:tc>
        <w:tc>
          <w:tcPr>
            <w:tcW w:type="dxa" w:w="3586"/>
            <w:vAlign w:val="center"/>
            <w:tcMar>
              <w:top w:w="80" w:type="dxa"/>
              <w:start w:w="120" w:type="dxa"/>
              <w:bottom w:w="80" w:type="dxa"/>
              <w:end w:w="120" w:type="dxa"/>
            </w:tcMar>
          </w:tcPr>
          <w:p>
            <w:pPr>
              <w:spacing w:before="0" w:after="0" w:line="259" w:lineRule="auto"/>
            </w:pPr>
            <w:r>
              <w:rPr>
                <w:rFonts w:ascii="Calibri" w:hAnsi="Calibri" w:eastAsia="Microsoft YaHei"/>
                <w:sz w:val="18"/>
              </w:rPr>
              <w:t>Drafter 在 Target 中抽取隐藏状态的层编号</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enable_confidence_head</w:t>
            </w:r>
          </w:p>
        </w:tc>
        <w:tc>
          <w:tcPr>
            <w:tcW w:type="dxa" w:w="2654"/>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true</w:t>
            </w:r>
          </w:p>
        </w:tc>
        <w:tc>
          <w:tcPr>
            <w:tcW w:type="dxa" w:w="358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是否启用置信度头做提前终止</w:t>
            </w:r>
          </w:p>
        </w:tc>
      </w:tr>
      <w:tr>
        <w:tc>
          <w:tcPr>
            <w:tcW w:type="dxa" w:w="312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transformer_layer_config</w:t>
            </w:r>
          </w:p>
        </w:tc>
        <w:tc>
          <w:tcPr>
            <w:tcW w:type="dxa" w:w="265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num_hidden_layers: 5</w:t>
            </w:r>
          </w:p>
        </w:tc>
        <w:tc>
          <w:tcPr>
            <w:tcW w:type="dxa" w:w="3586"/>
            <w:vAlign w:val="center"/>
            <w:tcMar>
              <w:top w:w="80" w:type="dxa"/>
              <w:start w:w="120" w:type="dxa"/>
              <w:bottom w:w="80" w:type="dxa"/>
              <w:end w:w="120" w:type="dxa"/>
            </w:tcMar>
          </w:tcPr>
          <w:p>
            <w:pPr>
              <w:spacing w:before="0" w:after="0" w:line="259" w:lineRule="auto"/>
            </w:pPr>
            <w:r>
              <w:rPr>
                <w:rFonts w:ascii="Calibri" w:hAnsi="Calibri" w:eastAsia="Microsoft YaHei"/>
                <w:sz w:val="18"/>
              </w:rPr>
              <w:t>Drafter 自身的 Transformer 层数与架构类型</w:t>
            </w:r>
          </w:p>
        </w:tc>
      </w:tr>
    </w:tbl>
    <w:p>
      <w:pPr>
        <w:spacing w:after="40"/>
      </w:pPr>
    </w:p>
    <w:p>
      <w:pPr/>
      <w:r>
        <w:t>图右侧的注释明确指出：</w:t>
      </w:r>
      <w:r>
        <w:rPr>
          <w:b/>
        </w:rPr>
        <w:t>配方（recipe）与 checkpoint 是同一个对象。</w:t>
      </w:r>
      <w:r>
        <w:t xml:space="preserve"> 配置文件与权重文件在发布时绑定发行，不存在版本漂移的风险。</w:t>
      </w:r>
    </w:p>
    <w:p>
      <w:pPr>
        <w:pStyle w:val="Heading2"/>
      </w:pPr>
      <w:r>
        <w:t>因果链：为什么能做到"零胶水"</w:t>
      </w:r>
    </w:p>
    <w:p>
      <w:pPr>
        <w:spacing w:after="80" w:line="290" w:lineRule="auto"/>
        <w:numPr>
          <w:ilvl w:val="0"/>
          <w:numId w:val="17"/>
        </w:numPr>
      </w:pPr>
      <w:r>
        <w:rPr>
          <w:b/>
        </w:rPr>
        <w:t>传统痛点</w:t>
      </w:r>
      <w:r>
        <w:t>：Drafter 训练脚本与推理引擎各自维护参数定义，工程师必须手写转换层把训练格式映射到引擎能识别的格式。一旦参数名、维度或层号对不齐，接受率骤降甚至推理报错。</w:t>
      </w:r>
    </w:p>
    <w:p>
      <w:pPr>
        <w:spacing w:after="80" w:line="290" w:lineRule="auto"/>
        <w:numPr>
          <w:ilvl w:val="0"/>
          <w:numId w:val="17"/>
        </w:numPr>
      </w:pPr>
      <w:r>
        <w:rPr>
          <w:b/>
        </w:rPr>
        <w:t>Speculators 的解法</w:t>
      </w:r>
      <w:r>
        <w:t xml:space="preserve">：训练结束后直接输出 HuggingFace 兼容的 checkpoint 目录，其中 </w:t>
      </w:r>
      <w:r>
        <w:rPr>
          <w:rFonts w:ascii="Consolas" w:hAnsi="Consolas" w:eastAsia="Microsoft YaHei"/>
          <w:color w:val="1F4D78"/>
          <w:sz w:val="19"/>
          <w:shd w:fill="EEF2F6"/>
        </w:rPr>
        <w:t>config.json</w:t>
      </w:r>
      <w:r>
        <w:t xml:space="preserve"> 携带完整的算法类型与训练超参。vLLM 启动时读取 </w:t>
      </w:r>
      <w:r>
        <w:rPr>
          <w:rFonts w:ascii="Consolas" w:hAnsi="Consolas" w:eastAsia="Microsoft YaHei"/>
          <w:color w:val="1F4D78"/>
          <w:sz w:val="19"/>
          <w:shd w:fill="EEF2F6"/>
        </w:rPr>
        <w:t>speculators_model_type</w:t>
      </w:r>
      <w:r>
        <w:t>，自动路由到对应的草稿构建逻辑，所有参数从同一份 config 注入。</w:t>
      </w:r>
    </w:p>
    <w:p>
      <w:pPr>
        <w:spacing w:after="80" w:line="290" w:lineRule="auto"/>
        <w:numPr>
          <w:ilvl w:val="0"/>
          <w:numId w:val="17"/>
        </w:numPr>
      </w:pPr>
      <w:r>
        <w:rPr>
          <w:b/>
        </w:rPr>
        <w:t>最终效果</w:t>
      </w:r>
      <w:r>
        <w:t>：部署仅需一条命令——</w:t>
      </w:r>
      <w:r>
        <w:rPr>
          <w:rFonts w:ascii="Consolas" w:hAnsi="Consolas" w:eastAsia="Microsoft YaHei"/>
          <w:color w:val="1F4D78"/>
          <w:sz w:val="19"/>
          <w:shd w:fill="EEF2F6"/>
        </w:rPr>
        <w:t>vllm serve &lt;模型路径&gt;</w:t>
      </w:r>
      <w:r>
        <w:t>——引擎即按 config 中的字段组装完整的投机解码推理图。</w:t>
      </w:r>
    </w:p>
    <w:p>
      <w:pPr>
        <w:pStyle w:val="Heading2"/>
      </w:pPr>
      <w:r>
        <w:t>最小部署示例</w:t>
      </w:r>
    </w:p>
    <w:p>
      <w:pPr/>
      <w:r>
        <w:t xml:space="preserve">假设已用 Speculators 训练了一个面向 </w:t>
      </w:r>
      <w:r>
        <w:rPr>
          <w:rFonts w:ascii="Consolas" w:hAnsi="Consolas" w:eastAsia="Microsoft YaHei"/>
          <w:color w:val="1F4D78"/>
          <w:sz w:val="19"/>
          <w:shd w:fill="EEF2F6"/>
        </w:rPr>
        <w:t>GLM-5.2-FP8</w:t>
      </w:r>
      <w:r>
        <w:t xml:space="preserve"> 的 DSpark Drafter，导出目录为 </w:t>
      </w:r>
      <w:r>
        <w:rPr>
          <w:rFonts w:ascii="Consolas" w:hAnsi="Consolas" w:eastAsia="Microsoft YaHei"/>
          <w:color w:val="1F4D78"/>
          <w:sz w:val="19"/>
          <w:shd w:fill="EEF2F6"/>
        </w:rPr>
        <w:t>RedHatAI/GLM-5.2-speculator.dspark-preview</w:t>
      </w:r>
      <w:r>
        <w:t>。部署步骤仅有一步：</w:t>
      </w:r>
    </w:p>
    <w:p>
      <w:pPr/>
      <w:r>
        <w:t>```bash</w:t>
      </w:r>
    </w:p>
    <w:p>
      <w:pPr/>
      <w:r>
        <w:t>vllm serve RedHatAI/GLM-5.2-speculator.dspark-preview</w:t>
      </w:r>
    </w:p>
    <w:p>
      <w:pPr/>
      <w:r>
        <w:t>```</w:t>
      </w:r>
    </w:p>
    <w:p>
      <w:pPr/>
      <w:r>
        <w:t xml:space="preserve">vLLM 读取到 </w:t>
      </w:r>
      <w:r>
        <w:rPr>
          <w:rFonts w:ascii="Consolas" w:hAnsi="Consolas" w:eastAsia="Microsoft YaHei"/>
          <w:color w:val="1F4D78"/>
          <w:sz w:val="19"/>
          <w:shd w:fill="EEF2F6"/>
        </w:rPr>
        <w:t>speculators_model_type: "dspark"</w:t>
      </w:r>
      <w:r>
        <w:t xml:space="preserve"> 后，自动以 </w:t>
      </w:r>
      <w:r>
        <w:rPr>
          <w:rFonts w:ascii="Consolas" w:hAnsi="Consolas" w:eastAsia="Microsoft YaHei"/>
          <w:color w:val="1F4D78"/>
          <w:sz w:val="19"/>
          <w:shd w:fill="EEF2F6"/>
        </w:rPr>
        <w:t>markov_rank=256</w:t>
      </w:r>
      <w:r>
        <w:t>、</w:t>
      </w:r>
      <w:r>
        <w:rPr>
          <w:rFonts w:ascii="Consolas" w:hAnsi="Consolas" w:eastAsia="Microsoft YaHei"/>
          <w:color w:val="1F4D78"/>
          <w:sz w:val="19"/>
          <w:shd w:fill="EEF2F6"/>
        </w:rPr>
        <w:t>block_size=8</w:t>
      </w:r>
      <w:r>
        <w:t xml:space="preserve"> 初始化 Markov Head 和并行草稿骨干。若希望调整低秩分解的秩，只需在重新训练前修改 </w:t>
      </w:r>
      <w:r>
        <w:rPr>
          <w:rFonts w:ascii="Consolas" w:hAnsi="Consolas" w:eastAsia="Microsoft YaHei"/>
          <w:color w:val="1F4D78"/>
          <w:sz w:val="19"/>
          <w:shd w:fill="EEF2F6"/>
        </w:rPr>
        <w:t>markov_rank</w:t>
      </w:r>
      <w:r>
        <w:t>，训练完毕后 config 自然携带新值，部署命令不变。</w:t>
      </w:r>
    </w:p>
    <w:p>
      <w:pPr>
        <w:pStyle w:val="Heading2"/>
      </w:pPr>
      <w:r>
        <w:t>边界条件</w:t>
      </w:r>
    </w:p>
    <w:p>
      <w:pPr/>
      <w:r>
        <w:t>Speculators 虽大幅降低了投机解码的工程门槛，但存在一条刚性约束：</w:t>
      </w:r>
      <w:r>
        <w:rPr>
          <w:b/>
        </w:rPr>
        <w:t>`config.json` 中 `verifier` 字段标识的 Target 模型必须与训练时使用的 Target 严格一致。</w:t>
      </w:r>
      <w:r>
        <w:t xml:space="preserve"> 如果生产环境切换了 Target 版本（例如从 FP8 量化版换到 BF16 全精度版），Drafter 的隐藏状态输入分布将发生偏移，接受率可能显著下降，此时需要重新训练或至少进行微调。演讲材料未给出跨 Target 版本复用 Drafter 时的性能退化数据。</w:t>
      </w:r>
    </w:p>
    <w:p>
      <w:pPr>
        <w:pStyle w:val="Heading1"/>
      </w:pPr>
      <w:r>
        <w:t>结论与局限</w:t>
      </w:r>
    </w:p>
    <w:p>
      <w:pPr>
        <w:pStyle w:val="Heading2"/>
      </w:pPr>
      <w:r>
        <w:t>核心结论</w:t>
      </w:r>
    </w:p>
    <w:p>
      <w:pPr>
        <w:spacing w:after="80" w:line="290" w:lineRule="auto"/>
        <w:numPr>
          <w:ilvl w:val="0"/>
          <w:numId w:val="18"/>
        </w:numPr>
      </w:pPr>
      <w:r>
        <w:rPr>
          <w:b/>
        </w:rPr>
        <w:t>接受长度是投机解码加速比的第一决定因素。</w:t>
      </w:r>
      <w:r>
        <w:t xml:space="preserve"> 一次 Target 验证中被采纳的 token 越多，前向传播次数减少得越多，端到端吞吐提升越明显。</w:t>
      </w:r>
    </w:p>
    <w:p>
      <w:pPr>
        <w:spacing w:after="80" w:line="290" w:lineRule="auto"/>
        <w:numPr>
          <w:ilvl w:val="0"/>
          <w:numId w:val="18"/>
        </w:numPr>
      </w:pPr>
      <w:r>
        <w:rPr>
          <w:b/>
        </w:rPr>
        <w:t>从文本到隐藏状态的输入升级，是现代 Drafter 获得高接受率的关键。</w:t>
      </w:r>
      <w:r>
        <w:t xml:space="preserve"> 提取 Target 模型 3–5 层中间激活进行蒸馏训练，使 Drafter 能复用大模型已完成的语义推理，显著缩小输出分布偏差。</w:t>
      </w:r>
    </w:p>
    <w:p>
      <w:pPr>
        <w:spacing w:after="80" w:line="290" w:lineRule="auto"/>
        <w:numPr>
          <w:ilvl w:val="0"/>
          <w:numId w:val="18"/>
        </w:numPr>
      </w:pPr>
      <w:r>
        <w:rPr>
          <w:b/>
        </w:rPr>
        <w:t>DSpark 以极低开销解决了并行生成的块内一致性问题。</w:t>
      </w:r>
      <w:r>
        <w:t xml:space="preserve"> Markov Head 通过低秩偏置从左到右逐位修正，在 Qwen3-14B、温度 1.0、链式草稿、关闭置信度调度器的受控条件下，相对 EAGLE-3 宏平均接受长度提升 30.0%，相对 DFlash 提升 18.3%，而单轮延迟开销仅 0.2–1.3%。</w:t>
      </w:r>
    </w:p>
    <w:p>
      <w:pPr>
        <w:spacing w:after="80" w:line="290" w:lineRule="auto"/>
        <w:numPr>
          <w:ilvl w:val="0"/>
          <w:numId w:val="18"/>
        </w:numPr>
      </w:pPr>
      <w:r>
        <w:rPr>
          <w:b/>
        </w:rPr>
        <w:t>离线落盘面临存储（约 239 TB 级别）、带宽和数据陈旧的三重瓶颈。</w:t>
      </w:r>
      <w:r>
        <w:t xml:space="preserve"> 在线边训边流方案通过即用即弃的数据流彻底消除了持久化存储需求。</w:t>
      </w:r>
    </w:p>
    <w:p>
      <w:pPr>
        <w:spacing w:after="80" w:line="290" w:lineRule="auto"/>
        <w:numPr>
          <w:ilvl w:val="0"/>
          <w:numId w:val="18"/>
        </w:numPr>
      </w:pPr>
      <w:r>
        <w:rPr>
          <w:b/>
        </w:rPr>
        <w:t>在线提取复用 KVConnector 管道，将隐藏状态层轴伪装为注意力头维度，实现了零拷贝、零 reshape 的高性价比工程方案。</w:t>
      </w:r>
    </w:p>
    <w:p>
      <w:pPr>
        <w:spacing w:after="80" w:line="290" w:lineRule="auto"/>
        <w:numPr>
          <w:ilvl w:val="0"/>
          <w:numId w:val="18"/>
        </w:numPr>
      </w:pPr>
      <w:r>
        <w:rPr>
          <w:b/>
        </w:rPr>
        <w:t>Mooncake Store 补齐了跨节点场景的最后一环，满足按 key 寻址、单边读取、有界可驱逐的全部硬性要求。</w:t>
      </w:r>
    </w:p>
    <w:p>
      <w:pPr>
        <w:spacing w:after="80" w:line="290" w:lineRule="auto"/>
        <w:numPr>
          <w:ilvl w:val="0"/>
          <w:numId w:val="18"/>
        </w:numPr>
      </w:pPr>
      <w:r>
        <w:rPr>
          <w:b/>
        </w:rPr>
        <w:t>Speculators 库提供了一站式解决方案。</w:t>
      </w:r>
      <w:r>
        <w:t xml:space="preserve"> 训练产出的 checkpoint 与 config 可被 vLLM 原生加载，消除了从训练到部署之间的胶水代码。</w:t>
      </w:r>
    </w:p>
    <w:p>
      <w:pPr>
        <w:pStyle w:val="Heading2"/>
      </w:pPr>
      <w:r>
        <w:t>明确局限</w:t>
      </w:r>
    </w:p>
    <w:p>
      <w:pPr>
        <w:spacing w:after="80" w:line="290" w:lineRule="auto"/>
        <w:numPr>
          <w:ilvl w:val="0"/>
          <w:numId w:val="10"/>
        </w:numPr>
      </w:pPr>
      <w:r>
        <w:rPr>
          <w:b/>
        </w:rPr>
        <w:t>Compute bound 下无收益。</w:t>
      </w:r>
      <w:r>
        <w:t xml:space="preserve"> 当推理引擎的 GPU 算力已饱和时，投机解码无法用算力换速度，反而造成额外开销，此时应动态关闭。</w:t>
      </w:r>
    </w:p>
    <w:p>
      <w:pPr>
        <w:spacing w:after="80" w:line="290" w:lineRule="auto"/>
        <w:numPr>
          <w:ilvl w:val="0"/>
          <w:numId w:val="10"/>
        </w:numPr>
      </w:pPr>
      <w:r>
        <w:rPr>
          <w:b/>
        </w:rPr>
        <w:t>置信度头的推理端支持尚未完全就绪。</w:t>
      </w:r>
      <w:r>
        <w:t xml:space="preserve"> DSpark 的置信度调度器机制在 vLLM 中仍处于开发阶段，当前线上部署主要依赖 Markov Head 修正。</w:t>
      </w:r>
    </w:p>
    <w:p>
      <w:pPr>
        <w:spacing w:after="80" w:line="290" w:lineRule="auto"/>
        <w:numPr>
          <w:ilvl w:val="0"/>
          <w:numId w:val="10"/>
        </w:numPr>
      </w:pPr>
      <w:r>
        <w:rPr>
          <w:b/>
        </w:rPr>
        <w:t>性能数据的适用条件需严格保留。</w:t>
      </w:r>
      <w:r>
        <w:t xml:space="preserve"> 30.0% 和 18.3% 的提升数字来自 Qwen3-14B、温度 1.0、链式草稿、关闭置信度调度器、块长 4–16、batch 128 的特定设置，泛化到其他模型和参数时需重新验证。</w:t>
      </w:r>
    </w:p>
    <w:p>
      <w:pPr>
        <w:spacing w:after="80" w:line="290" w:lineRule="auto"/>
        <w:numPr>
          <w:ilvl w:val="0"/>
          <w:numId w:val="10"/>
        </w:numPr>
      </w:pPr>
      <w:r>
        <w:rPr>
          <w:b/>
        </w:rPr>
        <w:t>Drafter 与 Target 严格耦合。</w:t>
      </w:r>
      <w:r>
        <w:t xml:space="preserve"> 一旦 Target 模型版本或量化方案变更，已有 Drafter 的接受率可能显著退化，需要重新训练或微调。</w:t>
      </w:r>
    </w:p>
    <w:p>
      <w:pPr>
        <w:spacing w:after="80" w:line="290" w:lineRule="auto"/>
        <w:numPr>
          <w:ilvl w:val="0"/>
          <w:numId w:val="10"/>
        </w:numPr>
      </w:pPr>
      <w:r>
        <w:rPr>
          <w:b/>
        </w:rPr>
        <w:t>Mooncake Store 依赖 RDMA 网络。</w:t>
      </w:r>
      <w:r>
        <w:t xml:space="preserve"> 演讲材料未提供跨节点传输的具体带宽或延迟基准数据，实际吞吐需结合集群网络拓扑评估。</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大模型推理加速：从隐藏状态提取到 DSpark 投机解码的工程实践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8E3u63EdR" TargetMode="External"/><Relationship Id="rId12" Type="http://schemas.openxmlformats.org/officeDocument/2006/relationships/hyperlink" Target="https://drive.google.com/file/d/1V-9hwDbbXJQFdCNKptFWOMprSqrhQNbq/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大模型推理加速：从隐藏状态提取到 DSpark 投机解码的工程实践</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