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VeRL-Omni 核心架构解析：多模态强化学习的系统级优化实践</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配套材料：verl-omni_slides_20260627.pptx</w:t>
      </w:r>
    </w:p>
    <w:p>
      <w:pPr>
        <w:spacing w:before="680"/>
        <w:jc w:val="center"/>
      </w:pPr>
      <w:r>
        <w:rPr>
          <w:rFonts w:ascii="Calibri" w:hAnsi="Calibri" w:eastAsia="Microsoft YaHei"/>
          <w:color w:val="626B75"/>
          <w:sz w:val="20"/>
        </w:rPr>
        <w:t>2026-08-05</w:t>
      </w:r>
      <w:r>
        <w:br w:type="page"/>
      </w:r>
    </w:p>
    <w:p>
      <w:pPr>
        <w:pStyle w:val="Lead"/>
      </w:pPr>
      <w:r>
        <w:rPr>
          <w:b/>
        </w:rPr>
        <w:t>原视频</w:t>
      </w:r>
      <w:r>
        <w:t>：</w:t>
      </w:r>
      <w:hyperlink r:id="rId11">
        <w:r>
          <w:rPr>
            <w:color w:val="0563C1"/>
            <w:u w:val="single"/>
          </w:rPr>
          <w:t>veRL-Omni：多模态大模型强化学习</w:t>
        </w:r>
      </w:hyperlink>
      <w:r>
        <w:t xml:space="preserve"> · </w:t>
      </w:r>
      <w:r>
        <w:rPr>
          <w:b/>
        </w:rPr>
        <w:t>配套资料</w:t>
      </w:r>
      <w:r>
        <w:t>：</w:t>
      </w:r>
      <w:hyperlink r:id="rId12">
        <w:r>
          <w:rPr>
            <w:color w:val="0563C1"/>
            <w:u w:val="single"/>
          </w:rPr>
          <w:t>veRL-Omni Slides</w:t>
        </w:r>
      </w:hyperlink>
    </w:p>
    <w:p>
      <w:pPr/>
      <w:r>
        <w:t>当强化学习的训练对象从纯文本大语言模型扩展到扩散模型与全模态模型，生成和评估两个阶段的计算特征同时发生质变。传统框架围绕"快速自回归采样 + 轻量规则奖励"的假设设计，一旦面对多步去噪轨迹与重度视觉语言奖励，流水线阻塞和资源闲置便接踵而至。VeRL-Omni 正是为解决这一结构性矛盾而从 VeRL 分离出的独立框架——它通过异步奖励流、步进式连续批处理和 Rollout 校准三项核心优化，在 Qwen-Image 场景下将单步训练时间从 190 s 压缩至 152 s，端到端吞吐提升约 20%。</w:t>
      </w:r>
    </w:p>
    <w:p>
      <w:pPr/>
      <w:r>
        <w:t>本文沿"瓶颈识别 → 架构设计 → 逐层优化 → 算法映射 → 性能验证"的因果链展开，完整剖析这套系统的工程决策与技术权衡。</w:t>
      </w:r>
    </w:p>
    <w:p>
      <w:pPr/>
      <w:r>
        <w:rPr>
          <w:b/>
        </w:rPr>
        <w:t>适读人群</w:t>
      </w:r>
      <w:r>
        <w:t>：具备大模型训练基础，希望了解多模态 RL（如扩散模型、全模态模型）系统设计与性能优化的 AI 系统工程师及算法研究员。</w:t>
      </w:r>
    </w:p>
    <w:p>
      <w:pPr/>
      <w:r>
        <w:rPr>
          <w:b/>
        </w:rPr>
        <w:t>前置知识</w:t>
      </w:r>
      <w:r>
        <w:t>：</w:t>
      </w:r>
    </w:p>
    <w:p>
      <w:pPr>
        <w:spacing w:after="80" w:line="290" w:lineRule="auto"/>
        <w:numPr>
          <w:ilvl w:val="0"/>
          <w:numId w:val="10"/>
        </w:numPr>
      </w:pPr>
      <w:r>
        <w:t>强化学习基础：PPO / GRPO 算法原理</w:t>
      </w:r>
    </w:p>
    <w:p>
      <w:pPr>
        <w:spacing w:after="80" w:line="290" w:lineRule="auto"/>
        <w:numPr>
          <w:ilvl w:val="0"/>
          <w:numId w:val="10"/>
        </w:numPr>
      </w:pPr>
      <w:r>
        <w:t>大语言模型分布式训练框架：如 Megatron、FSDP</w:t>
      </w:r>
    </w:p>
    <w:p>
      <w:pPr>
        <w:spacing w:after="80" w:line="290" w:lineRule="auto"/>
        <w:numPr>
          <w:ilvl w:val="0"/>
          <w:numId w:val="10"/>
        </w:numPr>
      </w:pPr>
      <w:r>
        <w:t>扩散模型（Diffusion Model）基础去噪原理</w:t>
      </w:r>
    </w:p>
    <w:p>
      <w:pPr/>
      <w:r>
        <w:rPr>
          <w:b/>
        </w:rPr>
        <w:t>阅读目标</w:t>
      </w:r>
      <w:r>
        <w:t>：</w:t>
      </w:r>
    </w:p>
    <w:p>
      <w:pPr>
        <w:spacing w:after="80" w:line="290" w:lineRule="auto"/>
        <w:numPr>
          <w:ilvl w:val="0"/>
          <w:numId w:val="12"/>
        </w:numPr>
      </w:pPr>
      <w:r>
        <w:t>理解多模态 RL 与传统 LLM RL 在系统设计上的核心差异</w:t>
      </w:r>
    </w:p>
    <w:p>
      <w:pPr>
        <w:spacing w:after="80" w:line="290" w:lineRule="auto"/>
        <w:numPr>
          <w:ilvl w:val="0"/>
          <w:numId w:val="12"/>
        </w:numPr>
      </w:pPr>
      <w:r>
        <w:t>掌握 VeRL-Omni 的 HybridFlow 架构及三大核心优化——异步奖励、连续批处理、Rollout 校准</w:t>
      </w:r>
    </w:p>
    <w:p>
      <w:pPr>
        <w:spacing w:after="80" w:line="290" w:lineRule="auto"/>
        <w:numPr>
          <w:ilvl w:val="0"/>
          <w:numId w:val="12"/>
        </w:numPr>
      </w:pPr>
      <w:r>
        <w:t>了解 FlowGRPO 算法在扩散模型中的工程映射与边界条件</w:t>
      </w:r>
    </w:p>
    <w:p>
      <w:pPr>
        <w:pStyle w:val="Heading1"/>
      </w:pPr>
      <w:r>
        <w:t>一、多模态 RL 的工程矛盾：从 LLM 到扩散模型的范式转移</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：为什么传统的 LLM RL 框架无法高效支持扩散模型与全模态模型的训练？</w:t>
      </w:r>
    </w:p>
    <w:p>
      <w:pPr>
        <w:pStyle w:val="Heading2"/>
      </w:pPr>
      <w:r>
        <w:t>模型形态的多样化</w:t>
      </w:r>
    </w:p>
    <w:p>
      <w:pPr/>
      <w:r>
        <w:t>从纯文本 LLM 到全模态基础设施，模型架构已经分化出三条截然不同的路线。下图展示了这一演进及三类代表性架构，帮助我们理解多模态 RL 必须面对的异构性。</w:t>
      </w:r>
    </w:p>
    <w:p>
      <w:pPr>
        <w:keepNext/>
        <w:keepLines/>
        <w:spacing w:before="120" w:after="0"/>
        <w:jc w:val="center"/>
      </w:pPr>
      <w:r>
        <w:drawing>
          <wp:inline xmlns:a="http://schemas.openxmlformats.org/drawingml/2006/main" xmlns:pic="http://schemas.openxmlformats.org/drawingml/2006/picture">
            <wp:extent cx="5943600" cy="2423874"/>
            <wp:docPr id="1" name="Picture 1" descr="多模态模型架构演进示意图：从纯文本 LLM 到全模态异构输出" title="多模态模型架构演进示意图：从纯文本 LLM 到全模态异构输出"/>
            <wp:cNvGraphicFramePr>
              <a:graphicFrameLocks noChangeAspect="1"/>
            </wp:cNvGraphicFramePr>
            <a:graphic>
              <a:graphicData uri="http://schemas.openxmlformats.org/drawingml/2006/picture">
                <pic:pic>
                  <pic:nvPicPr>
                    <pic:cNvPr id="0" name="slide-08.png"/>
                    <pic:cNvPicPr/>
                  </pic:nvPicPr>
                  <pic:blipFill>
                    <a:blip r:embed="rId13"/>
                    <a:stretch>
                      <a:fillRect/>
                    </a:stretch>
                  </pic:blipFill>
                  <pic:spPr>
                    <a:xfrm>
                      <a:off x="0" y="0"/>
                      <a:ext cx="5943600" cy="2423874"/>
                    </a:xfrm>
                    <a:prstGeom prst="rect"/>
                  </pic:spPr>
                </pic:pic>
              </a:graphicData>
            </a:graphic>
          </wp:inline>
        </w:drawing>
      </w:r>
    </w:p>
    <w:p>
      <w:pPr/>
      <w:r>
        <w:rPr>
          <w:i/>
        </w:rPr>
        <w:t>图注：多模态基础设施的三类架构——全模态语言模型、扩散生成器与统一理解-生成模型。来源：演讲 PPT 第 8 页</w:t>
      </w:r>
    </w:p>
    <w:p>
      <w:pPr/>
      <w:r>
        <w:t>三条路线的关键特征对比：</w:t>
      </w:r>
    </w:p>
    <w:tbl>
      <w:tblPr>
        <w:tblStyle w:val="TableGrid"/>
        <w:tblW w:type="dxa" w:w="9360"/>
        <w:jc w:val="left"/>
        <w:tblLayout w:type="fixed"/>
        <w:tblLook w:firstColumn="1" w:firstRow="1" w:lastColumn="0" w:lastRow="0" w:noHBand="0" w:noVBand="1" w:val="04A0"/>
        <w:tblInd w:w="120" w:type="dxa"/>
      </w:tblPr>
      <w:tblGrid>
        <w:gridCol w:w="2771"/>
        <w:gridCol w:w="3041"/>
        <w:gridCol w:w="2070"/>
        <w:gridCol w:w="1478"/>
      </w:tblGrid>
      <w:tr>
        <w:trPr>
          <w:tblHeader w:val="true"/>
        </w:trPr>
        <w:tc>
          <w:tcPr>
            <w:tcW w:type="dxa" w:w="27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架构类型</w:t>
            </w:r>
          </w:p>
        </w:tc>
        <w:tc>
          <w:tcPr>
            <w:tcW w:type="dxa" w:w="304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核心骨干</w:t>
            </w:r>
          </w:p>
        </w:tc>
        <w:tc>
          <w:tcPr>
            <w:tcW w:type="dxa" w:w="207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典型代表</w:t>
            </w:r>
          </w:p>
        </w:tc>
        <w:tc>
          <w:tcPr>
            <w:tcW w:type="dxa" w:w="147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输出模态</w:t>
            </w:r>
          </w:p>
        </w:tc>
      </w:tr>
      <w:tr>
        <w:tc>
          <w:tcPr>
            <w:tcW w:type="dxa" w:w="2771"/>
            <w:vAlign w:val="center"/>
            <w:tcMar>
              <w:top w:w="80" w:type="dxa"/>
              <w:start w:w="120" w:type="dxa"/>
              <w:bottom w:w="80" w:type="dxa"/>
              <w:end w:w="120" w:type="dxa"/>
            </w:tcMar>
          </w:tcPr>
          <w:p>
            <w:pPr>
              <w:spacing w:before="0" w:after="0" w:line="259" w:lineRule="auto"/>
            </w:pPr>
            <w:r>
              <w:rPr>
                <w:rFonts w:ascii="Calibri" w:hAnsi="Calibri" w:eastAsia="Microsoft YaHei"/>
                <w:sz w:val="18"/>
              </w:rPr>
              <w:t>全模态语言模型（Omni-modality LM）</w:t>
            </w:r>
          </w:p>
        </w:tc>
        <w:tc>
          <w:tcPr>
            <w:tcW w:type="dxa" w:w="3041"/>
            <w:vAlign w:val="center"/>
            <w:tcMar>
              <w:top w:w="80" w:type="dxa"/>
              <w:start w:w="120" w:type="dxa"/>
              <w:bottom w:w="80" w:type="dxa"/>
              <w:end w:w="120" w:type="dxa"/>
            </w:tcMar>
          </w:tcPr>
          <w:p>
            <w:pPr>
              <w:spacing w:before="0" w:after="0" w:line="259" w:lineRule="auto"/>
            </w:pPr>
            <w:r>
              <w:rPr>
                <w:rFonts w:ascii="Calibri" w:hAnsi="Calibri" w:eastAsia="Microsoft YaHei"/>
                <w:sz w:val="18"/>
              </w:rPr>
              <w:t>AR Thinker + AR Talker + DiT Vocoder</w:t>
            </w:r>
          </w:p>
        </w:tc>
        <w:tc>
          <w:tcPr>
            <w:tcW w:type="dxa" w:w="20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Qwen3-Omni</w:t>
            </w:r>
          </w:p>
        </w:tc>
        <w:tc>
          <w:tcPr>
            <w:tcW w:type="dxa" w:w="14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文本 + 语音</w:t>
            </w:r>
          </w:p>
        </w:tc>
      </w:tr>
      <w:tr>
        <w:tc>
          <w:tcPr>
            <w:tcW w:type="dxa" w:w="2771"/>
            <w:vAlign w:val="center"/>
            <w:tcMar>
              <w:top w:w="80" w:type="dxa"/>
              <w:start w:w="120" w:type="dxa"/>
              <w:bottom w:w="80" w:type="dxa"/>
              <w:end w:w="120" w:type="dxa"/>
            </w:tcMar>
          </w:tcPr>
          <w:p>
            <w:pPr>
              <w:spacing w:before="0" w:after="0" w:line="259" w:lineRule="auto"/>
            </w:pPr>
            <w:r>
              <w:rPr>
                <w:rFonts w:ascii="Calibri" w:hAnsi="Calibri" w:eastAsia="Microsoft YaHei"/>
                <w:sz w:val="18"/>
              </w:rPr>
              <w:t>扩散生成器（Diffusion Generator）</w:t>
            </w:r>
          </w:p>
        </w:tc>
        <w:tc>
          <w:tcPr>
            <w:tcW w:type="dxa" w:w="3041"/>
            <w:vAlign w:val="center"/>
            <w:tcMar>
              <w:top w:w="80" w:type="dxa"/>
              <w:start w:w="120" w:type="dxa"/>
              <w:bottom w:w="80" w:type="dxa"/>
              <w:end w:w="120" w:type="dxa"/>
            </w:tcMar>
          </w:tcPr>
          <w:p>
            <w:pPr>
              <w:spacing w:before="0" w:after="0" w:line="259" w:lineRule="auto"/>
            </w:pPr>
            <w:r>
              <w:rPr>
                <w:rFonts w:ascii="Calibri" w:hAnsi="Calibri" w:eastAsia="Microsoft YaHei"/>
                <w:sz w:val="18"/>
              </w:rPr>
              <w:t>多模态编码器 + N 步采样 DiT + VAE 解码器</w:t>
            </w:r>
          </w:p>
        </w:tc>
        <w:tc>
          <w:tcPr>
            <w:tcW w:type="dxa" w:w="2070"/>
            <w:vAlign w:val="center"/>
            <w:tcMar>
              <w:top w:w="80" w:type="dxa"/>
              <w:start w:w="120" w:type="dxa"/>
              <w:bottom w:w="80" w:type="dxa"/>
              <w:end w:w="120" w:type="dxa"/>
            </w:tcMar>
          </w:tcPr>
          <w:p>
            <w:pPr>
              <w:spacing w:before="0" w:after="0" w:line="259" w:lineRule="auto"/>
            </w:pPr>
            <w:r>
              <w:rPr>
                <w:rFonts w:ascii="Calibri" w:hAnsi="Calibri" w:eastAsia="Microsoft YaHei"/>
                <w:sz w:val="18"/>
              </w:rPr>
              <w:t>Qwen-Image, Wan2.2</w:t>
            </w:r>
          </w:p>
        </w:tc>
        <w:tc>
          <w:tcPr>
            <w:tcW w:type="dxa" w:w="14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图像 / 视频</w:t>
            </w:r>
          </w:p>
        </w:tc>
      </w:tr>
      <w:tr>
        <w:tc>
          <w:tcPr>
            <w:tcW w:type="dxa" w:w="2771"/>
            <w:vAlign w:val="center"/>
            <w:tcMar>
              <w:top w:w="80" w:type="dxa"/>
              <w:start w:w="120" w:type="dxa"/>
              <w:bottom w:w="80" w:type="dxa"/>
              <w:end w:w="120" w:type="dxa"/>
            </w:tcMar>
          </w:tcPr>
          <w:p>
            <w:pPr>
              <w:spacing w:before="0" w:after="0" w:line="259" w:lineRule="auto"/>
            </w:pPr>
            <w:r>
              <w:rPr>
                <w:rFonts w:ascii="Calibri" w:hAnsi="Calibri" w:eastAsia="Microsoft YaHei"/>
                <w:sz w:val="18"/>
              </w:rPr>
              <w:t>统一理解与生成（Unified MM Und. &amp; Gen.）</w:t>
            </w:r>
          </w:p>
        </w:tc>
        <w:tc>
          <w:tcPr>
            <w:tcW w:type="dxa" w:w="3041"/>
            <w:vAlign w:val="center"/>
            <w:tcMar>
              <w:top w:w="80" w:type="dxa"/>
              <w:start w:w="120" w:type="dxa"/>
              <w:bottom w:w="80" w:type="dxa"/>
              <w:end w:w="120" w:type="dxa"/>
            </w:tcMar>
          </w:tcPr>
          <w:p>
            <w:pPr>
              <w:spacing w:before="0" w:after="0" w:line="259" w:lineRule="auto"/>
            </w:pPr>
            <w:r>
              <w:rPr>
                <w:rFonts w:ascii="Calibri" w:hAnsi="Calibri" w:eastAsia="Microsoft YaHei"/>
                <w:sz w:val="18"/>
              </w:rPr>
              <w:t>AR 理解专家 + Rectified Flow 生成专家</w:t>
            </w:r>
          </w:p>
        </w:tc>
        <w:tc>
          <w:tcPr>
            <w:tcW w:type="dxa" w:w="20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BAGEL</w:t>
            </w:r>
          </w:p>
        </w:tc>
        <w:tc>
          <w:tcPr>
            <w:tcW w:type="dxa" w:w="147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文本 + 图像</w:t>
            </w:r>
          </w:p>
        </w:tc>
      </w:tr>
    </w:tbl>
    <w:p>
      <w:pPr>
        <w:spacing w:after="40"/>
      </w:pPr>
    </w:p>
    <w:p>
      <w:pPr/>
      <w:r>
        <w:t>关键观察：</w:t>
      </w:r>
      <w:r>
        <w:rPr>
          <w:b/>
        </w:rPr>
        <w:t>三类架构均包含非自回归组件</w:t>
      </w:r>
      <w:r>
        <w:t>——DiT 声码器、N 步扩散采样或 Rectified Flow。生成过程不再是逐 Token 追加，而是在隐空间（Latent Space，即模型内部的压缩特征空间）中执行多步去噪迭代。这一结构性差异是传统 LLM RL 流水线失效的根本原因。</w:t>
      </w:r>
    </w:p>
    <w:p>
      <w:pPr>
        <w:pStyle w:val="Heading2"/>
      </w:pPr>
      <w:r>
        <w:t>LLM RL 与 Diffusion RL 的逐项对比</w:t>
      </w:r>
    </w:p>
    <w:p>
      <w:pPr/>
      <w:r>
        <w:t>下表将两类 RL 训练场景的关键维度并列对照，是识别系统瓶颈的直接依据。</w:t>
      </w:r>
    </w:p>
    <w:p>
      <w:pPr>
        <w:keepNext/>
        <w:keepLines/>
        <w:spacing w:before="120" w:after="0"/>
        <w:jc w:val="center"/>
      </w:pPr>
      <w:r>
        <w:drawing>
          <wp:inline xmlns:a="http://schemas.openxmlformats.org/drawingml/2006/main" xmlns:pic="http://schemas.openxmlformats.org/drawingml/2006/picture">
            <wp:extent cx="5943600" cy="2792253"/>
            <wp:docPr id="2" name="Picture 2" descr="LLM RL 与 Diffusion RL 对比表" title="LLM RL 与 Diffusion RL 对比表"/>
            <wp:cNvGraphicFramePr>
              <a:graphicFrameLocks noChangeAspect="1"/>
            </wp:cNvGraphicFramePr>
            <a:graphic>
              <a:graphicData uri="http://schemas.openxmlformats.org/drawingml/2006/picture">
                <pic:pic>
                  <pic:nvPicPr>
                    <pic:cNvPr id="0" name="slide-10.png"/>
                    <pic:cNvPicPr/>
                  </pic:nvPicPr>
                  <pic:blipFill>
                    <a:blip r:embed="rId14"/>
                    <a:stretch>
                      <a:fillRect/>
                    </a:stretch>
                  </pic:blipFill>
                  <pic:spPr>
                    <a:xfrm>
                      <a:off x="0" y="0"/>
                      <a:ext cx="5943600" cy="2792253"/>
                    </a:xfrm>
                    <a:prstGeom prst="rect"/>
                  </pic:spPr>
                </pic:pic>
              </a:graphicData>
            </a:graphic>
          </wp:inline>
        </w:drawing>
      </w:r>
    </w:p>
    <w:p>
      <w:pPr/>
      <w:r>
        <w:rPr>
          <w:i/>
        </w:rPr>
        <w:t>图注：LLM RL 与 Diffusion RL 在采样、序列长度、后端、算法、奖励及训练更新方式上的差异。来源：演讲 PPT 第 10 页</w:t>
      </w:r>
    </w:p>
    <w:p>
      <w:pPr/>
      <w:r>
        <w:t>逐行拆解其中最影响系统设计的维度：</w:t>
      </w:r>
    </w:p>
    <w:p>
      <w:pPr/>
      <w:r>
        <w:rPr>
          <w:b/>
        </w:rPr>
        <w:t>生成采样（Rollout Sampling）</w:t>
      </w:r>
      <w:r>
        <w:t>：LLM RL 执行自回归 Token 解码，每步产出一个离散 Token；Diffusion RL 在隐空间中进行多步扩散采样，每步输出一整帧连续隐变量。两者的显存占用模式和算子调度完全不同。</w:t>
      </w:r>
    </w:p>
    <w:p>
      <w:pPr/>
      <w:r>
        <w:rPr>
          <w:b/>
        </w:rPr>
        <w:t>序列长度</w:t>
      </w:r>
      <w:r>
        <w:t>：LLM 的输出序列长度随问题难度高度可变；扩散模型的去噪步数通常固定（PPT 标注为"Fixed (mostly)"），但每步计算量远大于单次 Token 前向。</w:t>
      </w:r>
    </w:p>
    <w:p>
      <w:pPr/>
      <w:r>
        <w:rPr>
          <w:b/>
        </w:rPr>
        <w:t>采样后端（Rollout Backend）</w:t>
      </w:r>
      <w:r>
        <w:t>：LLM RL 普遍使用 vLLM 等高吞吐推理引擎；Diffusion RL 需要承载 DiT（Diffusion Transformer，扩散模型中的 Transformer 骨干网络）多步推理的专用后端——VeRL-Omni 中称为 vLLM-Omni。</w:t>
      </w:r>
    </w:p>
    <w:p>
      <w:pPr/>
      <w:r>
        <w:rPr>
          <w:b/>
        </w:rPr>
        <w:t>奖励计算（Reward）</w:t>
      </w:r>
      <w:r>
        <w:t>：这是最容易被低估的瓶颈。LLM RL 的奖励往往是规则匹配或轻量文本评分器；Diffusion RL 的奖励却需要调用 VLM（Vision-Language Model，视觉语言模型）、OCR 或偏好模型对生成的图像/音频打分，单次评估的开销可能与一次完整生成相当。</w:t>
      </w:r>
    </w:p>
    <w:p>
      <w:pPr/>
      <w:r>
        <w:rPr>
          <w:b/>
        </w:rPr>
        <w:t>策略更新（Actor Train）</w:t>
      </w:r>
      <w:r>
        <w:t>：LLM RL 对单条序列执行策略梯度更新；Diffusion RL 则需要对多步去噪轨迹执行联合更新，算法层面对应 FlowGRPO（Flow-based GRPO，一种适配扩散模型的 GRPO 变体）等专用算法。</w:t>
      </w:r>
    </w:p>
    <w:p>
      <w:pPr>
        <w:pStyle w:val="Heading2"/>
      </w:pPr>
      <w:r>
        <w:t>瓶颈的叠加因果链</w:t>
      </w:r>
    </w:p>
    <w:p>
      <w:pPr/>
      <w:r>
        <w:t>将以上差异串联，阻塞路径清晰可见：</w:t>
      </w:r>
    </w:p>
    <w:p>
      <w:pPr>
        <w:spacing w:after="80" w:line="290" w:lineRule="auto"/>
        <w:numPr>
          <w:ilvl w:val="0"/>
          <w:numId w:val="13"/>
        </w:numPr>
      </w:pPr>
      <w:r>
        <w:rPr>
          <w:b/>
        </w:rPr>
        <w:t>生成变重</w:t>
      </w:r>
      <w:r>
        <w:t>——多步 DiT 采样使单条 Rollout 的耗时和显存成倍增长；</w:t>
      </w:r>
    </w:p>
    <w:p>
      <w:pPr>
        <w:spacing w:after="80" w:line="290" w:lineRule="auto"/>
        <w:numPr>
          <w:ilvl w:val="0"/>
          <w:numId w:val="13"/>
        </w:numPr>
      </w:pPr>
      <w:r>
        <w:rPr>
          <w:b/>
        </w:rPr>
        <w:t>评估变重</w:t>
      </w:r>
      <w:r>
        <w:t>——VLM/OCR 奖励把"几乎免费"的打分环节变成另一个 GPU 密集任务；</w:t>
      </w:r>
    </w:p>
    <w:p>
      <w:pPr>
        <w:spacing w:after="80" w:line="290" w:lineRule="auto"/>
        <w:numPr>
          <w:ilvl w:val="0"/>
          <w:numId w:val="13"/>
        </w:numPr>
      </w:pPr>
      <w:r>
        <w:rPr>
          <w:b/>
        </w:rPr>
        <w:t>流水线停滞</w:t>
      </w:r>
      <w:r>
        <w:t>——传统框架假定奖励计算远快于生成，在同一组 GPU 上串行执行；一旦奖励同样昂贵，训练 Actor 的 GPU 被迫长时间空转；</w:t>
      </w:r>
    </w:p>
    <w:p>
      <w:pPr>
        <w:spacing w:after="80" w:line="290" w:lineRule="auto"/>
        <w:numPr>
          <w:ilvl w:val="0"/>
          <w:numId w:val="13"/>
        </w:numPr>
      </w:pPr>
      <w:r>
        <w:rPr>
          <w:b/>
        </w:rPr>
        <w:t>后端不可复用</w:t>
      </w:r>
      <w:r>
        <w:t>——vLLM 的 Token 级调度无法直接服务 DiT 推理，强行适配引入额外序列化开销。</w:t>
      </w:r>
    </w:p>
    <w:p>
      <w:pPr/>
      <w:r>
        <w:t>四层叠加的结果：即使单卡算力充足，整体训练吞吐仍被最慢环节锁死。</w:t>
      </w:r>
    </w:p>
    <w:p>
      <w:pPr>
        <w:spacing w:before="80" w:after="200" w:line="300" w:lineRule="auto"/>
        <w:ind w:left="317" w:right="173"/>
        <w:pBdr>
          <w:left w:val="single" w:sz="18" w:space="8" w:color="2E74B5"/>
        </w:pBdr>
        <w:shd w:fill="F4F6F9"/>
      </w:pPr>
      <w:r>
        <w:rPr>
          <w:rFonts w:ascii="Calibri" w:hAnsi="Calibri" w:eastAsia="Microsoft YaHei"/>
          <w:b/>
          <w:color w:val="203748"/>
          <w:sz w:val="23"/>
        </w:rPr>
        <w:t>结论</w:t>
      </w:r>
      <w:r>
        <w:rPr>
          <w:rFonts w:ascii="Calibri" w:hAnsi="Calibri" w:eastAsia="Microsoft YaHei"/>
          <w:color w:val="203748"/>
          <w:sz w:val="23"/>
        </w:rPr>
        <w:t>：多模态 RL 的核心矛盾在于</w:t>
      </w:r>
      <w:r>
        <w:rPr>
          <w:rFonts w:ascii="Calibri" w:hAnsi="Calibri" w:eastAsia="Microsoft YaHei"/>
          <w:b/>
          <w:color w:val="203748"/>
          <w:sz w:val="23"/>
        </w:rPr>
        <w:t>生成与评估两端同时变为计算密集型任务</w:t>
      </w:r>
      <w:r>
        <w:rPr>
          <w:rFonts w:ascii="Calibri" w:hAnsi="Calibri" w:eastAsia="Microsoft YaHei"/>
          <w:color w:val="203748"/>
          <w:sz w:val="23"/>
        </w:rPr>
        <w:t>，打破了 LLM RL 框架"轻奖励、快采样"的隐含假设。这是 VeRL-Omni 作为独立仓库从 VeRL 分离、追求更快迭代的直接动因。上述对比主要针对图像与视频扩散场景；对于语音等其他模态，奖励负载特征可能不同，演讲材料未给出量化数据。</w:t>
      </w:r>
    </w:p>
    <w:p>
      <w:pPr>
        <w:pStyle w:val="Heading1"/>
      </w:pPr>
      <w:r>
        <w:t>二、全局视角：HybridFlow 架构与引擎解耦</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：如何在单一控制器下协调生成、奖励与训练这三个异构且耗时的计算流？</w:t>
      </w:r>
    </w:p>
    <w:p>
      <w:pPr/>
      <w:r>
        <w:t>多模态 RL 的一个训练步至少包含三类截然不同的计算：</w:t>
      </w:r>
    </w:p>
    <w:tbl>
      <w:tblPr>
        <w:tblStyle w:val="TableGrid"/>
        <w:tblW w:type="dxa" w:w="9360"/>
        <w:jc w:val="left"/>
        <w:tblLayout w:type="fixed"/>
        <w:tblLook w:firstColumn="1" w:firstRow="1" w:lastColumn="0" w:lastRow="0" w:noHBand="0" w:noVBand="1" w:val="04A0"/>
        <w:tblInd w:w="120" w:type="dxa"/>
      </w:tblPr>
      <w:tblGrid>
        <w:gridCol w:w="2831"/>
        <w:gridCol w:w="2723"/>
        <w:gridCol w:w="3806"/>
      </w:tblGrid>
      <w:tr>
        <w:trPr>
          <w:tblHeader w:val="true"/>
        </w:trPr>
        <w:tc>
          <w:tcPr>
            <w:tcW w:type="dxa" w:w="283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272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计算特征</w:t>
            </w:r>
          </w:p>
        </w:tc>
        <w:tc>
          <w:tcPr>
            <w:tcW w:type="dxa" w:w="380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典型后端</w:t>
            </w:r>
          </w:p>
        </w:tc>
      </w:tr>
      <w:tr>
        <w:tc>
          <w:tcPr>
            <w:tcW w:type="dxa" w:w="2831"/>
            <w:vAlign w:val="center"/>
            <w:tcMar>
              <w:top w:w="80" w:type="dxa"/>
              <w:start w:w="120" w:type="dxa"/>
              <w:bottom w:w="80" w:type="dxa"/>
              <w:end w:w="120" w:type="dxa"/>
            </w:tcMar>
          </w:tcPr>
          <w:p>
            <w:pPr>
              <w:spacing w:before="0" w:after="0" w:line="259" w:lineRule="auto"/>
            </w:pPr>
            <w:r>
              <w:rPr>
                <w:rFonts w:ascii="Calibri" w:hAnsi="Calibri" w:eastAsia="Microsoft YaHei"/>
                <w:b/>
                <w:sz w:val="18"/>
              </w:rPr>
              <w:t>Rollout（生成）</w:t>
            </w:r>
          </w:p>
        </w:tc>
        <w:tc>
          <w:tcPr>
            <w:tcW w:type="dxa" w:w="272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自回归解码或扩散采样，延迟敏感</w:t>
            </w:r>
          </w:p>
        </w:tc>
        <w:tc>
          <w:tcPr>
            <w:tcW w:type="dxa" w:w="380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vLLM-Omni</w:t>
            </w:r>
          </w:p>
        </w:tc>
      </w:tr>
      <w:tr>
        <w:tc>
          <w:tcPr>
            <w:tcW w:type="dxa" w:w="2831"/>
            <w:vAlign w:val="center"/>
            <w:tcMar>
              <w:top w:w="80" w:type="dxa"/>
              <w:start w:w="120" w:type="dxa"/>
              <w:bottom w:w="80" w:type="dxa"/>
              <w:end w:w="120" w:type="dxa"/>
            </w:tcMar>
          </w:tcPr>
          <w:p>
            <w:pPr>
              <w:spacing w:before="0" w:after="0" w:line="259" w:lineRule="auto"/>
            </w:pPr>
            <w:r>
              <w:rPr>
                <w:rFonts w:ascii="Calibri" w:hAnsi="Calibri" w:eastAsia="Microsoft YaHei"/>
                <w:b/>
                <w:sz w:val="18"/>
              </w:rPr>
              <w:t>Reward（奖励）</w:t>
            </w:r>
          </w:p>
        </w:tc>
        <w:tc>
          <w:tcPr>
            <w:tcW w:type="dxa" w:w="272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多模态评估，可异步</w:t>
            </w:r>
          </w:p>
        </w:tc>
        <w:tc>
          <w:tcPr>
            <w:tcW w:type="dxa" w:w="380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视觉/音频奖励模型</w:t>
            </w:r>
          </w:p>
        </w:tc>
      </w:tr>
      <w:tr>
        <w:tc>
          <w:tcPr>
            <w:tcW w:type="dxa" w:w="2831"/>
            <w:vAlign w:val="center"/>
            <w:tcMar>
              <w:top w:w="80" w:type="dxa"/>
              <w:start w:w="120" w:type="dxa"/>
              <w:bottom w:w="80" w:type="dxa"/>
              <w:end w:w="120" w:type="dxa"/>
            </w:tcMar>
          </w:tcPr>
          <w:p>
            <w:pPr>
              <w:spacing w:before="0" w:after="0" w:line="259" w:lineRule="auto"/>
            </w:pPr>
            <w:r>
              <w:rPr>
                <w:rFonts w:ascii="Calibri" w:hAnsi="Calibri" w:eastAsia="Microsoft YaHei"/>
                <w:b/>
                <w:sz w:val="18"/>
              </w:rPr>
              <w:t>Actor Update（训练）</w:t>
            </w:r>
          </w:p>
        </w:tc>
        <w:tc>
          <w:tcPr>
            <w:tcW w:type="dxa" w:w="272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梯度计算与参数更新，显存密集</w:t>
            </w:r>
          </w:p>
        </w:tc>
        <w:tc>
          <w:tcPr>
            <w:tcW w:type="dxa" w:w="3806"/>
            <w:vAlign w:val="center"/>
            <w:tcMar>
              <w:top w:w="80" w:type="dxa"/>
              <w:start w:w="120" w:type="dxa"/>
              <w:bottom w:w="80" w:type="dxa"/>
              <w:end w:w="120" w:type="dxa"/>
            </w:tcMar>
          </w:tcPr>
          <w:p>
            <w:pPr>
              <w:spacing w:before="0" w:after="0" w:line="259" w:lineRule="auto"/>
            </w:pPr>
            <w:r>
              <w:rPr>
                <w:rFonts w:ascii="Calibri" w:hAnsi="Calibri" w:eastAsia="Microsoft YaHei"/>
                <w:sz w:val="18"/>
              </w:rPr>
              <w:t>FSDP2 / VeOmni / Megatron</w:t>
            </w:r>
          </w:p>
        </w:tc>
      </w:tr>
    </w:tbl>
    <w:p>
      <w:pPr>
        <w:spacing w:after="40"/>
      </w:pPr>
    </w:p>
    <w:p>
      <w:pPr/>
      <w:r>
        <w:t>三者对 GPU 的占用模式、并行策略和显存需求差异极大。VeRL-Omni 的选择是：</w:t>
      </w:r>
      <w:r>
        <w:rPr>
          <w:b/>
        </w:rPr>
        <w:t>用一个单控制器（Single-Controller）表达全局 RL 逻辑，同时让每个阶段作为独立的 SPMD（Single Program, Multiple Data，即同一份程序在多张卡上同时执行的并行模式）分布式工作组运行</w:t>
      </w:r>
      <w:r>
        <w:t>——这就是 HybridFlow 架构。</w:t>
      </w:r>
    </w:p>
    <w:p>
      <w:pPr>
        <w:pStyle w:val="Heading2"/>
      </w:pPr>
      <w:r>
        <w:t>架构分层与数据流</w:t>
      </w:r>
    </w:p>
    <w:p>
      <w:pPr/>
      <w:r>
        <w:t>下图展示了从控制器到引擎的完整分层结构，帮助理解各组件的职责边界和交互方式。</w:t>
      </w:r>
    </w:p>
    <w:p>
      <w:pPr>
        <w:keepNext/>
        <w:keepLines/>
        <w:spacing w:before="120" w:after="0"/>
        <w:jc w:val="center"/>
      </w:pPr>
      <w:r>
        <w:drawing>
          <wp:inline xmlns:a="http://schemas.openxmlformats.org/drawingml/2006/main" xmlns:pic="http://schemas.openxmlformats.org/drawingml/2006/picture">
            <wp:extent cx="5943600" cy="2454830"/>
            <wp:docPr id="3" name="Picture 3" descr="HybridFlow 架构：单控制器编排与 SPMD 分布式引擎的分层示意" title="HybridFlow 架构：单控制器编排与 SPMD 分布式引擎的分层示意"/>
            <wp:cNvGraphicFramePr>
              <a:graphicFrameLocks noChangeAspect="1"/>
            </wp:cNvGraphicFramePr>
            <a:graphic>
              <a:graphicData uri="http://schemas.openxmlformats.org/drawingml/2006/picture">
                <pic:pic>
                  <pic:nvPicPr>
                    <pic:cNvPr id="0" name="slide-11.png"/>
                    <pic:cNvPicPr/>
                  </pic:nvPicPr>
                  <pic:blipFill>
                    <a:blip r:embed="rId15"/>
                    <a:stretch>
                      <a:fillRect/>
                    </a:stretch>
                  </pic:blipFill>
                  <pic:spPr>
                    <a:xfrm>
                      <a:off x="0" y="0"/>
                      <a:ext cx="5943600" cy="2454830"/>
                    </a:xfrm>
                    <a:prstGeom prst="rect"/>
                  </pic:spPr>
                </pic:pic>
              </a:graphicData>
            </a:graphic>
          </wp:inline>
        </w:drawing>
      </w:r>
    </w:p>
    <w:p>
      <w:pPr/>
      <w:r>
        <w:rPr>
          <w:i/>
        </w:rPr>
        <w:t>图注：HybridFlow 分层结构与可复用数据流。来源：演讲 PPT 第 11 页</w:t>
      </w:r>
    </w:p>
    <w:p>
      <w:pPr/>
      <w:r>
        <w:t>自上而下呈现四个层次：</w:t>
      </w:r>
    </w:p>
    <w:p>
      <w:pPr/>
      <w:r>
        <w:rPr>
          <w:b/>
        </w:rPr>
        <w:t>Single-Controller（单控制器层）</w:t>
      </w:r>
      <w:r>
        <w:t>：位于最顶层，负责表达 RL 算法的宏观逻辑——例如 FlowGRPO、MixGRPO 或 DPO（Direct Preference Optimization，直接偏好优化）的循环流程。控制器本身是一段普通 Python 控制流，不承担任何张量计算，只发出"执行 Rollout""计算 Reward""更新 Actor"等指令。</w:t>
      </w:r>
    </w:p>
    <w:p>
      <w:pPr/>
      <w:r>
        <w:rPr>
          <w:b/>
        </w:rPr>
        <w:t>SPMD 工作组层</w:t>
      </w:r>
      <w:r>
        <w:t>：Actor、Rollout、Reward 各自组成独立的分布式工作组（Worker Group）。每个工作组内部通过集合通信（如 NCCL AllReduce）同步，工作组之间则由上层控制器调度串联。</w:t>
      </w:r>
    </w:p>
    <w:p>
      <w:pPr/>
      <w:r>
        <w:rPr>
          <w:b/>
        </w:rPr>
        <w:t>引擎无关层（Engine-Agnostic Workers）</w:t>
      </w:r>
      <w:r>
        <w:t>：工作组不绑定特定后端。训练引擎可选 FSDP2、VeOmni 或 Megatron；推理引擎可选 vLLM-Omni 或 SGLang。更换硬件或升级框架时只需替换引擎插件，控制器逻辑无需修改。</w:t>
      </w:r>
    </w:p>
    <w:p>
      <w:pPr/>
      <w:r>
        <w:rPr>
          <w:b/>
        </w:rPr>
        <w:t>Ray 资源池</w:t>
      </w:r>
      <w:r>
        <w:t>：所有工作组运行在 Ray 集群上，支持灵活的放置与共置策略——例如 Actor 训练结束后，其 GPU 可立即被 Rollout 工作组复用。</w:t>
      </w:r>
    </w:p>
    <w:p>
      <w:pPr/>
      <w:r>
        <w:t>图底部的线性流展示了一个训练步被抽象为可复用的数据流管线：</w:t>
      </w:r>
    </w:p>
    <w:p>
      <w:pPr>
        <w:spacing w:before="80" w:after="200" w:line="300" w:lineRule="auto"/>
        <w:ind w:left="317" w:right="173"/>
        <w:pBdr>
          <w:left w:val="single" w:sz="18" w:space="8" w:color="2E74B5"/>
        </w:pBdr>
        <w:shd w:fill="F4F6F9"/>
      </w:pPr>
      <w:r>
        <w:rPr>
          <w:rFonts w:ascii="Calibri" w:hAnsi="Calibri" w:eastAsia="Microsoft YaHei"/>
          <w:b/>
          <w:color w:val="203748"/>
          <w:sz w:val="23"/>
        </w:rPr>
        <w:t>Prompt → Rollout → Reward → Advantage → Actor update → Weight sync</w:t>
      </w:r>
    </w:p>
    <w:p>
      <w:pPr/>
      <w:r>
        <w:t>无论底层模型是大语言模型还是扩散模型，这条宏观循环结构保持一致，差异仅体现在各阶段内部的引擎实现。</w:t>
      </w:r>
    </w:p>
    <w:p>
      <w:pPr>
        <w:pStyle w:val="Heading2"/>
      </w:pPr>
      <w:r>
        <w:t>最小状态演进：一条图像生成 Prompt 的流转</w:t>
      </w:r>
    </w:p>
    <w:p>
      <w:pPr/>
      <w:r>
        <w:t>以一条包含参考图片的图像生成 Prompt 为例，观察它在不同工作组间的完整生命周期：</w:t>
      </w:r>
    </w:p>
    <w:tbl>
      <w:tblPr>
        <w:tblStyle w:val="TableGrid"/>
        <w:tblW w:type="dxa" w:w="9360"/>
        <w:jc w:val="left"/>
        <w:tblLayout w:type="fixed"/>
        <w:tblLook w:firstColumn="1" w:firstRow="1" w:lastColumn="0" w:lastRow="0" w:noHBand="0" w:noVBand="1" w:val="04A0"/>
        <w:tblInd w:w="120" w:type="dxa"/>
      </w:tblPr>
      <w:tblGrid>
        <w:gridCol w:w="1388"/>
        <w:gridCol w:w="2538"/>
        <w:gridCol w:w="3041"/>
        <w:gridCol w:w="2393"/>
      </w:tblGrid>
      <w:tr>
        <w:trPr>
          <w:tblHeader w:val="true"/>
        </w:trPr>
        <w:tc>
          <w:tcPr>
            <w:tcW w:type="dxa" w:w="13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步骤</w:t>
            </w:r>
          </w:p>
        </w:tc>
        <w:tc>
          <w:tcPr>
            <w:tcW w:type="dxa" w:w="253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所在工作组</w:t>
            </w:r>
          </w:p>
        </w:tc>
        <w:tc>
          <w:tcPr>
            <w:tcW w:type="dxa" w:w="304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动作</w:t>
            </w:r>
          </w:p>
        </w:tc>
        <w:tc>
          <w:tcPr>
            <w:tcW w:type="dxa" w:w="23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输出</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25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控制器</w:t>
            </w:r>
          </w:p>
        </w:tc>
        <w:tc>
          <w:tcPr>
            <w:tcW w:type="dxa" w:w="3041"/>
            <w:vAlign w:val="center"/>
            <w:tcMar>
              <w:top w:w="80" w:type="dxa"/>
              <w:start w:w="120" w:type="dxa"/>
              <w:bottom w:w="80" w:type="dxa"/>
              <w:end w:w="120" w:type="dxa"/>
            </w:tcMar>
          </w:tcPr>
          <w:p>
            <w:pPr>
              <w:spacing w:before="0" w:after="0" w:line="259" w:lineRule="auto"/>
            </w:pPr>
            <w:r>
              <w:rPr>
                <w:rFonts w:ascii="Calibri" w:hAnsi="Calibri" w:eastAsia="Microsoft YaHei"/>
                <w:sz w:val="18"/>
              </w:rPr>
              <w:t>从数据集采样 Prompt，分发给 Rollout 组</w:t>
            </w:r>
          </w:p>
        </w:tc>
        <w:tc>
          <w:tcPr>
            <w:tcW w:type="dxa" w:w="23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Prompt batch</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2538"/>
            <w:vAlign w:val="center"/>
            <w:tcMar>
              <w:top w:w="80" w:type="dxa"/>
              <w:start w:w="120" w:type="dxa"/>
              <w:bottom w:w="80" w:type="dxa"/>
              <w:end w:w="120" w:type="dxa"/>
            </w:tcMar>
          </w:tcPr>
          <w:p>
            <w:pPr>
              <w:spacing w:before="0" w:after="0" w:line="259" w:lineRule="auto"/>
            </w:pPr>
            <w:r>
              <w:rPr>
                <w:rFonts w:ascii="Calibri" w:hAnsi="Calibri" w:eastAsia="Microsoft YaHei"/>
                <w:sz w:val="18"/>
              </w:rPr>
              <w:t>Rollout 组（vLLM-Omni）</w:t>
            </w:r>
          </w:p>
        </w:tc>
        <w:tc>
          <w:tcPr>
            <w:tcW w:type="dxa" w:w="30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执行多模态采样，生成图像轨迹</w:t>
            </w:r>
          </w:p>
        </w:tc>
        <w:tc>
          <w:tcPr>
            <w:tcW w:type="dxa" w:w="2393"/>
            <w:vAlign w:val="center"/>
            <w:tcMar>
              <w:top w:w="80" w:type="dxa"/>
              <w:start w:w="120" w:type="dxa"/>
              <w:bottom w:w="80" w:type="dxa"/>
              <w:end w:w="120" w:type="dxa"/>
            </w:tcMar>
          </w:tcPr>
          <w:p>
            <w:pPr>
              <w:spacing w:before="0" w:after="0" w:line="259" w:lineRule="auto"/>
            </w:pPr>
            <w:r>
              <w:rPr>
                <w:rFonts w:ascii="Calibri" w:hAnsi="Calibri" w:eastAsia="Microsoft YaHei"/>
                <w:sz w:val="18"/>
              </w:rPr>
              <w:t>生成结果（Trajectories）</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25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Reward 组（视觉奖励模型）</w:t>
            </w:r>
          </w:p>
        </w:tc>
        <w:tc>
          <w:tcPr>
            <w:tcW w:type="dxa" w:w="30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对轨迹进行质量评估</w:t>
            </w:r>
          </w:p>
        </w:tc>
        <w:tc>
          <w:tcPr>
            <w:tcW w:type="dxa" w:w="23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每条轨迹的标量奖励</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25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控制器</w:t>
            </w:r>
          </w:p>
        </w:tc>
        <w:tc>
          <w:tcPr>
            <w:tcW w:type="dxa" w:w="3041"/>
            <w:vAlign w:val="center"/>
            <w:tcMar>
              <w:top w:w="80" w:type="dxa"/>
              <w:start w:w="120" w:type="dxa"/>
              <w:bottom w:w="80" w:type="dxa"/>
              <w:end w:w="120" w:type="dxa"/>
            </w:tcMar>
          </w:tcPr>
          <w:p>
            <w:pPr>
              <w:spacing w:before="0" w:after="0" w:line="259" w:lineRule="auto"/>
            </w:pPr>
            <w:r>
              <w:rPr>
                <w:rFonts w:ascii="Calibri" w:hAnsi="Calibri" w:eastAsia="Microsoft YaHei"/>
                <w:sz w:val="18"/>
              </w:rPr>
              <w:t>汇总奖励，计算优势值（Advantage）</w:t>
            </w:r>
          </w:p>
        </w:tc>
        <w:tc>
          <w:tcPr>
            <w:tcW w:type="dxa" w:w="23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Advantage 张量</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25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Actor 组（FSDP2）</w:t>
            </w:r>
          </w:p>
        </w:tc>
        <w:tc>
          <w:tcPr>
            <w:tcW w:type="dxa" w:w="30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基于优势值执行策略梯度更新</w:t>
            </w:r>
          </w:p>
        </w:tc>
        <w:tc>
          <w:tcPr>
            <w:tcW w:type="dxa" w:w="23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新参数</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⑥</w:t>
            </w:r>
          </w:p>
        </w:tc>
        <w:tc>
          <w:tcPr>
            <w:tcW w:type="dxa" w:w="25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控制器</w:t>
            </w:r>
          </w:p>
        </w:tc>
        <w:tc>
          <w:tcPr>
            <w:tcW w:type="dxa" w:w="30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将新权重同步回 Rollout 组</w:t>
            </w:r>
          </w:p>
        </w:tc>
        <w:tc>
          <w:tcPr>
            <w:tcW w:type="dxa" w:w="239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权重一致</w:t>
            </w:r>
          </w:p>
        </w:tc>
      </w:tr>
    </w:tbl>
    <w:p>
      <w:pPr>
        <w:spacing w:after="40"/>
      </w:pPr>
    </w:p>
    <w:p>
      <w:pPr/>
      <w:r>
        <w:t>步骤 ②③ 的结果通过 TransferQueue 或 RPC 机制在工作组间传递。步骤 ⑥ 的权重同步方向是 Actor → Rollout，确保下一轮生成使用最新策略。</w:t>
      </w:r>
    </w:p>
    <w:p>
      <w:pPr>
        <w:pStyle w:val="Heading2"/>
      </w:pPr>
      <w:r>
        <w:t>边界条件</w:t>
      </w:r>
    </w:p>
    <w:p>
      <w:pPr>
        <w:spacing w:after="80" w:line="290" w:lineRule="auto"/>
        <w:numPr>
          <w:ilvl w:val="0"/>
          <w:numId w:val="10"/>
        </w:numPr>
      </w:pPr>
      <w:r>
        <w:rPr>
          <w:b/>
        </w:rPr>
        <w:t>进程间通信开销</w:t>
      </w:r>
      <w:r>
        <w:t>：工作组解耦带来灵活性，但轨迹数据（尤其是图像或音频）在组间传递时可能成为瓶颈。演讲材料未给出该环节的具体延迟数据。</w:t>
      </w:r>
    </w:p>
    <w:p>
      <w:pPr>
        <w:spacing w:after="80" w:line="290" w:lineRule="auto"/>
        <w:numPr>
          <w:ilvl w:val="0"/>
          <w:numId w:val="10"/>
        </w:numPr>
      </w:pPr>
      <w:r>
        <w:rPr>
          <w:b/>
        </w:rPr>
        <w:t>单控制器的串行约束</w:t>
      </w:r>
      <w:r>
        <w:t>：当前数据流是线性管线，Rollout 与 Reward 之间默认串行执行。要实现阶段间流水并行，需在控制器层引入异步调度逻辑——下一节将讨论的"步进式连续批处理"和后续的"异步奖励流"正是为此而设计。</w:t>
      </w:r>
    </w:p>
    <w:p>
      <w:pPr>
        <w:spacing w:after="80" w:line="290" w:lineRule="auto"/>
        <w:numPr>
          <w:ilvl w:val="0"/>
          <w:numId w:val="10"/>
        </w:numPr>
      </w:pPr>
      <w:r>
        <w:rPr>
          <w:b/>
        </w:rPr>
        <w:t>引擎替换的验证成本</w:t>
      </w:r>
      <w:r>
        <w:t>：虽然架构层面实现了引擎无关，但每个新后端仍需适配数据格式和通信协议，并非零成本热插拔。</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小结</w:t>
      </w:r>
      <w:r>
        <w:rPr>
          <w:rFonts w:ascii="Calibri" w:hAnsi="Calibri" w:eastAsia="Microsoft YaHei"/>
          <w:color w:val="203748"/>
          <w:sz w:val="23"/>
        </w:rPr>
        <w:t>：HybridFlow 通过"单控制器编排 + SPMD 工作组执行"的分层设计，将 RL 训练的全局复杂度收敛到一条可复用的线性数据流上，同时保留了对不同模型架构和硬件后端的适配弹性。接下来，我们逐一深入数据流中的三个瓶颈点——Rollout、Reward 和 Actor Update——看 VeRL-Omni 如何逐层优化。</w:t>
      </w:r>
    </w:p>
    <w:p>
      <w:pPr>
        <w:pStyle w:val="Heading1"/>
      </w:pPr>
      <w:r>
        <w:t>三、生成优化：步进式连续批处理破解去噪延迟</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：扩散模型多步去噪导致请求到达与完成时间不一，如何最大化 Rollout 阶段的 GPU 吞吐？</w:t>
      </w:r>
    </w:p>
    <w:p>
      <w:pPr/>
      <w:r>
        <w:t>扩散模型的每条生成请求需经历多步去噪迭代，不同请求的去噪步数可能不同，Latent 形状（即中间隐变量的空间分辨率）也因目标分辨率而异。传统静态批处理把一批请求绑在一起，必须等最慢的那条跑完才能释放——步数少的请求被迫陪跑，浪费的算力变成 Padding 开销。</w:t>
      </w:r>
    </w:p>
    <w:p>
      <w:pPr/>
      <w:r>
        <w:t>VeRL-Omni 的方案是</w:t>
      </w:r>
      <w:r>
        <w:rPr>
          <w:b/>
        </w:rPr>
        <w:t>步进式连续批处理（Step-wise Continuous Batching）</w:t>
      </w:r>
      <w:r>
        <w:t>：以单步去噪为调度粒度，让调度器在每一步重新审视哪些请求可以拼到一起执行，实现请求的动态加入与乱序返回。</w:t>
      </w:r>
    </w:p>
    <w:p>
      <w:pPr>
        <w:pStyle w:val="Heading2"/>
      </w:pPr>
      <w:r>
        <w:t>执行流水线全貌</w:t>
      </w:r>
    </w:p>
    <w:p>
      <w:pPr/>
      <w:r>
        <w:t>下图展示了从异步请求到达、到调度组批、再到乱序返回的完整时间线，是理解该机制的核心。</w:t>
      </w:r>
    </w:p>
    <w:p>
      <w:pPr>
        <w:keepNext/>
        <w:keepLines/>
        <w:spacing w:before="120" w:after="0"/>
        <w:jc w:val="center"/>
      </w:pPr>
      <w:r>
        <w:drawing>
          <wp:inline xmlns:a="http://schemas.openxmlformats.org/drawingml/2006/main" xmlns:pic="http://schemas.openxmlformats.org/drawingml/2006/picture">
            <wp:extent cx="5943600" cy="2737868"/>
            <wp:docPr id="4" name="Picture 4" descr="步进式连续批处理流水线：异步请求经 Scheduler 组批后由 Worker 逐步执行并乱序返回" title="步进式连续批处理流水线：异步请求经 Scheduler 组批后由 Worker 逐步执行并乱序返回"/>
            <wp:cNvGraphicFramePr>
              <a:graphicFrameLocks noChangeAspect="1"/>
            </wp:cNvGraphicFramePr>
            <a:graphic>
              <a:graphicData uri="http://schemas.openxmlformats.org/drawingml/2006/picture">
                <pic:pic>
                  <pic:nvPicPr>
                    <pic:cNvPr id="0" name="slide-16.png"/>
                    <pic:cNvPicPr/>
                  </pic:nvPicPr>
                  <pic:blipFill>
                    <a:blip r:embed="rId16"/>
                    <a:stretch>
                      <a:fillRect/>
                    </a:stretch>
                  </pic:blipFill>
                  <pic:spPr>
                    <a:xfrm>
                      <a:off x="0" y="0"/>
                      <a:ext cx="5943600" cy="2737868"/>
                    </a:xfrm>
                    <a:prstGeom prst="rect"/>
                  </pic:spPr>
                </pic:pic>
              </a:graphicData>
            </a:graphic>
          </wp:inline>
        </w:drawing>
      </w:r>
    </w:p>
    <w:p>
      <w:pPr/>
      <w:r>
        <w:rPr>
          <w:i/>
        </w:rPr>
        <w:t>图注：异步到达的请求经 Scheduler 按形状与 CFG 兼容性组批，由 ModelRunner 逐步执行后乱序返回。来源：演讲 PPT 第 16 页</w:t>
      </w:r>
    </w:p>
    <w:p>
      <w:pPr/>
      <w:r>
        <w:t>图中五个关键阶段：</w:t>
      </w:r>
    </w:p>
    <w:tbl>
      <w:tblPr>
        <w:tblStyle w:val="TableGrid"/>
        <w:tblW w:type="dxa" w:w="9360"/>
        <w:jc w:val="left"/>
        <w:tblLayout w:type="fixed"/>
        <w:tblLook w:firstColumn="1" w:firstRow="1" w:lastColumn="0" w:lastRow="0" w:noHBand="0" w:noVBand="1" w:val="04A0"/>
        <w:tblInd w:w="120" w:type="dxa"/>
      </w:tblPr>
      <w:tblGrid>
        <w:gridCol w:w="2493"/>
        <w:gridCol w:w="2841"/>
        <w:gridCol w:w="4026"/>
      </w:tblGrid>
      <w:tr>
        <w:trPr>
          <w:tblHeader w:val="true"/>
        </w:trPr>
        <w:tc>
          <w:tcPr>
            <w:tcW w:type="dxa" w:w="249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284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图中元素</w:t>
            </w:r>
          </w:p>
        </w:tc>
        <w:tc>
          <w:tcPr>
            <w:tcW w:type="dxa" w:w="40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职责</w:t>
            </w:r>
          </w:p>
        </w:tc>
      </w:tr>
      <w:tr>
        <w:tc>
          <w:tcPr>
            <w:tcW w:type="dxa" w:w="2493"/>
            <w:vAlign w:val="center"/>
            <w:tcMar>
              <w:top w:w="80" w:type="dxa"/>
              <w:start w:w="120" w:type="dxa"/>
              <w:bottom w:w="80" w:type="dxa"/>
              <w:end w:w="120" w:type="dxa"/>
            </w:tcMar>
          </w:tcPr>
          <w:p>
            <w:pPr>
              <w:spacing w:before="0" w:after="0" w:line="259" w:lineRule="auto"/>
            </w:pPr>
            <w:r>
              <w:rPr>
                <w:rFonts w:ascii="Calibri" w:hAnsi="Calibri" w:eastAsia="Microsoft YaHei"/>
                <w:sz w:val="18"/>
              </w:rPr>
              <w:t>异步到达</w:t>
            </w:r>
          </w:p>
        </w:tc>
        <w:tc>
          <w:tcPr>
            <w:tcW w:type="dxa" w:w="2841"/>
            <w:vAlign w:val="center"/>
            <w:tcMar>
              <w:top w:w="80" w:type="dxa"/>
              <w:start w:w="120" w:type="dxa"/>
              <w:bottom w:w="80" w:type="dxa"/>
              <w:end w:w="120" w:type="dxa"/>
            </w:tcMar>
          </w:tcPr>
          <w:p>
            <w:pPr>
              <w:spacing w:before="0" w:after="0" w:line="259" w:lineRule="auto"/>
            </w:pPr>
            <w:r>
              <w:rPr>
                <w:rFonts w:ascii="Calibri" w:hAnsi="Calibri" w:eastAsia="Microsoft YaHei"/>
                <w:sz w:val="18"/>
              </w:rPr>
              <w:t>时间轴上依次出现的请求 A → C → B → D</w:t>
            </w:r>
          </w:p>
        </w:tc>
        <w:tc>
          <w:tcPr>
            <w:tcW w:type="dxa" w:w="4026"/>
            <w:vAlign w:val="center"/>
            <w:tcMar>
              <w:top w:w="80" w:type="dxa"/>
              <w:start w:w="120" w:type="dxa"/>
              <w:bottom w:w="80" w:type="dxa"/>
              <w:end w:w="120" w:type="dxa"/>
            </w:tcMar>
          </w:tcPr>
          <w:p>
            <w:pPr>
              <w:spacing w:before="0" w:after="0" w:line="259" w:lineRule="auto"/>
            </w:pPr>
            <w:r>
              <w:rPr>
                <w:rFonts w:ascii="Calibri" w:hAnsi="Calibri" w:eastAsia="Microsoft YaHei"/>
                <w:sz w:val="18"/>
              </w:rPr>
              <w:t>不同时刻提交，步数和 Latent 形状各异</w:t>
            </w:r>
          </w:p>
        </w:tc>
      </w:tr>
      <w:tr>
        <w:tc>
          <w:tcPr>
            <w:tcW w:type="dxa" w:w="2493"/>
            <w:vAlign w:val="center"/>
            <w:tcMar>
              <w:top w:w="80" w:type="dxa"/>
              <w:start w:w="120" w:type="dxa"/>
              <w:bottom w:w="80" w:type="dxa"/>
              <w:end w:w="120" w:type="dxa"/>
            </w:tcMar>
          </w:tcPr>
          <w:p>
            <w:pPr>
              <w:spacing w:before="0" w:after="0" w:line="259" w:lineRule="auto"/>
            </w:pPr>
            <w:r>
              <w:rPr>
                <w:rFonts w:ascii="Calibri" w:hAnsi="Calibri" w:eastAsia="Microsoft YaHei"/>
                <w:sz w:val="18"/>
              </w:rPr>
              <w:t>异步扩散引擎</w:t>
            </w:r>
          </w:p>
        </w:tc>
        <w:tc>
          <w:tcPr>
            <w:tcW w:type="dxa" w:w="2841"/>
            <w:vAlign w:val="center"/>
            <w:tcMar>
              <w:top w:w="80" w:type="dxa"/>
              <w:start w:w="120" w:type="dxa"/>
              <w:bottom w:w="80" w:type="dxa"/>
              <w:end w:w="120" w:type="dxa"/>
            </w:tcMar>
          </w:tcPr>
          <w:p>
            <w:pPr>
              <w:spacing w:before="0" w:after="0" w:line="259" w:lineRule="auto"/>
            </w:pPr>
            <w:r>
              <w:rPr>
                <w:rFonts w:ascii="Calibri" w:hAnsi="Calibri" w:eastAsia="Microsoft YaHei"/>
                <w:sz w:val="18"/>
              </w:rPr>
              <w:t>Async Diffusion Engine</w:t>
            </w:r>
          </w:p>
        </w:tc>
        <w:tc>
          <w:tcPr>
            <w:tcW w:type="dxa" w:w="40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接收请求并缓存至待调度队列</w:t>
            </w:r>
          </w:p>
        </w:tc>
      </w:tr>
      <w:tr>
        <w:tc>
          <w:tcPr>
            <w:tcW w:type="dxa" w:w="2493"/>
            <w:vAlign w:val="center"/>
            <w:tcMar>
              <w:top w:w="80" w:type="dxa"/>
              <w:start w:w="120" w:type="dxa"/>
              <w:bottom w:w="80" w:type="dxa"/>
              <w:end w:w="120" w:type="dxa"/>
            </w:tcMar>
          </w:tcPr>
          <w:p>
            <w:pPr>
              <w:spacing w:before="0" w:after="0" w:line="259" w:lineRule="auto"/>
            </w:pPr>
            <w:r>
              <w:rPr>
                <w:rFonts w:ascii="Calibri" w:hAnsi="Calibri" w:eastAsia="Microsoft YaHei"/>
                <w:sz w:val="18"/>
              </w:rPr>
              <w:t>Scheduler</w:t>
            </w:r>
          </w:p>
        </w:tc>
        <w:tc>
          <w:tcPr>
            <w:tcW w:type="dxa" w:w="28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从队列中挑选兼容子集</w:t>
            </w:r>
          </w:p>
        </w:tc>
        <w:tc>
          <w:tcPr>
            <w:tcW w:type="dxa" w:w="4026"/>
            <w:vAlign w:val="center"/>
            <w:tcMar>
              <w:top w:w="80" w:type="dxa"/>
              <w:start w:w="120" w:type="dxa"/>
              <w:bottom w:w="80" w:type="dxa"/>
              <w:end w:w="120" w:type="dxa"/>
            </w:tcMar>
          </w:tcPr>
          <w:p>
            <w:pPr>
              <w:spacing w:before="0" w:after="0" w:line="259" w:lineRule="auto"/>
            </w:pPr>
            <w:r>
              <w:rPr>
                <w:rFonts w:ascii="Calibri" w:hAnsi="Calibri" w:eastAsia="Microsoft YaHei"/>
                <w:sz w:val="18"/>
              </w:rPr>
              <w:t>按 Latent 形状与是否启用 CFG（Classifier-Free Guidance，无分类器引导）两个维度判断兼容性</w:t>
            </w:r>
          </w:p>
        </w:tc>
      </w:tr>
      <w:tr>
        <w:tc>
          <w:tcPr>
            <w:tcW w:type="dxa" w:w="2493"/>
            <w:vAlign w:val="center"/>
            <w:tcMar>
              <w:top w:w="80" w:type="dxa"/>
              <w:start w:w="120" w:type="dxa"/>
              <w:bottom w:w="80" w:type="dxa"/>
              <w:end w:w="120" w:type="dxa"/>
            </w:tcMar>
          </w:tcPr>
          <w:p>
            <w:pPr>
              <w:spacing w:before="0" w:after="0" w:line="259" w:lineRule="auto"/>
            </w:pPr>
            <w:r>
              <w:rPr>
                <w:rFonts w:ascii="Calibri" w:hAnsi="Calibri" w:eastAsia="Microsoft YaHei"/>
                <w:sz w:val="18"/>
              </w:rPr>
              <w:t>Worker / ModelRunner</w:t>
            </w:r>
          </w:p>
        </w:tc>
        <w:tc>
          <w:tcPr>
            <w:tcW w:type="dxa" w:w="284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逐步执行去噪</w:t>
            </w:r>
          </w:p>
        </w:tc>
        <w:tc>
          <w:tcPr>
            <w:tcW w:type="dxa" w:w="4026"/>
            <w:vAlign w:val="center"/>
            <w:tcMar>
              <w:top w:w="80" w:type="dxa"/>
              <w:start w:w="120" w:type="dxa"/>
              <w:bottom w:w="80" w:type="dxa"/>
              <w:end w:w="120" w:type="dxa"/>
            </w:tcMar>
          </w:tcPr>
          <w:p>
            <w:pPr>
              <w:spacing w:before="0" w:after="0" w:line="259" w:lineRule="auto"/>
            </w:pPr>
            <w:r>
              <w:rPr>
                <w:rFonts w:ascii="Calibri" w:hAnsi="Calibri" w:eastAsia="Microsoft YaHei"/>
                <w:sz w:val="18"/>
              </w:rPr>
              <w:t>每完成一步后检查哪些请求已达目标步数</w:t>
            </w:r>
          </w:p>
        </w:tc>
      </w:tr>
      <w:tr>
        <w:tc>
          <w:tcPr>
            <w:tcW w:type="dxa" w:w="2493"/>
            <w:vAlign w:val="center"/>
            <w:tcMar>
              <w:top w:w="80" w:type="dxa"/>
              <w:start w:w="120" w:type="dxa"/>
              <w:bottom w:w="80" w:type="dxa"/>
              <w:end w:w="120" w:type="dxa"/>
            </w:tcMar>
          </w:tcPr>
          <w:p>
            <w:pPr>
              <w:spacing w:before="0" w:after="0" w:line="259" w:lineRule="auto"/>
            </w:pPr>
            <w:r>
              <w:rPr>
                <w:rFonts w:ascii="Calibri" w:hAnsi="Calibri" w:eastAsia="Microsoft YaHei"/>
                <w:sz w:val="18"/>
              </w:rPr>
              <w:t>乱序返回</w:t>
            </w:r>
          </w:p>
        </w:tc>
        <w:tc>
          <w:tcPr>
            <w:tcW w:type="dxa" w:w="2841"/>
            <w:vAlign w:val="center"/>
            <w:tcMar>
              <w:top w:w="80" w:type="dxa"/>
              <w:start w:w="120" w:type="dxa"/>
              <w:bottom w:w="80" w:type="dxa"/>
              <w:end w:w="120" w:type="dxa"/>
            </w:tcMar>
          </w:tcPr>
          <w:p>
            <w:pPr>
              <w:spacing w:before="0" w:after="0" w:line="259" w:lineRule="auto"/>
            </w:pPr>
            <w:r>
              <w:rPr>
                <w:rFonts w:ascii="Calibri" w:hAnsi="Calibri" w:eastAsia="Microsoft YaHei"/>
                <w:sz w:val="18"/>
              </w:rPr>
              <w:t>Result C → A → D → B</w:t>
            </w:r>
          </w:p>
        </w:tc>
        <w:tc>
          <w:tcPr>
            <w:tcW w:type="dxa" w:w="4026"/>
            <w:vAlign w:val="center"/>
            <w:tcMar>
              <w:top w:w="80" w:type="dxa"/>
              <w:start w:w="120" w:type="dxa"/>
              <w:bottom w:w="80" w:type="dxa"/>
              <w:end w:w="120" w:type="dxa"/>
            </w:tcMar>
          </w:tcPr>
          <w:p>
            <w:pPr>
              <w:spacing w:before="0" w:after="0" w:line="259" w:lineRule="auto"/>
            </w:pPr>
            <w:r>
              <w:rPr>
                <w:rFonts w:ascii="Calibri" w:hAnsi="Calibri" w:eastAsia="Microsoft YaHei"/>
                <w:sz w:val="18"/>
              </w:rPr>
              <w:t>先完成者先释放显存，腾出槽位给后续请求</w:t>
            </w:r>
          </w:p>
        </w:tc>
      </w:tr>
    </w:tbl>
    <w:p>
      <w:pPr>
        <w:spacing w:after="40"/>
      </w:pPr>
    </w:p>
    <w:p>
      <w:pPr>
        <w:pStyle w:val="Heading2"/>
      </w:pPr>
      <w:r>
        <w:t>为什么能省 20–25%：三层因果关系</w:t>
      </w:r>
    </w:p>
    <w:p>
      <w:pPr>
        <w:spacing w:after="80" w:line="290" w:lineRule="auto"/>
        <w:numPr>
          <w:ilvl w:val="0"/>
          <w:numId w:val="14"/>
        </w:numPr>
      </w:pPr>
      <w:r>
        <w:rPr>
          <w:b/>
        </w:rPr>
        <w:t>形状对齐消除 Padding</w:t>
      </w:r>
      <w:r>
        <w:t>：Scheduler 只把 Latent 形状相同的请求放进同一 Batch，张量维度完全匹配，每一步去噪的有效计算比率接近 100%。</w:t>
      </w:r>
    </w:p>
    <w:p>
      <w:pPr>
        <w:spacing w:after="80" w:line="290" w:lineRule="auto"/>
        <w:numPr>
          <w:ilvl w:val="0"/>
          <w:numId w:val="14"/>
        </w:numPr>
      </w:pPr>
      <w:r>
        <w:rPr>
          <w:b/>
        </w:rPr>
        <w:t>步数解耦释放槽位</w:t>
      </w:r>
      <w:r>
        <w:t>：已完成去噪的请求立即弹出，空槽在下一步即可被新请求填入，GPU 始终处理有意义的计算。</w:t>
      </w:r>
    </w:p>
    <w:p>
      <w:pPr>
        <w:spacing w:after="80" w:line="290" w:lineRule="auto"/>
        <w:numPr>
          <w:ilvl w:val="0"/>
          <w:numId w:val="14"/>
        </w:numPr>
      </w:pPr>
      <w:r>
        <w:rPr>
          <w:b/>
        </w:rPr>
        <w:t>更大的有效 Batch Size</w:t>
      </w:r>
      <w:r>
        <w:t>：由于槽位不断回收与补充，DiT 模型每步看到的有效 Batch 通常比静态方案更大，矩阵乘法对硬件计算单元的利用率更高。</w:t>
      </w:r>
    </w:p>
    <w:p>
      <w:pPr/>
      <w:r>
        <w:t xml:space="preserve">演讲 PPT 给出的数据表明，上述机制在 Rollout 生成阶段带来了 </w:t>
      </w:r>
      <w:r>
        <w:rPr>
          <w:b/>
        </w:rPr>
        <w:t>20–25%</w:t>
      </w:r>
      <w:r>
        <w:t xml:space="preserve"> 的时间缩减。需注意该数字在材料中未附带具体的基线配置或硬件型号等限定条件。</w:t>
      </w:r>
    </w:p>
    <w:p>
      <w:pPr>
        <w:pStyle w:val="Heading2"/>
      </w:pPr>
      <w:r>
        <w:t>最小例子：四条请求的状态演进</w:t>
      </w:r>
    </w:p>
    <w:tbl>
      <w:tblPr>
        <w:tblStyle w:val="TableGrid"/>
        <w:tblW w:type="dxa" w:w="9360"/>
        <w:jc w:val="left"/>
        <w:tblLayout w:type="fixed"/>
        <w:tblLook w:firstColumn="1" w:firstRow="1" w:lastColumn="0" w:lastRow="0" w:noHBand="0" w:noVBand="1" w:val="04A0"/>
        <w:tblInd w:w="120" w:type="dxa"/>
      </w:tblPr>
      <w:tblGrid>
        <w:gridCol w:w="2002"/>
        <w:gridCol w:w="2227"/>
        <w:gridCol w:w="2002"/>
        <w:gridCol w:w="3129"/>
      </w:tblGrid>
      <w:tr>
        <w:trPr>
          <w:tblHeader w:val="true"/>
        </w:trPr>
        <w:tc>
          <w:tcPr>
            <w:tcW w:type="dxa" w:w="200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请求</w:t>
            </w:r>
          </w:p>
        </w:tc>
        <w:tc>
          <w:tcPr>
            <w:tcW w:type="dxa" w:w="222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到达顺序</w:t>
            </w:r>
          </w:p>
        </w:tc>
        <w:tc>
          <w:tcPr>
            <w:tcW w:type="dxa" w:w="200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去噪步数</w:t>
            </w:r>
          </w:p>
        </w:tc>
        <w:tc>
          <w:tcPr>
            <w:tcW w:type="dxa" w:w="312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Latent 形状</w:t>
            </w:r>
          </w:p>
        </w:tc>
      </w:tr>
      <w:tr>
        <w:tc>
          <w:tcPr>
            <w:tcW w:type="dxa" w:w="2002"/>
            <w:vAlign w:val="center"/>
            <w:tcMar>
              <w:top w:w="80" w:type="dxa"/>
              <w:start w:w="120" w:type="dxa"/>
              <w:bottom w:w="80" w:type="dxa"/>
              <w:end w:w="120" w:type="dxa"/>
            </w:tcMar>
          </w:tcPr>
          <w:p>
            <w:pPr>
              <w:spacing w:before="0" w:after="0" w:line="259" w:lineRule="auto"/>
            </w:pPr>
            <w:r>
              <w:rPr>
                <w:rFonts w:ascii="Calibri" w:hAnsi="Calibri" w:eastAsia="Microsoft YaHei"/>
                <w:sz w:val="18"/>
              </w:rPr>
              <w:t>A</w:t>
            </w:r>
          </w:p>
        </w:tc>
        <w:tc>
          <w:tcPr>
            <w:tcW w:type="dxa" w:w="22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第 1 个</w:t>
            </w:r>
          </w:p>
        </w:tc>
        <w:tc>
          <w:tcPr>
            <w:tcW w:type="dxa" w:w="20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步</w:t>
            </w:r>
          </w:p>
        </w:tc>
        <w:tc>
          <w:tcPr>
            <w:tcW w:type="dxa" w:w="312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32×32</w:t>
            </w:r>
          </w:p>
        </w:tc>
      </w:tr>
      <w:tr>
        <w:tc>
          <w:tcPr>
            <w:tcW w:type="dxa" w:w="2002"/>
            <w:vAlign w:val="center"/>
            <w:tcMar>
              <w:top w:w="80" w:type="dxa"/>
              <w:start w:w="120" w:type="dxa"/>
              <w:bottom w:w="80" w:type="dxa"/>
              <w:end w:w="120" w:type="dxa"/>
            </w:tcMar>
          </w:tcPr>
          <w:p>
            <w:pPr>
              <w:spacing w:before="0" w:after="0" w:line="259" w:lineRule="auto"/>
            </w:pPr>
            <w:r>
              <w:rPr>
                <w:rFonts w:ascii="Calibri" w:hAnsi="Calibri" w:eastAsia="Microsoft YaHei"/>
                <w:sz w:val="18"/>
              </w:rPr>
              <w:t>C</w:t>
            </w:r>
          </w:p>
        </w:tc>
        <w:tc>
          <w:tcPr>
            <w:tcW w:type="dxa" w:w="22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第 2 个</w:t>
            </w:r>
          </w:p>
        </w:tc>
        <w:tc>
          <w:tcPr>
            <w:tcW w:type="dxa" w:w="20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 步</w:t>
            </w:r>
          </w:p>
        </w:tc>
        <w:tc>
          <w:tcPr>
            <w:tcW w:type="dxa" w:w="312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32×32</w:t>
            </w:r>
          </w:p>
        </w:tc>
      </w:tr>
      <w:tr>
        <w:tc>
          <w:tcPr>
            <w:tcW w:type="dxa" w:w="2002"/>
            <w:vAlign w:val="center"/>
            <w:tcMar>
              <w:top w:w="80" w:type="dxa"/>
              <w:start w:w="120" w:type="dxa"/>
              <w:bottom w:w="80" w:type="dxa"/>
              <w:end w:w="120" w:type="dxa"/>
            </w:tcMar>
          </w:tcPr>
          <w:p>
            <w:pPr>
              <w:spacing w:before="0" w:after="0" w:line="259" w:lineRule="auto"/>
            </w:pPr>
            <w:r>
              <w:rPr>
                <w:rFonts w:ascii="Calibri" w:hAnsi="Calibri" w:eastAsia="Microsoft YaHei"/>
                <w:sz w:val="18"/>
              </w:rPr>
              <w:t>B</w:t>
            </w:r>
          </w:p>
        </w:tc>
        <w:tc>
          <w:tcPr>
            <w:tcW w:type="dxa" w:w="22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第 3 个</w:t>
            </w:r>
          </w:p>
        </w:tc>
        <w:tc>
          <w:tcPr>
            <w:tcW w:type="dxa" w:w="20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 步</w:t>
            </w:r>
          </w:p>
        </w:tc>
        <w:tc>
          <w:tcPr>
            <w:tcW w:type="dxa" w:w="312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64×64</w:t>
            </w:r>
          </w:p>
        </w:tc>
      </w:tr>
      <w:tr>
        <w:tc>
          <w:tcPr>
            <w:tcW w:type="dxa" w:w="2002"/>
            <w:vAlign w:val="center"/>
            <w:tcMar>
              <w:top w:w="80" w:type="dxa"/>
              <w:start w:w="120" w:type="dxa"/>
              <w:bottom w:w="80" w:type="dxa"/>
              <w:end w:w="120" w:type="dxa"/>
            </w:tcMar>
          </w:tcPr>
          <w:p>
            <w:pPr>
              <w:spacing w:before="0" w:after="0" w:line="259" w:lineRule="auto"/>
            </w:pPr>
            <w:r>
              <w:rPr>
                <w:rFonts w:ascii="Calibri" w:hAnsi="Calibri" w:eastAsia="Microsoft YaHei"/>
                <w:sz w:val="18"/>
              </w:rPr>
              <w:t>D</w:t>
            </w:r>
          </w:p>
        </w:tc>
        <w:tc>
          <w:tcPr>
            <w:tcW w:type="dxa" w:w="222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第 4 个</w:t>
            </w:r>
          </w:p>
        </w:tc>
        <w:tc>
          <w:tcPr>
            <w:tcW w:type="dxa" w:w="20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 步</w:t>
            </w:r>
          </w:p>
        </w:tc>
        <w:tc>
          <w:tcPr>
            <w:tcW w:type="dxa" w:w="312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32×32</w:t>
            </w:r>
          </w:p>
        </w:tc>
      </w:tr>
    </w:tbl>
    <w:p>
      <w:pPr>
        <w:spacing w:after="40"/>
      </w:pPr>
    </w:p>
    <w:p>
      <w:pPr>
        <w:spacing w:after="80" w:line="290" w:lineRule="auto"/>
        <w:numPr>
          <w:ilvl w:val="0"/>
          <w:numId w:val="10"/>
        </w:numPr>
      </w:pPr>
      <w:r>
        <w:rPr>
          <w:b/>
        </w:rPr>
        <w:t>Step 0–1</w:t>
      </w:r>
      <w:r>
        <w:t>：A 和 C 先到达，Latent 形状均为 32×32，合批执行前两步。</w:t>
      </w:r>
    </w:p>
    <w:p>
      <w:pPr>
        <w:spacing w:after="80" w:line="290" w:lineRule="auto"/>
        <w:numPr>
          <w:ilvl w:val="0"/>
          <w:numId w:val="10"/>
        </w:numPr>
      </w:pPr>
      <w:r>
        <w:rPr>
          <w:b/>
        </w:rPr>
        <w:t>Step 2 结束</w:t>
      </w:r>
      <w:r>
        <w:t>：C 仅需 2 步，率先完成返回。D 到达并排队。</w:t>
      </w:r>
    </w:p>
    <w:p>
      <w:pPr>
        <w:spacing w:after="80" w:line="290" w:lineRule="auto"/>
        <w:numPr>
          <w:ilvl w:val="0"/>
          <w:numId w:val="10"/>
        </w:numPr>
      </w:pPr>
      <w:r>
        <w:rPr>
          <w:b/>
        </w:rPr>
        <w:t>Step 3</w:t>
      </w:r>
      <w:r>
        <w:t>：D（32×32）填入空槽，与 A 一起执行。B（64×64）形状不兼容，需等待独立批次。</w:t>
      </w:r>
    </w:p>
    <w:p>
      <w:pPr>
        <w:spacing w:after="80" w:line="290" w:lineRule="auto"/>
        <w:numPr>
          <w:ilvl w:val="0"/>
          <w:numId w:val="10"/>
        </w:numPr>
      </w:pPr>
      <w:r>
        <w:rPr>
          <w:b/>
        </w:rPr>
        <w:t>Step 4 结束</w:t>
      </w:r>
      <w:r>
        <w:t>：A 完成返回。D 执行最后一步后也返回。</w:t>
      </w:r>
    </w:p>
    <w:p>
      <w:pPr>
        <w:spacing w:after="80" w:line="290" w:lineRule="auto"/>
        <w:numPr>
          <w:ilvl w:val="0"/>
          <w:numId w:val="10"/>
        </w:numPr>
      </w:pPr>
      <w:r>
        <w:rPr>
          <w:b/>
        </w:rPr>
        <w:t>Step 5 结束</w:t>
      </w:r>
      <w:r>
        <w:t>：B 完成返回。</w:t>
      </w:r>
    </w:p>
    <w:p>
      <w:pPr/>
      <w:r>
        <w:t>最终返回顺序 C → A → D → B 与提交顺序 A → C → B → D 完全不同——32×32 槽位几乎没有空转。</w:t>
      </w:r>
    </w:p>
    <w:p>
      <w:pPr>
        <w:pStyle w:val="Heading2"/>
      </w:pPr>
      <w:r>
        <w:t>边界条件</w:t>
      </w:r>
    </w:p>
    <w:p>
      <w:pPr>
        <w:spacing w:after="80" w:line="290" w:lineRule="auto"/>
        <w:numPr>
          <w:ilvl w:val="0"/>
          <w:numId w:val="10"/>
        </w:numPr>
      </w:pPr>
      <w:r>
        <w:rPr>
          <w:b/>
        </w:rPr>
        <w:t>收益最大化场景</w:t>
      </w:r>
      <w:r>
        <w:t>：请求间步数差异越大、到达越分散，空闲槽位回收越频繁，吞吐提升越显著。</w:t>
      </w:r>
    </w:p>
    <w:p>
      <w:pPr>
        <w:spacing w:after="80" w:line="290" w:lineRule="auto"/>
        <w:numPr>
          <w:ilvl w:val="0"/>
          <w:numId w:val="10"/>
        </w:numPr>
      </w:pPr>
      <w:r>
        <w:rPr>
          <w:b/>
        </w:rPr>
        <w:t>收益退化场景</w:t>
      </w:r>
      <w:r>
        <w:t>：所有请求步数和形状完全一致且同时到达时，机制退化为普通静态批处理，额外调度开销可忽略。</w:t>
      </w:r>
    </w:p>
    <w:p>
      <w:pPr>
        <w:spacing w:after="80" w:line="290" w:lineRule="auto"/>
        <w:numPr>
          <w:ilvl w:val="0"/>
          <w:numId w:val="10"/>
        </w:numPr>
      </w:pPr>
      <w:r>
        <w:rPr>
          <w:b/>
        </w:rPr>
        <w:t>形状碎片化风险</w:t>
      </w:r>
      <w:r>
        <w:t>：Latent 形状种类过多时，每种能凑出的 Batch 较小，GPU 利用率可能不升反降。演讲材料未给出针对此情形的应对策略。</w:t>
      </w:r>
    </w:p>
    <w:p>
      <w:pPr>
        <w:spacing w:before="80" w:after="200" w:line="300" w:lineRule="auto"/>
        <w:ind w:left="317" w:right="173"/>
        <w:pBdr>
          <w:left w:val="single" w:sz="18" w:space="8" w:color="2E74B5"/>
        </w:pBdr>
        <w:shd w:fill="F4F6F9"/>
      </w:pPr>
      <w:r>
        <w:rPr>
          <w:rFonts w:ascii="Calibri" w:hAnsi="Calibri" w:eastAsia="Microsoft YaHei"/>
          <w:color w:val="203748"/>
          <w:sz w:val="23"/>
        </w:rPr>
        <w:t>生成吞吐提升后，大量样本涌入奖励计算阶段。当 VLM 评估的延迟同样高昂时，还需要另一种异步机制来消除评估阶段的流水线气泡。</w:t>
      </w:r>
    </w:p>
    <w:p>
      <w:pPr>
        <w:pStyle w:val="Heading1"/>
      </w:pPr>
      <w:r>
        <w:t>四、奖励优化：异步流式计算掩盖 VLM 延迟</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：VLM/OCR 奖励评估的延迟极高，如何避免其阻塞整个训练流水线？</w:t>
      </w:r>
    </w:p>
    <w:p>
      <w:pPr>
        <w:pStyle w:val="Heading2"/>
      </w:pPr>
      <w:r>
        <w:t>同步模式的空白等待</w:t>
      </w:r>
    </w:p>
    <w:p>
      <w:pPr/>
      <w:r>
        <w:t>当框架在整个 Batch 的 Rollout 全部完成后才统一启动奖励计算时，时序如下：</w:t>
      </w:r>
    </w:p>
    <w:tbl>
      <w:tblPr>
        <w:tblStyle w:val="TableGrid"/>
        <w:tblW w:type="dxa" w:w="9360"/>
        <w:jc w:val="left"/>
        <w:tblLayout w:type="fixed"/>
        <w:tblLook w:firstColumn="1" w:firstRow="1" w:lastColumn="0" w:lastRow="0" w:noHBand="0" w:noVBand="1" w:val="04A0"/>
        <w:tblInd w:w="120" w:type="dxa"/>
      </w:tblPr>
      <w:tblGrid>
        <w:gridCol w:w="2753"/>
        <w:gridCol w:w="3304"/>
        <w:gridCol w:w="3303"/>
      </w:tblGrid>
      <w:tr>
        <w:trPr>
          <w:tblHeader w:val="true"/>
        </w:trPr>
        <w:tc>
          <w:tcPr>
            <w:tcW w:type="dxa" w:w="275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330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占用资源</w:t>
            </w:r>
          </w:p>
        </w:tc>
        <w:tc>
          <w:tcPr>
            <w:tcW w:type="dxa" w:w="330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是否可并行</w:t>
            </w:r>
          </w:p>
        </w:tc>
      </w:tr>
      <w:tr>
        <w:tc>
          <w:tcPr>
            <w:tcW w:type="dxa" w:w="2753"/>
            <w:vAlign w:val="center"/>
            <w:tcMar>
              <w:top w:w="80" w:type="dxa"/>
              <w:start w:w="120" w:type="dxa"/>
              <w:bottom w:w="80" w:type="dxa"/>
              <w:end w:w="120" w:type="dxa"/>
            </w:tcMar>
          </w:tcPr>
          <w:p>
            <w:pPr>
              <w:spacing w:before="0" w:after="0" w:line="259" w:lineRule="auto"/>
            </w:pPr>
            <w:r>
              <w:rPr>
                <w:rFonts w:ascii="Calibri" w:hAnsi="Calibri" w:eastAsia="Microsoft YaHei"/>
                <w:sz w:val="18"/>
              </w:rPr>
              <w:t>Rollout（全 Batch）</w:t>
            </w:r>
          </w:p>
        </w:tc>
        <w:tc>
          <w:tcPr>
            <w:tcW w:type="dxa" w:w="33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Actor GPU</w:t>
            </w:r>
          </w:p>
        </w:tc>
        <w:tc>
          <w:tcPr>
            <w:tcW w:type="dxa" w:w="330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是，但需等最后一条完成</w:t>
            </w:r>
          </w:p>
        </w:tc>
      </w:tr>
      <w:tr>
        <w:tc>
          <w:tcPr>
            <w:tcW w:type="dxa" w:w="2753"/>
            <w:vAlign w:val="center"/>
            <w:tcMar>
              <w:top w:w="80" w:type="dxa"/>
              <w:start w:w="120" w:type="dxa"/>
              <w:bottom w:w="80" w:type="dxa"/>
              <w:end w:w="120" w:type="dxa"/>
            </w:tcMar>
          </w:tcPr>
          <w:p>
            <w:pPr>
              <w:spacing w:before="0" w:after="0" w:line="259" w:lineRule="auto"/>
            </w:pPr>
            <w:r>
              <w:rPr>
                <w:rFonts w:ascii="Calibri" w:hAnsi="Calibri" w:eastAsia="Microsoft YaHei"/>
                <w:b/>
                <w:sz w:val="18"/>
              </w:rPr>
              <w:t>同步屏障</w:t>
            </w:r>
          </w:p>
        </w:tc>
        <w:tc>
          <w:tcPr>
            <w:tcW w:type="dxa" w:w="33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330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所有样本就绪后才进入下一步</w:t>
            </w:r>
          </w:p>
        </w:tc>
      </w:tr>
      <w:tr>
        <w:tc>
          <w:tcPr>
            <w:tcW w:type="dxa" w:w="2753"/>
            <w:vAlign w:val="center"/>
            <w:tcMar>
              <w:top w:w="80" w:type="dxa"/>
              <w:start w:w="120" w:type="dxa"/>
              <w:bottom w:w="80" w:type="dxa"/>
              <w:end w:w="120" w:type="dxa"/>
            </w:tcMar>
          </w:tcPr>
          <w:p>
            <w:pPr>
              <w:spacing w:before="0" w:after="0" w:line="259" w:lineRule="auto"/>
            </w:pPr>
            <w:r>
              <w:rPr>
                <w:rFonts w:ascii="Calibri" w:hAnsi="Calibri" w:eastAsia="Microsoft YaHei"/>
                <w:sz w:val="18"/>
              </w:rPr>
              <w:t>Reward 评估（全 Batch）</w:t>
            </w:r>
          </w:p>
        </w:tc>
        <w:tc>
          <w:tcPr>
            <w:tcW w:type="dxa" w:w="3304"/>
            <w:vAlign w:val="center"/>
            <w:tcMar>
              <w:top w:w="80" w:type="dxa"/>
              <w:start w:w="120" w:type="dxa"/>
              <w:bottom w:w="80" w:type="dxa"/>
              <w:end w:w="120" w:type="dxa"/>
            </w:tcMar>
          </w:tcPr>
          <w:p>
            <w:pPr>
              <w:spacing w:before="0" w:after="0" w:line="259" w:lineRule="auto"/>
            </w:pPr>
            <w:r>
              <w:rPr>
                <w:rFonts w:ascii="Calibri" w:hAnsi="Calibri" w:eastAsia="Microsoft YaHei"/>
                <w:sz w:val="18"/>
              </w:rPr>
              <w:t>Reward Workers / VLM GPU</w:t>
            </w:r>
          </w:p>
        </w:tc>
        <w:tc>
          <w:tcPr>
            <w:tcW w:type="dxa" w:w="3303"/>
            <w:vAlign w:val="center"/>
            <w:tcMar>
              <w:top w:w="80" w:type="dxa"/>
              <w:start w:w="120" w:type="dxa"/>
              <w:bottom w:w="80" w:type="dxa"/>
              <w:end w:w="120" w:type="dxa"/>
            </w:tcMar>
          </w:tcPr>
          <w:p>
            <w:pPr>
              <w:spacing w:before="0" w:after="0" w:line="259" w:lineRule="auto"/>
            </w:pPr>
            <w:r>
              <w:rPr>
                <w:rFonts w:ascii="Calibri" w:hAnsi="Calibri" w:eastAsia="Microsoft YaHei"/>
                <w:sz w:val="18"/>
              </w:rPr>
              <w:t>Batch 内可并行，但与 Rollout 串行</w:t>
            </w:r>
          </w:p>
        </w:tc>
      </w:tr>
      <w:tr>
        <w:tc>
          <w:tcPr>
            <w:tcW w:type="dxa" w:w="2753"/>
            <w:vAlign w:val="center"/>
            <w:tcMar>
              <w:top w:w="80" w:type="dxa"/>
              <w:start w:w="120" w:type="dxa"/>
              <w:bottom w:w="80" w:type="dxa"/>
              <w:end w:w="120" w:type="dxa"/>
            </w:tcMar>
          </w:tcPr>
          <w:p>
            <w:pPr>
              <w:spacing w:before="0" w:after="0" w:line="259" w:lineRule="auto"/>
            </w:pPr>
            <w:r>
              <w:rPr>
                <w:rFonts w:ascii="Calibri" w:hAnsi="Calibri" w:eastAsia="Microsoft YaHei"/>
                <w:sz w:val="18"/>
              </w:rPr>
              <w:t>Policy 更新</w:t>
            </w:r>
          </w:p>
        </w:tc>
        <w:tc>
          <w:tcPr>
            <w:tcW w:type="dxa" w:w="33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Actor GPU</w:t>
            </w:r>
          </w:p>
        </w:tc>
        <w:tc>
          <w:tcPr>
            <w:tcW w:type="dxa" w:w="330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等待全部 Reward 返回</w:t>
            </w:r>
          </w:p>
        </w:tc>
      </w:tr>
    </w:tbl>
    <w:p>
      <w:pPr>
        <w:spacing w:after="40"/>
      </w:pPr>
    </w:p>
    <w:p>
      <w:pPr/>
      <w:r>
        <w:t>不同样本的生成长度差异很大——一条短回复可能早已完成，却必须等最长的那条结束后才能一同送去打分。评估耗时以整 Batch 的延迟暴露在关键路径上。</w:t>
      </w:r>
    </w:p>
    <w:p>
      <w:pPr>
        <w:pStyle w:val="Heading2"/>
      </w:pPr>
      <w:r>
        <w:t>异步奖励流的核心机制</w:t>
      </w:r>
    </w:p>
    <w:p>
      <w:pPr/>
      <w:r>
        <w:t>VeRL-Omni 打破 Batch 级别的同步屏障，将粒度下沉到单个样本：</w:t>
      </w:r>
    </w:p>
    <w:p>
      <w:pPr>
        <w:spacing w:after="80" w:line="290" w:lineRule="auto"/>
        <w:numPr>
          <w:ilvl w:val="0"/>
          <w:numId w:val="15"/>
        </w:numPr>
      </w:pPr>
      <w:r>
        <w:rPr>
          <w:b/>
        </w:rPr>
        <w:t>即时触发</w:t>
      </w:r>
      <w:r>
        <w:t>——任何一条样本生成完毕，立即推送给空闲的 Reward Worker，无需等待同 Batch 其他样本。</w:t>
      </w:r>
    </w:p>
    <w:p>
      <w:pPr>
        <w:spacing w:after="80" w:line="290" w:lineRule="auto"/>
        <w:numPr>
          <w:ilvl w:val="0"/>
          <w:numId w:val="15"/>
        </w:numPr>
      </w:pPr>
      <w:r>
        <w:rPr>
          <w:b/>
        </w:rPr>
        <w:t>流水重叠</w:t>
      </w:r>
      <w:r>
        <w:t>——先完成的样本在 Reward Worker 上进行 VLM/OCR 评估时，Actor GPU 继续生成剩余样本。VLM 延迟被"藏"进后续 Rollout 的时间窗口。</w:t>
      </w:r>
    </w:p>
    <w:p>
      <w:pPr>
        <w:spacing w:after="80" w:line="290" w:lineRule="auto"/>
        <w:numPr>
          <w:ilvl w:val="0"/>
          <w:numId w:val="15"/>
        </w:numPr>
      </w:pPr>
      <w:r>
        <w:rPr>
          <w:b/>
        </w:rPr>
        <w:t>On-policy 一致性</w:t>
      </w:r>
      <w:r>
        <w:t>——所有样本仍属同一 Rollout Batch，使用同一版本策略生成，更新满足 On-policy 要求。</w:t>
      </w:r>
    </w:p>
    <w:p>
      <w:pPr/>
      <w:r>
        <w:t>下图直观对比了两种模式的时序差异，重点观察 Reward 条目的起始时刻。</w:t>
      </w:r>
    </w:p>
    <w:p>
      <w:pPr>
        <w:keepNext/>
        <w:keepLines/>
        <w:spacing w:before="120" w:after="0"/>
        <w:jc w:val="center"/>
      </w:pPr>
      <w:r>
        <w:drawing>
          <wp:inline xmlns:a="http://schemas.openxmlformats.org/drawingml/2006/main" xmlns:pic="http://schemas.openxmlformats.org/drawingml/2006/picture">
            <wp:extent cx="5943600" cy="2279265"/>
            <wp:docPr id="5" name="Picture 5" descr="异步奖励流与同步批次打分的甘特图对比" title="异步奖励流与同步批次打分的甘特图对比"/>
            <wp:cNvGraphicFramePr>
              <a:graphicFrameLocks noChangeAspect="1"/>
            </wp:cNvGraphicFramePr>
            <a:graphic>
              <a:graphicData uri="http://schemas.openxmlformats.org/drawingml/2006/picture">
                <pic:pic>
                  <pic:nvPicPr>
                    <pic:cNvPr id="0" name="slide-20.png"/>
                    <pic:cNvPicPr/>
                  </pic:nvPicPr>
                  <pic:blipFill>
                    <a:blip r:embed="rId17"/>
                    <a:stretch>
                      <a:fillRect/>
                    </a:stretch>
                  </pic:blipFill>
                  <pic:spPr>
                    <a:xfrm>
                      <a:off x="0" y="0"/>
                      <a:ext cx="5943600" cy="2279265"/>
                    </a:xfrm>
                    <a:prstGeom prst="rect"/>
                  </pic:spPr>
                </pic:pic>
              </a:graphicData>
            </a:graphic>
          </wp:inline>
        </w:drawing>
      </w:r>
    </w:p>
    <w:p>
      <w:pPr/>
      <w:r>
        <w:rPr>
          <w:i/>
        </w:rPr>
        <w:t>图注：左侧为 Batch-level scoring，Reward 在全部 Rollout 完成后才启动；右侧为 Sample-level streaming，已完成样本立即进入 Reward Worker。来源：演讲 PPT 第 20 页</w:t>
      </w:r>
    </w:p>
    <w:p>
      <w:pPr/>
      <w:r>
        <w:t>左侧方案中所有 Reward 对齐在 Rollout 结束线后统一启动；右侧方案中各条 Reward 紧随样本完成后即开始，形成与剩余 Rollout 的时间重叠区域。重叠面积越大，被隐藏的 VLM 延迟越多。</w:t>
      </w:r>
    </w:p>
    <w:p>
      <w:pPr>
        <w:pStyle w:val="Heading2"/>
      </w:pPr>
      <w:r>
        <w:t>最小例子</w:t>
      </w:r>
    </w:p>
    <w:p>
      <w:pPr/>
      <w:r>
        <w:t>假设 Batch 含 4 条样本，Rollout 耗时分别为 2 s、4 s、6 s、8 s，VLM 评估均需 5 s。</w:t>
      </w:r>
    </w:p>
    <w:p>
      <w:pPr/>
      <w:r>
        <w:rPr>
          <w:b/>
        </w:rPr>
        <w:t>同步模式</w:t>
      </w:r>
      <w:r>
        <w:t xml:space="preserve">：所有 Rollout 在第 8 s 结束 → Reward 从第 8 s 开始并行评估 → 第 13 s 完成，总耗时 </w:t>
      </w:r>
      <w:r>
        <w:rPr>
          <w:b/>
        </w:rPr>
        <w:t>13 s</w:t>
      </w:r>
      <w:r>
        <w:t>。</w:t>
      </w:r>
    </w:p>
    <w:p>
      <w:pPr/>
      <w:r>
        <w:rPr>
          <w:b/>
        </w:rPr>
        <w:t>异步模式</w:t>
      </w:r>
      <w:r>
        <w:t>（Reward Worker 数量充足时）：样本 1 在第 2 s 送评、第 7 s 返回；样本 2 在第 4 s 送评、第 9 s 返回；样本 3 在第 6 s 送评、第 11 s 返回；样本 4 在第 8 s 送评、第 13 s 返回。前三条样本的 Reward 延迟已完全被 Rollout 覆盖。当 Rollout 耗时进一步增长或 Reward 容量充裕时，总时间趋近于 max(Rollout_total, Reward_last)，而非两者之和。</w:t>
      </w:r>
    </w:p>
    <w:p>
      <w:pPr>
        <w:pStyle w:val="Heading2"/>
      </w:pPr>
      <w:r>
        <w:t>加速边界</w:t>
      </w:r>
    </w:p>
    <w:p>
      <w:pPr/>
      <w:r>
        <w:t>异步流的实际收益高度依赖以下因素：</w:t>
      </w:r>
    </w:p>
    <w:p>
      <w:pPr>
        <w:spacing w:after="80" w:line="290" w:lineRule="auto"/>
        <w:numPr>
          <w:ilvl w:val="0"/>
          <w:numId w:val="10"/>
        </w:numPr>
      </w:pPr>
      <w:r>
        <w:rPr>
          <w:b/>
        </w:rPr>
        <w:t>奖励延迟与 Rollout 耗时的比值</w:t>
      </w:r>
      <w:r>
        <w:t>：VLM 单条评估越慢且 Rollout 总时间越长，可被隐藏的空间越大。</w:t>
      </w:r>
    </w:p>
    <w:p>
      <w:pPr>
        <w:spacing w:after="80" w:line="290" w:lineRule="auto"/>
        <w:numPr>
          <w:ilvl w:val="0"/>
          <w:numId w:val="10"/>
        </w:numPr>
      </w:pPr>
      <w:r>
        <w:rPr>
          <w:b/>
        </w:rPr>
        <w:t>Batch 大小与 Worker 数量的比例</w:t>
      </w:r>
      <w:r>
        <w:t>：Worker 不足时样本排队等待，重叠打折。</w:t>
      </w:r>
    </w:p>
    <w:p>
      <w:pPr>
        <w:spacing w:after="80" w:line="290" w:lineRule="auto"/>
        <w:numPr>
          <w:ilvl w:val="0"/>
          <w:numId w:val="10"/>
        </w:numPr>
      </w:pPr>
      <w:r>
        <w:rPr>
          <w:b/>
        </w:rPr>
        <w:t>GPU 资源分配</w:t>
      </w:r>
      <w:r>
        <w:t>：Actor 与 Reward Worker 共享集群资源，分配失衡导致一方空闲。</w:t>
      </w:r>
    </w:p>
    <w:p>
      <w:pPr>
        <w:spacing w:before="80" w:after="200" w:line="300" w:lineRule="auto"/>
        <w:ind w:left="317" w:right="173"/>
        <w:pBdr>
          <w:left w:val="single" w:sz="18" w:space="8" w:color="2E74B5"/>
        </w:pBdr>
        <w:shd w:fill="F4F6F9"/>
      </w:pPr>
      <w:r>
        <w:rPr>
          <w:rFonts w:ascii="Calibri" w:hAnsi="Calibri" w:eastAsia="Microsoft YaHei"/>
          <w:color w:val="203748"/>
          <w:sz w:val="23"/>
        </w:rPr>
        <w:t>演讲材料未给出具体硬件配置下的端到端加速数字，实际收益需根据工作负载和集群规模进行 Profiling。生成与奖励的阻塞问题解决后，Actor 更新阶段又暴露出旧策略对数概率重算的开销——这是下一节要处理的瓶颈。</w:t>
      </w:r>
    </w:p>
    <w:p>
      <w:pPr>
        <w:pStyle w:val="Heading1"/>
      </w:pPr>
      <w:r>
        <w:t>五、训练优化：Rollout 校准与对数概率复用</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：生成后端与训练后端的计算图差异，使得重算旧策略对数概率（old logp）开销巨大，如何安全复用生成阶段的数据？</w:t>
      </w:r>
    </w:p>
    <w:p>
      <w:pPr/>
      <w:r>
        <w:t>在基于 PPO 的训练中，每步需要两个对数概率：</w:t>
      </w:r>
      <w:r>
        <w:rPr>
          <w:b/>
        </w:rPr>
        <w:t>当前策略对数概率</w:t>
      </w:r>
      <w:r>
        <w:t>（current logp）用于计算梯度，</w:t>
      </w:r>
      <w:r>
        <w:rPr>
          <w:b/>
        </w:rPr>
        <w:t>旧策略对数概率</w:t>
      </w:r>
      <w:r>
        <w:t>（old logp）用于构建重要性采样比率（Importance Sampling ratio，即新旧策略概率之比，用于校正策略更新幅度）。常规做法是用训练引擎对生成序列做一次额外前向传播来精确计算 old logp。</w:t>
      </w:r>
    </w:p>
    <w:p>
      <w:pPr/>
      <w:r>
        <w:t>矛盾在于：VeRL-Omni 的生成后端（vLLM-Omni）与训练后端在算子内核和数值精度上并不完全一致。生成阶段已经产出了每个 token 的对数概率，但直接将其作为 old logp 会引入数学漂移。这形成了一个工程两难：</w:t>
      </w:r>
      <w:r>
        <w:rPr>
          <w:b/>
        </w:rPr>
        <w:t>重算安全但昂贵，复用廉价但有风险。</w:t>
      </w:r>
    </w:p>
    <w:p>
      <w:pPr>
        <w:pStyle w:val="Heading2"/>
      </w:pPr>
      <w:r>
        <w:t>基线与 Bypass 流程对比</w:t>
      </w:r>
    </w:p>
    <w:p>
      <w:pPr/>
      <w:r>
        <w:t>下图对比了两种策略的流程和实测效果，是判断该优化可行性的直接依据。</w:t>
      </w:r>
    </w:p>
    <w:p>
      <w:pPr>
        <w:keepNext/>
        <w:keepLines/>
        <w:spacing w:before="120" w:after="0"/>
        <w:jc w:val="center"/>
      </w:pPr>
      <w:r>
        <w:drawing>
          <wp:inline xmlns:a="http://schemas.openxmlformats.org/drawingml/2006/main" xmlns:pic="http://schemas.openxmlformats.org/drawingml/2006/picture">
            <wp:extent cx="5943600" cy="2281945"/>
            <wp:docPr id="6" name="Picture 6" descr="Rollout 校准机制对比：基线 FlowGRPO 步骤与 Bypass + Correction 方案的流程图及验证曲线" title="Rollout 校准机制对比：基线 FlowGRPO 步骤与 Bypass + Correction 方案的流程图及验证曲线"/>
            <wp:cNvGraphicFramePr>
              <a:graphicFrameLocks noChangeAspect="1"/>
            </wp:cNvGraphicFramePr>
            <a:graphic>
              <a:graphicData uri="http://schemas.openxmlformats.org/drawingml/2006/picture">
                <pic:pic>
                  <pic:nvPicPr>
                    <pic:cNvPr id="0" name="slide-17.png"/>
                    <pic:cNvPicPr/>
                  </pic:nvPicPr>
                  <pic:blipFill>
                    <a:blip r:embed="rId18"/>
                    <a:stretch>
                      <a:fillRect/>
                    </a:stretch>
                  </pic:blipFill>
                  <pic:spPr>
                    <a:xfrm>
                      <a:off x="0" y="0"/>
                      <a:ext cx="5943600" cy="2281945"/>
                    </a:xfrm>
                    <a:prstGeom prst="rect"/>
                  </pic:spPr>
                </pic:pic>
              </a:graphicData>
            </a:graphic>
          </wp:inline>
        </w:drawing>
      </w:r>
    </w:p>
    <w:p>
      <w:pPr/>
      <w:r>
        <w:rPr>
          <w:i/>
        </w:rPr>
        <w:t>图注：左侧为基线和 Bypass 两条流水线的对比；右侧为二者在验证奖励和单步耗时上的实测曲线。来源：演讲 PPT 第 17 页</w:t>
      </w:r>
    </w:p>
    <w:p>
      <w:pPr/>
      <w:r>
        <w:rPr>
          <w:b/>
        </w:rPr>
        <w:t>左侧——流程对比</w:t>
      </w:r>
    </w:p>
    <w:tbl>
      <w:tblPr>
        <w:tblStyle w:val="TableGrid"/>
        <w:tblW w:type="dxa" w:w="9360"/>
        <w:jc w:val="left"/>
        <w:tblLayout w:type="fixed"/>
        <w:tblLook w:firstColumn="1" w:firstRow="1" w:lastColumn="0" w:lastRow="0" w:noHBand="0" w:noVBand="1" w:val="04A0"/>
        <w:tblInd w:w="120" w:type="dxa"/>
      </w:tblPr>
      <w:tblGrid>
        <w:gridCol w:w="2551"/>
        <w:gridCol w:w="3319"/>
        <w:gridCol w:w="3490"/>
      </w:tblGrid>
      <w:tr>
        <w:trPr>
          <w:tblHeader w:val="true"/>
        </w:trPr>
        <w:tc>
          <w:tcPr>
            <w:tcW w:type="dxa" w:w="255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步骤</w:t>
            </w:r>
          </w:p>
        </w:tc>
        <w:tc>
          <w:tcPr>
            <w:tcW w:type="dxa" w:w="331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基线 FlowGRPO</w:t>
            </w:r>
          </w:p>
        </w:tc>
        <w:tc>
          <w:tcPr>
            <w:tcW w:type="dxa" w:w="349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Bypass + Correction</w:t>
            </w:r>
          </w:p>
        </w:tc>
      </w:tr>
      <w:tr>
        <w:tc>
          <w:tcPr>
            <w:tcW w:type="dxa" w:w="2551"/>
            <w:vAlign w:val="center"/>
            <w:tcMar>
              <w:top w:w="80" w:type="dxa"/>
              <w:start w:w="120" w:type="dxa"/>
              <w:bottom w:w="80" w:type="dxa"/>
              <w:end w:w="120" w:type="dxa"/>
            </w:tcMar>
          </w:tcPr>
          <w:p>
            <w:pPr>
              <w:spacing w:before="0" w:after="0" w:line="259" w:lineRule="auto"/>
            </w:pPr>
            <w:r>
              <w:rPr>
                <w:rFonts w:ascii="Calibri" w:hAnsi="Calibri" w:eastAsia="Microsoft YaHei"/>
                <w:sz w:val="18"/>
              </w:rPr>
              <w:t>① 获取 rollout logp</w:t>
            </w:r>
          </w:p>
        </w:tc>
        <w:tc>
          <w:tcPr>
            <w:tcW w:type="dxa" w:w="33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生成阶段产出</w:t>
            </w:r>
          </w:p>
        </w:tc>
        <w:tc>
          <w:tcPr>
            <w:tcW w:type="dxa" w:w="34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生成阶段产出</w:t>
            </w:r>
          </w:p>
        </w:tc>
      </w:tr>
      <w:tr>
        <w:tc>
          <w:tcPr>
            <w:tcW w:type="dxa" w:w="2551"/>
            <w:vAlign w:val="center"/>
            <w:tcMar>
              <w:top w:w="80" w:type="dxa"/>
              <w:start w:w="120" w:type="dxa"/>
              <w:bottom w:w="80" w:type="dxa"/>
              <w:end w:w="120" w:type="dxa"/>
            </w:tcMar>
          </w:tcPr>
          <w:p>
            <w:pPr>
              <w:spacing w:before="0" w:after="0" w:line="259" w:lineRule="auto"/>
            </w:pPr>
            <w:r>
              <w:rPr>
                <w:rFonts w:ascii="Calibri" w:hAnsi="Calibri" w:eastAsia="Microsoft YaHei"/>
                <w:sz w:val="18"/>
              </w:rPr>
              <w:t>② 计算 old logp</w:t>
            </w:r>
          </w:p>
        </w:tc>
        <w:tc>
          <w:tcPr>
            <w:tcW w:type="dxa" w:w="3319"/>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额外前向传播重算</w:t>
            </w:r>
          </w:p>
        </w:tc>
        <w:tc>
          <w:tcPr>
            <w:tcW w:type="dxa" w:w="3490"/>
            <w:vAlign w:val="center"/>
            <w:tcMar>
              <w:top w:w="80" w:type="dxa"/>
              <w:start w:w="120" w:type="dxa"/>
              <w:bottom w:w="80" w:type="dxa"/>
              <w:end w:w="120" w:type="dxa"/>
            </w:tcMar>
          </w:tcPr>
          <w:p>
            <w:pPr>
              <w:spacing w:before="0" w:after="0" w:line="259" w:lineRule="auto"/>
            </w:pPr>
            <w:r>
              <w:rPr>
                <w:rFonts w:ascii="Calibri" w:hAnsi="Calibri" w:eastAsia="Microsoft YaHei"/>
                <w:b/>
                <w:sz w:val="18"/>
              </w:rPr>
              <w:t>直接令 old logp := rollout logp</w:t>
            </w:r>
          </w:p>
        </w:tc>
      </w:tr>
      <w:tr>
        <w:tc>
          <w:tcPr>
            <w:tcW w:type="dxa" w:w="2551"/>
            <w:vAlign w:val="center"/>
            <w:tcMar>
              <w:top w:w="80" w:type="dxa"/>
              <w:start w:w="120" w:type="dxa"/>
              <w:bottom w:w="80" w:type="dxa"/>
              <w:end w:w="120" w:type="dxa"/>
            </w:tcMar>
          </w:tcPr>
          <w:p>
            <w:pPr>
              <w:spacing w:before="0" w:after="0" w:line="259" w:lineRule="auto"/>
            </w:pPr>
            <w:r>
              <w:rPr>
                <w:rFonts w:ascii="Calibri" w:hAnsi="Calibri" w:eastAsia="Microsoft YaHei"/>
                <w:sz w:val="18"/>
              </w:rPr>
              <w:t>③ 计算 current logp</w:t>
            </w:r>
          </w:p>
        </w:tc>
        <w:tc>
          <w:tcPr>
            <w:tcW w:type="dxa" w:w="33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训练引擎前向</w:t>
            </w:r>
          </w:p>
        </w:tc>
        <w:tc>
          <w:tcPr>
            <w:tcW w:type="dxa" w:w="34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训练引擎前向</w:t>
            </w:r>
          </w:p>
        </w:tc>
      </w:tr>
      <w:tr>
        <w:tc>
          <w:tcPr>
            <w:tcW w:type="dxa" w:w="2551"/>
            <w:vAlign w:val="center"/>
            <w:tcMar>
              <w:top w:w="80" w:type="dxa"/>
              <w:start w:w="120" w:type="dxa"/>
              <w:bottom w:w="80" w:type="dxa"/>
              <w:end w:w="120" w:type="dxa"/>
            </w:tcMar>
          </w:tcPr>
          <w:p>
            <w:pPr>
              <w:spacing w:before="0" w:after="0" w:line="259" w:lineRule="auto"/>
            </w:pPr>
            <w:r>
              <w:rPr>
                <w:rFonts w:ascii="Calibri" w:hAnsi="Calibri" w:eastAsia="Microsoft YaHei"/>
                <w:sz w:val="18"/>
              </w:rPr>
              <w:t>④ 计算 PPO ratio</w:t>
            </w:r>
          </w:p>
        </w:tc>
        <w:tc>
          <w:tcPr>
            <w:tcW w:type="dxa" w:w="3319"/>
            <w:vAlign w:val="center"/>
            <w:tcMar>
              <w:top w:w="80" w:type="dxa"/>
              <w:start w:w="120" w:type="dxa"/>
              <w:bottom w:w="80" w:type="dxa"/>
              <w:end w:w="120" w:type="dxa"/>
            </w:tcMar>
          </w:tcPr>
          <w:p>
            <w:pPr>
              <w:spacing w:before="0" w:after="0" w:line="259" w:lineRule="auto"/>
            </w:pPr>
            <w:r>
              <w:rPr>
                <w:rFonts w:ascii="Calibri" w:hAnsi="Calibri" w:eastAsia="Microsoft YaHei"/>
                <w:sz w:val="18"/>
              </w:rPr>
              <w:t>ratio = exp(current − old)</w:t>
            </w:r>
          </w:p>
        </w:tc>
        <w:tc>
          <w:tcPr>
            <w:tcW w:type="dxa" w:w="3490"/>
            <w:vAlign w:val="center"/>
            <w:tcMar>
              <w:top w:w="80" w:type="dxa"/>
              <w:start w:w="120" w:type="dxa"/>
              <w:bottom w:w="80" w:type="dxa"/>
              <w:end w:w="120" w:type="dxa"/>
            </w:tcMar>
          </w:tcPr>
          <w:p>
            <w:pPr>
              <w:spacing w:before="0" w:after="0" w:line="259" w:lineRule="auto"/>
            </w:pPr>
            <w:r>
              <w:rPr>
                <w:rFonts w:ascii="Calibri" w:hAnsi="Calibri" w:eastAsia="Microsoft YaHei"/>
                <w:sz w:val="18"/>
              </w:rPr>
              <w:t>同左，但 old 来自 rollout</w:t>
            </w:r>
          </w:p>
        </w:tc>
      </w:tr>
      <w:tr>
        <w:tc>
          <w:tcPr>
            <w:tcW w:type="dxa" w:w="2551"/>
            <w:vAlign w:val="center"/>
            <w:tcMar>
              <w:top w:w="80" w:type="dxa"/>
              <w:start w:w="120" w:type="dxa"/>
              <w:bottom w:w="80" w:type="dxa"/>
              <w:end w:w="120" w:type="dxa"/>
            </w:tcMar>
          </w:tcPr>
          <w:p>
            <w:pPr>
              <w:spacing w:before="0" w:after="0" w:line="259" w:lineRule="auto"/>
            </w:pPr>
            <w:r>
              <w:rPr>
                <w:rFonts w:ascii="Calibri" w:hAnsi="Calibri" w:eastAsia="Microsoft YaHei"/>
                <w:sz w:val="18"/>
              </w:rPr>
              <w:t>⑤ 异常值处理</w:t>
            </w:r>
          </w:p>
        </w:tc>
        <w:tc>
          <w:tcPr>
            <w:tcW w:type="dxa" w:w="33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PPO clip</w:t>
            </w:r>
          </w:p>
        </w:tc>
        <w:tc>
          <w:tcPr>
            <w:tcW w:type="dxa" w:w="3490"/>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RS mask 过滤</w:t>
            </w:r>
          </w:p>
        </w:tc>
      </w:tr>
      <w:tr>
        <w:tc>
          <w:tcPr>
            <w:tcW w:type="dxa" w:w="2551"/>
            <w:vAlign w:val="center"/>
            <w:tcMar>
              <w:top w:w="80" w:type="dxa"/>
              <w:start w:w="120" w:type="dxa"/>
              <w:bottom w:w="80" w:type="dxa"/>
              <w:end w:w="120" w:type="dxa"/>
            </w:tcMar>
          </w:tcPr>
          <w:p>
            <w:pPr>
              <w:spacing w:before="0" w:after="0" w:line="259" w:lineRule="auto"/>
            </w:pPr>
            <w:r>
              <w:rPr>
                <w:rFonts w:ascii="Calibri" w:hAnsi="Calibri" w:eastAsia="Microsoft YaHei"/>
                <w:sz w:val="18"/>
              </w:rPr>
              <w:t>⑥ 计算 Loss</w:t>
            </w:r>
          </w:p>
        </w:tc>
        <w:tc>
          <w:tcPr>
            <w:tcW w:type="dxa" w:w="331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标准 PPO loss</w:t>
            </w:r>
          </w:p>
        </w:tc>
        <w:tc>
          <w:tcPr>
            <w:tcW w:type="dxa" w:w="349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带掩码的 PPO loss</w:t>
            </w:r>
          </w:p>
        </w:tc>
      </w:tr>
    </w:tbl>
    <w:p>
      <w:pPr>
        <w:spacing w:after="40"/>
      </w:pPr>
    </w:p>
    <w:p>
      <w:pPr/>
      <w:r>
        <w:t xml:space="preserve">关键差异在步骤 ②：基线方案需要在训练引擎中对完整序列再跑一次前向传播来获得 old logp，这一步约占整个训练步 </w:t>
      </w:r>
      <w:r>
        <w:rPr>
          <w:b/>
        </w:rPr>
        <w:t>15%</w:t>
      </w:r>
      <w:r>
        <w:t xml:space="preserve"> 的时间成本（该数据来自演讲 PPT 第 17 页，测试场景为 FlowGRPO）。Bypass 方案跳过此重算，直接复用生成后端的输出。</w:t>
      </w:r>
    </w:p>
    <w:p>
      <w:pPr/>
      <w:r>
        <w:rPr>
          <w:b/>
        </w:rPr>
        <w:t>右侧——验证曲线</w:t>
      </w:r>
    </w:p>
    <w:p>
      <w:pPr/>
      <w:r>
        <w:t>在奖励均值维度上，Bypass 方案达到约 0.966，基线约 0.94，处于可比水平（PPT 未给出置信区间，不宜过度解读绝对差异）。在单步耗时维度上，Bypass 曲线明显低于基线，与 15% 的节省幅度一致。</w:t>
      </w:r>
    </w:p>
    <w:p>
      <w:pPr>
        <w:pStyle w:val="Heading2"/>
      </w:pPr>
      <w:r>
        <w:t>安全复用的因果链</w:t>
      </w:r>
    </w:p>
    <w:p>
      <w:pPr/>
      <w:r>
        <w:t>PPO ratio 定义为：</w:t>
      </w:r>
    </w:p>
    <w:p>
      <w:pPr/>
      <w:r>
        <w:t>$r_t = exp(logπ_θ(a_t|s_t) - logπ_θ_old(a_t|s_t))$</w:t>
      </w:r>
    </w:p>
    <w:p>
      <w:pPr/>
      <w:r>
        <w:t>其中 logπ_θ_old 即 old logp。若 old logp 因内核或精度差异产生偏移 δ，ratio 被放大为 r_t · e^δ。当 δ 在长序列上累积时，ratio 会显著偏离 1.0，破坏 PPO 的信赖域约束。</w:t>
      </w:r>
    </w:p>
    <w:p>
      <w:pPr/>
      <w:r>
        <w:t>VeRL-Omni 的对策分两层：</w:t>
      </w:r>
    </w:p>
    <w:p>
      <w:pPr>
        <w:spacing w:after="80" w:line="290" w:lineRule="auto"/>
        <w:numPr>
          <w:ilvl w:val="0"/>
          <w:numId w:val="16"/>
        </w:numPr>
      </w:pPr>
      <w:r>
        <w:rPr>
          <w:b/>
        </w:rPr>
        <w:t>重要性采样诊断（IS diagnostics）</w:t>
      </w:r>
      <w:r>
        <w:t>：在序列级别计算重要性权重 w = Π_t r_t，监测 rollout logp 与训练 logp 之间的系统性偏差。</w:t>
      </w:r>
    </w:p>
    <w:p>
      <w:pPr>
        <w:spacing w:after="80" w:line="290" w:lineRule="auto"/>
        <w:numPr>
          <w:ilvl w:val="0"/>
          <w:numId w:val="16"/>
        </w:numPr>
      </w:pPr>
      <w:r>
        <w:rPr>
          <w:b/>
        </w:rPr>
        <w:t>拒绝采样掩码（Rejection Sampling mask, RS mask）</w:t>
      </w:r>
      <w:r>
        <w:t>：对于 w 偏离 1.0 超过阈值的序列，直接将该序列的损失权重置零——即丢弃这条样本，而非仅做 ratio 截断。</w:t>
      </w:r>
    </w:p>
    <w:p>
      <w:pPr/>
      <w:r>
        <w:t>设计逻辑：</w:t>
      </w:r>
      <w:r>
        <w:rPr>
          <w:b/>
        </w:rPr>
        <w:t>与其在比率空间做截断，不如在样本空间做拒绝。</w:t>
      </w:r>
      <w:r>
        <w:t xml:space="preserve"> 截断只能限制单 token 的 ratio 范围，而精度漂移往往在序列维度累积；序列级拒绝能更彻底地隔离异常样本。</w:t>
      </w:r>
    </w:p>
    <w:p>
      <w:pPr>
        <w:pStyle w:val="Heading2"/>
      </w:pPr>
      <w:r>
        <w:t>最小例子</w:t>
      </w:r>
    </w:p>
    <w:p>
      <w:pPr/>
      <w:r>
        <w:t>假设一条 4-token 序列，rollout logp 为 [-1.20, -0.85, -2.10, -0.50]，训练引擎的 current logp 为 [-1.18, -0.83, -2.08, -0.49]。</w:t>
      </w:r>
    </w:p>
    <w:p>
      <w:pPr>
        <w:spacing w:after="80" w:line="290" w:lineRule="auto"/>
        <w:numPr>
          <w:ilvl w:val="0"/>
          <w:numId w:val="10"/>
        </w:numPr>
      </w:pPr>
      <w:r>
        <w:rPr>
          <w:b/>
        </w:rPr>
        <w:t>基线方案</w:t>
      </w:r>
      <w:r>
        <w:t>：训练引擎额外算出 old logp [-1.19, -0.84, -2.09, -0.50]，与 current logp 差异微小，ratio 接近 1.0。</w:t>
      </w:r>
    </w:p>
    <w:p>
      <w:pPr>
        <w:spacing w:after="80" w:line="290" w:lineRule="auto"/>
        <w:numPr>
          <w:ilvl w:val="0"/>
          <w:numId w:val="10"/>
        </w:numPr>
      </w:pPr>
      <w:r>
        <w:rPr>
          <w:b/>
        </w:rPr>
        <w:t>Bypass 方案</w:t>
      </w:r>
      <w:r>
        <w:t>：old logp 直接取 rollout 值。每 token 约 0.01–0.02 的偏移对 4 token 而言，序列级 w 偏离 1.0 幅度很小，RS mask 不触发，正常参与训练。</w:t>
      </w:r>
    </w:p>
    <w:p>
      <w:pPr/>
      <w:r>
        <w:t>若某条 256 token 长序列在每个位置都累积同方向精度偏移，w 可能显著偏离 1.0。此时 RS mask 将其丢弃，阻止漂移传播到梯度更新中。</w:t>
      </w:r>
    </w:p>
    <w:p>
      <w:pPr>
        <w:pStyle w:val="Heading2"/>
      </w:pPr>
      <w:r>
        <w:t>边界条件</w:t>
      </w:r>
    </w:p>
    <w:p>
      <w:pPr>
        <w:spacing w:after="80" w:line="290" w:lineRule="auto"/>
        <w:numPr>
          <w:ilvl w:val="0"/>
          <w:numId w:val="10"/>
        </w:numPr>
      </w:pPr>
      <w:r>
        <w:rPr>
          <w:b/>
        </w:rPr>
        <w:t>RS mask 阈值敏感</w:t>
      </w:r>
      <w:r>
        <w:t>：过松则异常 ratio 泄漏，训练不稳定；过紧则大量样本被丢弃，有效 Batch Size 缩水。演讲材料未公开具体阈值数值，部署时需结合 IS 诊断的分布直方图标定。</w:t>
      </w:r>
    </w:p>
    <w:p>
      <w:pPr>
        <w:spacing w:after="80" w:line="290" w:lineRule="auto"/>
        <w:numPr>
          <w:ilvl w:val="0"/>
          <w:numId w:val="10"/>
        </w:numPr>
      </w:pPr>
      <w:r>
        <w:rPr>
          <w:b/>
        </w:rPr>
        <w:t>适用范围</w:t>
      </w:r>
      <w:r>
        <w:t>：该机制在 PPT 中针对 FlowGRPO 场景展示，对 MixGRPO 等其他算法是否同样适用，材料未明确说明。</w:t>
      </w:r>
    </w:p>
    <w:p>
      <w:pPr>
        <w:spacing w:after="80" w:line="290" w:lineRule="auto"/>
        <w:numPr>
          <w:ilvl w:val="0"/>
          <w:numId w:val="10"/>
        </w:numPr>
      </w:pPr>
      <w:r>
        <w:rPr>
          <w:b/>
        </w:rPr>
        <w:t>后端变更需重校准</w:t>
      </w:r>
      <w:r>
        <w:t>：不同推理后端的 softmax 内核、浮点累加顺序或量化策略差异均会影响 logp 偏移幅度，更换后端时 RS mask 阈值可能需要重新标定。</w:t>
      </w:r>
    </w:p>
    <w:p>
      <w:pPr>
        <w:spacing w:before="80" w:after="200" w:line="300" w:lineRule="auto"/>
        <w:ind w:left="317" w:right="173"/>
        <w:pBdr>
          <w:left w:val="single" w:sz="18" w:space="8" w:color="2E74B5"/>
        </w:pBdr>
        <w:shd w:fill="F4F6F9"/>
      </w:pPr>
      <w:r>
        <w:rPr>
          <w:rFonts w:ascii="Calibri" w:hAnsi="Calibri" w:eastAsia="Microsoft YaHei"/>
          <w:color w:val="203748"/>
          <w:sz w:val="23"/>
        </w:rPr>
        <w:t>至此，系统层面的三项核心优化已逐一剖析。接下来需要回答一个更底层的问题：具体的 RL 算法目标函数是如何在这套系统抽象上表达和执行的？</w:t>
      </w:r>
    </w:p>
    <w:p>
      <w:pPr>
        <w:pStyle w:val="Heading1"/>
      </w:pPr>
      <w:r>
        <w:t>六、算法映射：FlowGRPO 在扩散模型中的工程实现</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：标准的 GRPO 强化学习目标，如何准确映射到扩散模型的连续去噪过程中？</w:t>
      </w:r>
    </w:p>
    <w:p>
      <w:pPr/>
      <w:r>
        <w:t>在 LLM 场景下，GRPO（Group Relative Policy Optimization，组相对策略优化）的"动作"是生成一个 token，"轨迹"是完整 token 序列——概念清晰且离散。但扩散模型的生成过程是一条连续去噪路径：从纯噪声出发，经过 N 步 SDE（Stochastic Differential Equation，随机微分方程）求解产出干净图像。FlowGRPO 通过一套严格的术语映射加两个关键约束，将标准 GRPO 的每个组件对应到这条路径上。</w:t>
      </w:r>
    </w:p>
    <w:p>
      <w:pPr>
        <w:pStyle w:val="Heading2"/>
      </w:pPr>
      <w:r>
        <w:t>核心概念映射</w:t>
      </w:r>
    </w:p>
    <w:p>
      <w:pPr/>
      <w:r>
        <w:t>下图是 FlowGRPO 的完整术语对照表，将标准 RL 概念逐一投射到扩散去噪语境中，是理解后续公式的基础。</w:t>
      </w:r>
    </w:p>
    <w:p>
      <w:pPr>
        <w:keepNext/>
        <w:keepLines/>
        <w:spacing w:before="120" w:after="0"/>
        <w:jc w:val="center"/>
      </w:pPr>
      <w:r>
        <w:drawing>
          <wp:inline xmlns:a="http://schemas.openxmlformats.org/drawingml/2006/main" xmlns:pic="http://schemas.openxmlformats.org/drawingml/2006/picture">
            <wp:extent cx="5943600" cy="2735077"/>
            <wp:docPr id="7" name="Picture 7" descr="FlowGRPO 术语映射表" title="FlowGRPO 术语映射表"/>
            <wp:cNvGraphicFramePr>
              <a:graphicFrameLocks noChangeAspect="1"/>
            </wp:cNvGraphicFramePr>
            <a:graphic>
              <a:graphicData uri="http://schemas.openxmlformats.org/drawingml/2006/picture">
                <pic:pic>
                  <pic:nvPicPr>
                    <pic:cNvPr id="0" name="slide-34.png"/>
                    <pic:cNvPicPr/>
                  </pic:nvPicPr>
                  <pic:blipFill>
                    <a:blip r:embed="rId19"/>
                    <a:stretch>
                      <a:fillRect/>
                    </a:stretch>
                  </pic:blipFill>
                  <pic:spPr>
                    <a:xfrm>
                      <a:off x="0" y="0"/>
                      <a:ext cx="5943600" cy="2735077"/>
                    </a:xfrm>
                    <a:prstGeom prst="rect"/>
                  </pic:spPr>
                </pic:pic>
              </a:graphicData>
            </a:graphic>
          </wp:inline>
        </w:drawing>
      </w:r>
    </w:p>
    <w:p>
      <w:pPr/>
      <w:r>
        <w:rPr>
          <w:i/>
        </w:rPr>
        <w:t>图注：FlowGRPO 术语映射参考表——标准 RL 术语、符号、FlowGRPO 含义及直觉。来源：演讲 PPT 第 34 页</w:t>
      </w:r>
    </w:p>
    <w:p>
      <w:pPr/>
      <w:r>
        <w:t>三行最关键的映射：</w:t>
      </w:r>
    </w:p>
    <w:tbl>
      <w:tblPr>
        <w:tblStyle w:val="TableGrid"/>
        <w:tblW w:type="dxa" w:w="9360"/>
        <w:jc w:val="left"/>
        <w:tblLayout w:type="fixed"/>
        <w:tblLook w:firstColumn="1" w:firstRow="1" w:lastColumn="0" w:lastRow="0" w:noHBand="0" w:noVBand="1" w:val="04A0"/>
        <w:tblInd w:w="120" w:type="dxa"/>
      </w:tblPr>
      <w:tblGrid>
        <w:gridCol w:w="2531"/>
        <w:gridCol w:w="4635"/>
        <w:gridCol w:w="2194"/>
      </w:tblGrid>
      <w:tr>
        <w:trPr>
          <w:tblHeader w:val="true"/>
        </w:trPr>
        <w:tc>
          <w:tcPr>
            <w:tcW w:type="dxa" w:w="253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标准 RL 概念</w:t>
            </w:r>
          </w:p>
        </w:tc>
        <w:tc>
          <w:tcPr>
            <w:tcW w:type="dxa" w:w="463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FlowGRPO 对应</w:t>
            </w:r>
          </w:p>
        </w:tc>
        <w:tc>
          <w:tcPr>
            <w:tcW w:type="dxa" w:w="219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直觉</w:t>
            </w:r>
          </w:p>
        </w:tc>
      </w:tr>
      <w:tr>
        <w:tc>
          <w:tcPr>
            <w:tcW w:type="dxa" w:w="2531"/>
            <w:vAlign w:val="center"/>
            <w:tcMar>
              <w:top w:w="80" w:type="dxa"/>
              <w:start w:w="120" w:type="dxa"/>
              <w:bottom w:w="80" w:type="dxa"/>
              <w:end w:w="120" w:type="dxa"/>
            </w:tcMar>
          </w:tcPr>
          <w:p>
            <w:pPr>
              <w:spacing w:before="0" w:after="0" w:line="259" w:lineRule="auto"/>
            </w:pPr>
            <w:r>
              <w:rPr>
                <w:rFonts w:ascii="Calibri" w:hAnsi="Calibri" w:eastAsia="Microsoft YaHei"/>
                <w:b/>
                <w:sz w:val="18"/>
              </w:rPr>
              <w:t>State</w:t>
            </w:r>
            <w:r>
              <w:rPr>
                <w:rFonts w:ascii="Calibri" w:hAnsi="Calibri" w:eastAsia="Microsoft YaHei"/>
                <w:sz w:val="18"/>
              </w:rPr>
              <w:t xml:space="preserve"> s_t</w:t>
            </w:r>
          </w:p>
        </w:tc>
        <w:tc>
          <w:tcPr>
            <w:tcW w:type="dxa" w:w="4635"/>
            <w:vAlign w:val="center"/>
            <w:tcMar>
              <w:top w:w="80" w:type="dxa"/>
              <w:start w:w="120" w:type="dxa"/>
              <w:bottom w:w="80" w:type="dxa"/>
              <w:end w:w="120" w:type="dxa"/>
            </w:tcMar>
          </w:tcPr>
          <w:p>
            <w:pPr>
              <w:spacing w:before="0" w:after="0" w:line="259" w:lineRule="auto"/>
            </w:pPr>
            <w:r>
              <w:rPr>
                <w:rFonts w:ascii="Calibri" w:hAnsi="Calibri" w:eastAsia="Microsoft YaHei"/>
                <w:sz w:val="18"/>
              </w:rPr>
              <w:t>第 t 步的带噪潜变量（noisy latent）</w:t>
            </w:r>
          </w:p>
        </w:tc>
        <w:tc>
          <w:tcPr>
            <w:tcW w:type="dxa" w:w="21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去噪路径上的"当前画面"</w:t>
            </w:r>
          </w:p>
        </w:tc>
      </w:tr>
      <w:tr>
        <w:tc>
          <w:tcPr>
            <w:tcW w:type="dxa" w:w="2531"/>
            <w:vAlign w:val="center"/>
            <w:tcMar>
              <w:top w:w="80" w:type="dxa"/>
              <w:start w:w="120" w:type="dxa"/>
              <w:bottom w:w="80" w:type="dxa"/>
              <w:end w:w="120" w:type="dxa"/>
            </w:tcMar>
          </w:tcPr>
          <w:p>
            <w:pPr>
              <w:spacing w:before="0" w:after="0" w:line="259" w:lineRule="auto"/>
            </w:pPr>
            <w:r>
              <w:rPr>
                <w:rFonts w:ascii="Calibri" w:hAnsi="Calibri" w:eastAsia="Microsoft YaHei"/>
                <w:b/>
                <w:sz w:val="18"/>
              </w:rPr>
              <w:t>Action</w:t>
            </w:r>
            <w:r>
              <w:rPr>
                <w:rFonts w:ascii="Calibri" w:hAnsi="Calibri" w:eastAsia="Microsoft YaHei"/>
                <w:sz w:val="18"/>
              </w:rPr>
              <w:t xml:space="preserve"> a_t</w:t>
            </w:r>
          </w:p>
        </w:tc>
        <w:tc>
          <w:tcPr>
            <w:tcW w:type="dxa" w:w="4635"/>
            <w:vAlign w:val="center"/>
            <w:tcMar>
              <w:top w:w="80" w:type="dxa"/>
              <w:start w:w="120" w:type="dxa"/>
              <w:bottom w:w="80" w:type="dxa"/>
              <w:end w:w="120" w:type="dxa"/>
            </w:tcMar>
          </w:tcPr>
          <w:p>
            <w:pPr>
              <w:spacing w:before="0" w:after="0" w:line="259" w:lineRule="auto"/>
            </w:pPr>
            <w:r>
              <w:rPr>
                <w:rFonts w:ascii="Calibri" w:hAnsi="Calibri" w:eastAsia="Microsoft YaHei"/>
                <w:sz w:val="18"/>
              </w:rPr>
              <w:t>单步 SDE 去噪转移（stochastic denoising transition）</w:t>
            </w:r>
          </w:p>
        </w:tc>
        <w:tc>
          <w:tcPr>
            <w:tcW w:type="dxa" w:w="21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模型对噪声的一次预测与移除</w:t>
            </w:r>
          </w:p>
        </w:tc>
      </w:tr>
      <w:tr>
        <w:tc>
          <w:tcPr>
            <w:tcW w:type="dxa" w:w="2531"/>
            <w:vAlign w:val="center"/>
            <w:tcMar>
              <w:top w:w="80" w:type="dxa"/>
              <w:start w:w="120" w:type="dxa"/>
              <w:bottom w:w="80" w:type="dxa"/>
              <w:end w:w="120" w:type="dxa"/>
            </w:tcMar>
          </w:tcPr>
          <w:p>
            <w:pPr>
              <w:spacing w:before="0" w:after="0" w:line="259" w:lineRule="auto"/>
            </w:pPr>
            <w:r>
              <w:rPr>
                <w:rFonts w:ascii="Calibri" w:hAnsi="Calibri" w:eastAsia="Microsoft YaHei"/>
                <w:b/>
                <w:sz w:val="18"/>
              </w:rPr>
              <w:t>Trajectory</w:t>
            </w:r>
            <w:r>
              <w:rPr>
                <w:rFonts w:ascii="Calibri" w:hAnsi="Calibri" w:eastAsia="Microsoft YaHei"/>
                <w:sz w:val="18"/>
              </w:rPr>
              <w:t xml:space="preserve"> τ</w:t>
            </w:r>
          </w:p>
        </w:tc>
        <w:tc>
          <w:tcPr>
            <w:tcW w:type="dxa" w:w="4635"/>
            <w:vAlign w:val="center"/>
            <w:tcMar>
              <w:top w:w="80" w:type="dxa"/>
              <w:start w:w="120" w:type="dxa"/>
              <w:bottom w:w="80" w:type="dxa"/>
              <w:end w:w="120" w:type="dxa"/>
            </w:tcMar>
          </w:tcPr>
          <w:p>
            <w:pPr>
              <w:spacing w:before="0" w:after="0" w:line="259" w:lineRule="auto"/>
            </w:pPr>
            <w:r>
              <w:rPr>
                <w:rFonts w:ascii="Calibri" w:hAnsi="Calibri" w:eastAsia="Microsoft YaHei"/>
                <w:sz w:val="18"/>
              </w:rPr>
              <w:t>从纯噪声到干净潜变量的完整 N 步路径</w:t>
            </w:r>
          </w:p>
        </w:tc>
        <w:tc>
          <w:tcPr>
            <w:tcW w:type="dxa" w:w="219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一张图像的完整"画法"</w:t>
            </w:r>
          </w:p>
        </w:tc>
      </w:tr>
    </w:tbl>
    <w:p>
      <w:pPr>
        <w:spacing w:after="40"/>
      </w:pPr>
    </w:p>
    <w:p>
      <w:pPr/>
      <w:r>
        <w:t>与 LLM 中离散 token 采样不同，这里每步动作是一个连续高斯转移——策略网络输出去噪均值，而非离散分布上的 logit。</w:t>
      </w:r>
    </w:p>
    <w:p>
      <w:pPr>
        <w:pStyle w:val="Heading2"/>
      </w:pPr>
      <w:r>
        <w:t>四步执行流程</w:t>
      </w:r>
    </w:p>
    <w:p>
      <w:pPr/>
      <w:r>
        <w:rPr>
          <w:b/>
        </w:rPr>
        <w:t>① SDE Rollout（轨迹展开）</w:t>
      </w:r>
      <w:r>
        <w:t>：给定 prompt q，策略扩散模型执行 N 步 SDE 采样，生成 G 条去噪轨迹（G 张候选图像）。每步记录对数似然 log p_θ(a_t | s_t)。</w:t>
      </w:r>
    </w:p>
    <w:p>
      <w:pPr/>
      <w:r>
        <w:rPr>
          <w:b/>
        </w:rPr>
        <w:t>② Group Advantage（组内优势计算）</w:t>
      </w:r>
      <w:r>
        <w:t>：G 张候选图像送入视觉奖励模型打分，得到标量奖励 r_1, …, r_G。在同一 prompt 组内归一化：</w:t>
      </w:r>
    </w:p>
    <w:p>
      <w:pPr/>
      <w:r>
        <w:t>$A_i = (r_i - mean({r})) / (std({r}))$</w:t>
      </w:r>
    </w:p>
    <w:p>
      <w:pPr/>
      <w:r>
        <w:t xml:space="preserve">归一化后的 A_i </w:t>
      </w:r>
      <w:r>
        <w:rPr>
          <w:b/>
        </w:rPr>
        <w:t>广播到该轨迹的每一个去噪步</w:t>
      </w:r>
      <w:r>
        <w:t>——因为扩散模型的奖励只在生成结束后才可获得，中间步骤没有独立的逐步奖励信号。</w:t>
      </w:r>
    </w:p>
    <w:p>
      <w:pPr/>
      <w:r>
        <w:rPr>
          <w:b/>
        </w:rPr>
        <w:t>③ Clipped Update（截断策略更新）</w:t>
      </w:r>
      <w:r>
        <w:t>：对每个去噪步计算似然比：</w:t>
      </w:r>
    </w:p>
    <w:p>
      <w:pPr/>
      <w:r>
        <w:t>$ρ_t = (p_θ(a_t | s_t)) / (p_θ_old(a_t | s_t))$</w:t>
      </w:r>
    </w:p>
    <w:p>
      <w:pPr/>
      <w:r>
        <w:t>施加与 PPO 相同的截断操作（clip 范围参数 ε 典型值为 0.2），防止单次更新步幅过大。映射表区分了三种 log-prob：Rollout logP（生成引擎记录）、Old logP（近端锚点）和 Current logP（当前参数下反向传播所用），三者在不同阶段冻结或更新。</w:t>
      </w:r>
    </w:p>
    <w:p>
      <w:pPr/>
      <w:r>
        <w:rPr>
          <w:b/>
        </w:rPr>
        <w:t>④ KL Anchor（逐步 KL 散度锚定）</w:t>
      </w:r>
      <w:r>
        <w:t>：损失函数中加入逐步高斯 KL 惩罚项，度量当前策略与冻结参考模型在每步预测均值上的偏离。由于 SDE 转移的条件分布是高斯的，两个高斯之间的 KL 散度有解析形式，无需蒙特卡罗估计。映射表标注 KL 惩罚系数的典型量级约为 1 × 10^-4。</w:t>
      </w:r>
    </w:p>
    <w:p>
      <w:pPr>
        <w:pStyle w:val="Heading2"/>
      </w:pPr>
      <w:r>
        <w:t>最小例子：一张高分图像如何驱动更新</w:t>
      </w:r>
    </w:p>
    <w:p>
      <w:pPr/>
      <w:r>
        <w:t>假设 prompt 为"一只猫坐在窗台上"，策略模型一次生成 G=4 张候选图像，奖励分别为 [0.3, 0.9, 0.5, 0.7]。</w:t>
      </w:r>
    </w:p>
    <w:p>
      <w:pPr>
        <w:spacing w:after="80" w:line="290" w:lineRule="auto"/>
        <w:numPr>
          <w:ilvl w:val="0"/>
          <w:numId w:val="10"/>
        </w:numPr>
      </w:pPr>
      <w:r>
        <w:t>组内均值 = 0.6，标准差 ≈ 0.2236；</w:t>
      </w:r>
    </w:p>
    <w:p>
      <w:pPr>
        <w:spacing w:after="80" w:line="290" w:lineRule="auto"/>
        <w:numPr>
          <w:ilvl w:val="0"/>
          <w:numId w:val="10"/>
        </w:numPr>
      </w:pPr>
      <w:r>
        <w:t>第 2 张图像的归一化优势 A_2 ≈ +1.34（最高），第 1 张 A_1 ≈ -1.34（最低）。</w:t>
      </w:r>
    </w:p>
    <w:p>
      <w:pPr/>
      <w:r>
        <w:t>A_2 = +1.34 广播到第 2 条轨迹的全部 N 个去噪步。正优势使该轨迹每一步转移的对数概率被提升，模型未来面对类似 prompt 时更倾向沿这条路径行走。反之，第 1 条轨迹的概率被压低。截断机制确保 ρ_t ∈ [1-ε, 1+ε]，KL 锚定限制整体漂移幅度。</w:t>
      </w:r>
    </w:p>
    <w:p>
      <w:pPr>
        <w:pStyle w:val="Heading2"/>
      </w:pPr>
      <w:r>
        <w:t>边界条件</w:t>
      </w:r>
    </w:p>
    <w:p>
      <w:pPr/>
      <w:r>
        <w:t>映射表中将重要性采样比率（IS ratio）和拒绝采样掩码（RS mask）标记为</w:t>
      </w:r>
      <w:r>
        <w:rPr>
          <w:b/>
        </w:rPr>
        <w:t>可选</w:t>
      </w:r>
      <w:r>
        <w:t>项，说明当前实现不强制依赖这两个机制，具体启用条件演讲材料未给出进一步说明。</w:t>
      </w:r>
    </w:p>
    <w:p>
      <w:pPr>
        <w:pStyle w:val="Heading1"/>
      </w:pPr>
      <w:r>
        <w:t>七、端到端性能与硬件泛化：从 GPU 到 NPU</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本节问题</w:t>
      </w:r>
      <w:r>
        <w:rPr>
          <w:rFonts w:ascii="Calibri" w:hAnsi="Calibri" w:eastAsia="Microsoft YaHei"/>
          <w:color w:val="203748"/>
          <w:sz w:val="23"/>
        </w:rPr>
        <w:t>：上述系统级优化叠加后，实际吞吐收益与硬件适配能力如何？</w:t>
      </w:r>
    </w:p>
    <w:p>
      <w:pPr/>
      <w:r>
        <w:t>衡量系统优化是否成功，必须同时满足两个条件：</w:t>
      </w:r>
      <w:r>
        <w:rPr>
          <w:b/>
        </w:rPr>
        <w:t>步时缩短</w:t>
      </w:r>
      <w:r>
        <w:t>且</w:t>
      </w:r>
      <w:r>
        <w:rPr>
          <w:b/>
        </w:rPr>
        <w:t>收敛质量不退化</w:t>
      </w:r>
      <w:r>
        <w:t>。</w:t>
      </w:r>
    </w:p>
    <w:p>
      <w:pPr>
        <w:pStyle w:val="Heading2"/>
      </w:pPr>
      <w:r>
        <w:t>吞吐提升的量化验证</w:t>
      </w:r>
    </w:p>
    <w:p>
      <w:pPr/>
      <w:r>
        <w:t>下图给出了在 Qwen-Image 模型上的对比实验，左侧为步时、右侧为收敛曲线，是评估上述优化综合效果的核心数据。</w:t>
      </w:r>
    </w:p>
    <w:p>
      <w:pPr>
        <w:keepNext/>
        <w:keepLines/>
        <w:spacing w:before="120" w:after="0"/>
        <w:jc w:val="center"/>
      </w:pPr>
      <w:r>
        <w:drawing>
          <wp:inline xmlns:a="http://schemas.openxmlformats.org/drawingml/2006/main" xmlns:pic="http://schemas.openxmlformats.org/drawingml/2006/picture">
            <wp:extent cx="5943600" cy="2837514"/>
            <wp:docPr id="8" name="Picture 8" descr="VeRL-Omni 与 FlowGRPO 基线的步时及收敛对比" title="VeRL-Omni 与 FlowGRPO 基线的步时及收敛对比"/>
            <wp:cNvGraphicFramePr>
              <a:graphicFrameLocks noChangeAspect="1"/>
            </wp:cNvGraphicFramePr>
            <a:graphic>
              <a:graphicData uri="http://schemas.openxmlformats.org/drawingml/2006/picture">
                <pic:pic>
                  <pic:nvPicPr>
                    <pic:cNvPr id="0" name="slide-05.png"/>
                    <pic:cNvPicPr/>
                  </pic:nvPicPr>
                  <pic:blipFill>
                    <a:blip r:embed="rId20"/>
                    <a:stretch>
                      <a:fillRect/>
                    </a:stretch>
                  </pic:blipFill>
                  <pic:spPr>
                    <a:xfrm>
                      <a:off x="0" y="0"/>
                      <a:ext cx="5943600" cy="2837514"/>
                    </a:xfrm>
                    <a:prstGeom prst="rect"/>
                  </pic:spPr>
                </pic:pic>
              </a:graphicData>
            </a:graphic>
          </wp:inline>
        </w:drawing>
      </w:r>
    </w:p>
    <w:p>
      <w:pPr/>
      <w:r>
        <w:rPr>
          <w:i/>
        </w:rPr>
        <w:t>图注：左侧柱状图为单步训练时间对比，右侧折线图为验证集 OCR 奖励均值随训练步数的变化。来源：演讲 PPT 第 5 页</w:t>
      </w:r>
    </w:p>
    <w:p>
      <w:pPr/>
      <w:r>
        <w:rPr>
          <w:b/>
        </w:rPr>
        <w:t>图中关键元素</w:t>
      </w:r>
      <w:r>
        <w:t>：</w:t>
      </w:r>
    </w:p>
    <w:tbl>
      <w:tblPr>
        <w:tblStyle w:val="TableGrid"/>
        <w:tblW w:type="dxa" w:w="9360"/>
        <w:jc w:val="left"/>
        <w:tblLayout w:type="fixed"/>
        <w:tblLook w:firstColumn="1" w:firstRow="1" w:lastColumn="0" w:lastRow="0" w:noHBand="0" w:noVBand="1" w:val="04A0"/>
        <w:tblInd w:w="120" w:type="dxa"/>
      </w:tblPr>
      <w:tblGrid>
        <w:gridCol w:w="2477"/>
        <w:gridCol w:w="6883"/>
      </w:tblGrid>
      <w:tr>
        <w:trPr>
          <w:tblHeader w:val="true"/>
        </w:trPr>
        <w:tc>
          <w:tcPr>
            <w:tcW w:type="dxa" w:w="247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元素</w:t>
            </w:r>
          </w:p>
        </w:tc>
        <w:tc>
          <w:tcPr>
            <w:tcW w:type="dxa" w:w="688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含义</w:t>
            </w:r>
          </w:p>
        </w:tc>
      </w:tr>
      <w:tr>
        <w:tc>
          <w:tcPr>
            <w:tcW w:type="dxa" w:w="2477"/>
            <w:vAlign w:val="center"/>
            <w:tcMar>
              <w:top w:w="80" w:type="dxa"/>
              <w:start w:w="120" w:type="dxa"/>
              <w:bottom w:w="80" w:type="dxa"/>
              <w:end w:w="120" w:type="dxa"/>
            </w:tcMar>
          </w:tcPr>
          <w:p>
            <w:pPr>
              <w:spacing w:before="0" w:after="0" w:line="259" w:lineRule="auto"/>
            </w:pPr>
            <w:r>
              <w:rPr>
                <w:rFonts w:ascii="Calibri" w:hAnsi="Calibri" w:eastAsia="Microsoft YaHei"/>
                <w:sz w:val="18"/>
              </w:rPr>
              <w:t>红色柱（190 s）</w:t>
            </w:r>
          </w:p>
        </w:tc>
        <w:tc>
          <w:tcPr>
            <w:tcW w:type="dxa" w:w="688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flowgrpo + diffusers</w:t>
            </w:r>
            <w:r>
              <w:rPr>
                <w:rFonts w:ascii="Calibri" w:hAnsi="Calibri" w:eastAsia="Microsoft YaHei"/>
                <w:sz w:val="18"/>
              </w:rPr>
              <w:t xml:space="preserve"> 基线的单步耗时</w:t>
            </w:r>
          </w:p>
        </w:tc>
      </w:tr>
      <w:tr>
        <w:tc>
          <w:tcPr>
            <w:tcW w:type="dxa" w:w="2477"/>
            <w:vAlign w:val="center"/>
            <w:tcMar>
              <w:top w:w="80" w:type="dxa"/>
              <w:start w:w="120" w:type="dxa"/>
              <w:bottom w:w="80" w:type="dxa"/>
              <w:end w:w="120" w:type="dxa"/>
            </w:tcMar>
          </w:tcPr>
          <w:p>
            <w:pPr>
              <w:spacing w:before="0" w:after="0" w:line="259" w:lineRule="auto"/>
            </w:pPr>
            <w:r>
              <w:rPr>
                <w:rFonts w:ascii="Calibri" w:hAnsi="Calibri" w:eastAsia="Microsoft YaHei"/>
                <w:sz w:val="18"/>
              </w:rPr>
              <w:t>蓝色柱（152 s）</w:t>
            </w:r>
          </w:p>
        </w:tc>
        <w:tc>
          <w:tcPr>
            <w:tcW w:type="dxa" w:w="688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verl-omni + vllm-omni</w:t>
            </w:r>
            <w:r>
              <w:rPr>
                <w:rFonts w:ascii="Calibri" w:hAnsi="Calibri" w:eastAsia="Microsoft YaHei"/>
                <w:sz w:val="18"/>
              </w:rPr>
              <w:t xml:space="preserve"> 的单步耗时</w:t>
            </w:r>
          </w:p>
        </w:tc>
      </w:tr>
      <w:tr>
        <w:tc>
          <w:tcPr>
            <w:tcW w:type="dxa" w:w="2477"/>
            <w:vAlign w:val="center"/>
            <w:tcMar>
              <w:top w:w="80" w:type="dxa"/>
              <w:start w:w="120" w:type="dxa"/>
              <w:bottom w:w="80" w:type="dxa"/>
              <w:end w:w="120" w:type="dxa"/>
            </w:tcMar>
          </w:tcPr>
          <w:p>
            <w:pPr>
              <w:spacing w:before="0" w:after="0" w:line="259" w:lineRule="auto"/>
            </w:pPr>
            <w:r>
              <w:rPr>
                <w:rFonts w:ascii="Calibri" w:hAnsi="Calibri" w:eastAsia="Microsoft YaHei"/>
                <w:sz w:val="18"/>
              </w:rPr>
              <w:t>右侧折线</w:t>
            </w:r>
          </w:p>
        </w:tc>
        <w:tc>
          <w:tcPr>
            <w:tcW w:type="dxa" w:w="6883"/>
            <w:vAlign w:val="center"/>
            <w:tcMar>
              <w:top w:w="80" w:type="dxa"/>
              <w:start w:w="120" w:type="dxa"/>
              <w:bottom w:w="80" w:type="dxa"/>
              <w:end w:w="120" w:type="dxa"/>
            </w:tcMar>
          </w:tcPr>
          <w:p>
            <w:pPr>
              <w:spacing w:before="0" w:after="0" w:line="259" w:lineRule="auto"/>
            </w:pPr>
            <w:r>
              <w:rPr>
                <w:rFonts w:ascii="Calibri" w:hAnsi="Calibri" w:eastAsia="Microsoft YaHei"/>
                <w:sz w:val="18"/>
              </w:rPr>
              <w:t>验证集 OCR 奖励均值（</w:t>
            </w:r>
            <w:r>
              <w:rPr>
                <w:rFonts w:ascii="Consolas" w:hAnsi="Consolas" w:eastAsia="Microsoft YaHei"/>
                <w:color w:val="1F4D78"/>
                <w:sz w:val="19"/>
                <w:shd w:fill="EEF2F6"/>
              </w:rPr>
              <w:t>val-core/flow_grpo/ocr/reward/mean@1</w:t>
            </w:r>
            <w:r>
              <w:rPr>
                <w:rFonts w:ascii="Calibri" w:hAnsi="Calibri" w:eastAsia="Microsoft YaHei"/>
                <w:sz w:val="18"/>
              </w:rPr>
              <w:t>），横轴为训练步数（30–120）</w:t>
            </w:r>
          </w:p>
        </w:tc>
      </w:tr>
      <w:tr>
        <w:tc>
          <w:tcPr>
            <w:tcW w:type="dxa" w:w="2477"/>
            <w:vAlign w:val="center"/>
            <w:tcMar>
              <w:top w:w="80" w:type="dxa"/>
              <w:start w:w="120" w:type="dxa"/>
              <w:bottom w:w="80" w:type="dxa"/>
              <w:end w:w="120" w:type="dxa"/>
            </w:tcMar>
          </w:tcPr>
          <w:p>
            <w:pPr>
              <w:spacing w:before="0" w:after="0" w:line="259" w:lineRule="auto"/>
            </w:pPr>
            <w:r>
              <w:rPr>
                <w:rFonts w:ascii="Calibri" w:hAnsi="Calibri" w:eastAsia="Microsoft YaHei"/>
                <w:sz w:val="18"/>
              </w:rPr>
              <w:t>底部五项标注</w:t>
            </w:r>
          </w:p>
        </w:tc>
        <w:tc>
          <w:tcPr>
            <w:tcW w:type="dxa" w:w="688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贡献吞吐提升的五项技术</w:t>
            </w:r>
          </w:p>
        </w:tc>
      </w:tr>
    </w:tbl>
    <w:p>
      <w:pPr>
        <w:spacing w:after="40"/>
      </w:pPr>
    </w:p>
    <w:p>
      <w:pPr/>
      <w:r>
        <w:t>单步时间由 190 s 降至 152 s，</w:t>
      </w:r>
      <w:r>
        <w:rPr>
          <w:b/>
        </w:rPr>
        <w:t>降幅约 20%</w:t>
      </w:r>
      <w:r>
        <w:t>。这一提升来自五项技术的协同：异步奖励消除流水线气泡、分步连续批处理提高推理利用率、Rollout 校正的 Bypass 模式减少冗余前向传播、FA3（FlashAttention 3）提供更高效的注意力计算内核、FSDP2 改善训练阶段的通信与显存效率。</w:t>
      </w:r>
    </w:p>
    <w:p>
      <w:pPr>
        <w:pStyle w:val="Heading2"/>
      </w:pPr>
      <w:r>
        <w:t>算法维度的收敛观察</w:t>
      </w:r>
    </w:p>
    <w:p>
      <w:pPr/>
      <w:r>
        <w:t>上图右侧只有一条折线，记录的是 FlowGRPO 在 VeRL-Omni 上的验证集 OCR 奖励均值：从第 30 步的约 0.69 稳定爬升，第 90 步前后越过 0.93，到第 120 步接近 0.96。这条曲线的意义不在于"更快"，而在于</w:t>
      </w:r>
      <w:r>
        <w:rPr>
          <w:b/>
        </w:rPr>
        <w:t>形态与基线一致</w:t>
      </w:r>
      <w:r>
        <w:t>——系统优化的贡献体现在步时缩短，而非改变收敛轨迹，说明约 20% 的吞吐提升没有以牺牲训练质量为代价。</w:t>
      </w:r>
    </w:p>
    <w:p>
      <w:pPr/>
      <w:r>
        <w:t>算法层面的收敛差异则由另一组实验给出。演讲 PPT 第 27 页单独展示了 Diffusion NFT 算法的奖励曲线，其奖励均值在约 60 步时即突破 0.9，快于 FlowGRPO 的同期水平。需要强调的是，这是</w:t>
      </w:r>
      <w:r>
        <w:rPr>
          <w:b/>
        </w:rPr>
        <w:t>算法选择带来的收敛效率优势</w:t>
      </w:r>
      <w:r>
        <w:t>，与上图的系统优化不是同一个维度，两条曲线也来自不同的实验图表，不应放在同一张图上直接比较。</w:t>
      </w:r>
    </w:p>
    <w:p>
      <w:pPr>
        <w:spacing w:before="80" w:after="200" w:line="300" w:lineRule="auto"/>
        <w:ind w:left="317" w:right="173"/>
        <w:pBdr>
          <w:left w:val="single" w:sz="18" w:space="8" w:color="2E74B5"/>
        </w:pBdr>
        <w:shd w:fill="F4F6F9"/>
      </w:pPr>
      <w:r>
        <w:rPr>
          <w:rFonts w:ascii="Calibri" w:hAnsi="Calibri" w:eastAsia="Microsoft YaHei"/>
          <w:b/>
          <w:color w:val="203748"/>
          <w:sz w:val="23"/>
        </w:rPr>
        <w:t>条件限定</w:t>
      </w:r>
      <w:r>
        <w:rPr>
          <w:rFonts w:ascii="Calibri" w:hAnsi="Calibri" w:eastAsia="Microsoft YaHei"/>
          <w:color w:val="203748"/>
          <w:sz w:val="23"/>
        </w:rPr>
        <w:t xml:space="preserve">：20% 的提升幅度与 Qwen-Image 模型及 </w:t>
      </w:r>
      <w:r>
        <w:rPr>
          <w:rFonts w:ascii="Consolas" w:hAnsi="Consolas" w:eastAsia="Microsoft YaHei"/>
          <w:color w:val="1F4D78"/>
          <w:sz w:val="19"/>
          <w:shd w:fill="EEF2F6"/>
        </w:rPr>
        <w:t>diffusers</w:t>
      </w:r>
      <w:r>
        <w:rPr>
          <w:rFonts w:ascii="Calibri" w:hAnsi="Calibri" w:eastAsia="Microsoft YaHei"/>
          <w:color w:val="203748"/>
          <w:sz w:val="23"/>
        </w:rPr>
        <w:t xml:space="preserve"> 基线强相关，具体硬件配置与模型规模在演讲材料中未明确给出。切换到其他模态或不同模型架构时收益可能不同。Diffusion NFT 的收敛判读基于演讲图表的目视观察，演讲材料未给出与 FlowGRPO 的同轴对照实验，置信度为中等。</w:t>
      </w:r>
    </w:p>
    <w:p>
      <w:pPr>
        <w:pStyle w:val="Heading2"/>
      </w:pPr>
      <w:r>
        <w:t>硬件泛化：Ascend NPU 的初步支持</w:t>
      </w:r>
    </w:p>
    <w:p>
      <w:pPr/>
      <w:r>
        <w:t>VeRL-Omni 已将软件栈向华为 Ascend NPU（Neural Processing Unit，神经网络处理单元）延伸。下图展示了分层软件架构和功能支持矩阵。</w:t>
      </w:r>
    </w:p>
    <w:p>
      <w:pPr>
        <w:keepNext/>
        <w:keepLines/>
        <w:spacing w:before="120" w:after="0"/>
        <w:jc w:val="center"/>
      </w:pPr>
      <w:r>
        <w:drawing>
          <wp:inline xmlns:a="http://schemas.openxmlformats.org/drawingml/2006/main" xmlns:pic="http://schemas.openxmlformats.org/drawingml/2006/picture">
            <wp:extent cx="5943600" cy="2947035"/>
            <wp:docPr id="9" name="Picture 9" descr="Ascend NPU 上的功能支持矩阵" title="Ascend NPU 上的功能支持矩阵"/>
            <wp:cNvGraphicFramePr>
              <a:graphicFrameLocks noChangeAspect="1"/>
            </wp:cNvGraphicFramePr>
            <a:graphic>
              <a:graphicData uri="http://schemas.openxmlformats.org/drawingml/2006/picture">
                <pic:pic>
                  <pic:nvPicPr>
                    <pic:cNvPr id="0" name="slide-22.png"/>
                    <pic:cNvPicPr/>
                  </pic:nvPicPr>
                  <pic:blipFill>
                    <a:blip r:embed="rId21"/>
                    <a:stretch>
                      <a:fillRect/>
                    </a:stretch>
                  </pic:blipFill>
                  <pic:spPr>
                    <a:xfrm>
                      <a:off x="0" y="0"/>
                      <a:ext cx="5943600" cy="2947035"/>
                    </a:xfrm>
                    <a:prstGeom prst="rect"/>
                  </pic:spPr>
                </pic:pic>
              </a:graphicData>
            </a:graphic>
          </wp:inline>
        </w:drawing>
      </w:r>
    </w:p>
    <w:p>
      <w:pPr/>
      <w:r>
        <w:rPr>
          <w:i/>
        </w:rPr>
        <w:t>图注：左侧为 VeRL-Omni 在 Ascend 上的分层软件架构，右侧为模型、算法与加速特性的支持状态表。来源：演讲 PPT 第 22 页</w:t>
      </w:r>
    </w:p>
    <w:p>
      <w:pPr/>
      <w:r>
        <w:rPr>
          <w:b/>
        </w:rPr>
        <w:t>软件栈自上而下</w:t>
      </w:r>
      <w:r>
        <w:t>：</w:t>
      </w:r>
    </w:p>
    <w:p>
      <w:pPr>
        <w:spacing w:after="80" w:line="290" w:lineRule="auto"/>
        <w:numPr>
          <w:ilvl w:val="0"/>
          <w:numId w:val="17"/>
        </w:numPr>
      </w:pPr>
      <w:r>
        <w:rPr>
          <w:b/>
        </w:rPr>
        <w:t>Single Controller RL Trainer</w:t>
      </w:r>
      <w:r>
        <w:t xml:space="preserve"> —— 统一调度层，与 GPU 版本共享逻辑。</w:t>
      </w:r>
    </w:p>
    <w:p>
      <w:pPr>
        <w:spacing w:after="80" w:line="290" w:lineRule="auto"/>
        <w:numPr>
          <w:ilvl w:val="0"/>
          <w:numId w:val="17"/>
        </w:numPr>
      </w:pPr>
      <w:r>
        <w:rPr>
          <w:b/>
        </w:rPr>
        <w:t>Model / Rollout / Reward Engine</w:t>
      </w:r>
      <w:r>
        <w:t xml:space="preserve"> —— 通过 vLLM-Ascend 和 PyTorch NPU 后端接入 NPU 硬件。</w:t>
      </w:r>
    </w:p>
    <w:p>
      <w:pPr>
        <w:spacing w:after="80" w:line="290" w:lineRule="auto"/>
        <w:numPr>
          <w:ilvl w:val="0"/>
          <w:numId w:val="17"/>
        </w:numPr>
      </w:pPr>
      <w:r>
        <w:rPr>
          <w:b/>
        </w:rPr>
        <w:t>CANN</w:t>
      </w:r>
      <w:r>
        <w:t>（Compute Architecture for Neural Networks）—— 华为底层算子库与驱动层。</w:t>
      </w:r>
    </w:p>
    <w:p>
      <w:pPr/>
      <w:r>
        <w:t>功能表以颜色区分三种状态：已支持（Supported）、开发中（WIP）和计划中（Plan）。从中可以看到：</w:t>
      </w:r>
    </w:p>
    <w:p>
      <w:pPr>
        <w:spacing w:after="80" w:line="290" w:lineRule="auto"/>
        <w:numPr>
          <w:ilvl w:val="0"/>
          <w:numId w:val="10"/>
        </w:numPr>
      </w:pPr>
      <w:r>
        <w:rPr>
          <w:b/>
        </w:rPr>
        <w:t>端到端训练</w:t>
      </w:r>
      <w:r>
        <w:t>：Diffusion 和 Omni 类型模型的完整 RL 训练已标记为已支持。</w:t>
      </w:r>
    </w:p>
    <w:p>
      <w:pPr>
        <w:spacing w:after="80" w:line="290" w:lineRule="auto"/>
        <w:numPr>
          <w:ilvl w:val="0"/>
          <w:numId w:val="10"/>
        </w:numPr>
      </w:pPr>
      <w:r>
        <w:rPr>
          <w:b/>
        </w:rPr>
        <w:t>模型覆盖</w:t>
      </w:r>
      <w:r>
        <w:t>：Qwen-Image、Qwen3-Omni 等主力模型已适配或处于 WIP 阶段。</w:t>
      </w:r>
    </w:p>
    <w:p>
      <w:pPr>
        <w:spacing w:after="80" w:line="290" w:lineRule="auto"/>
        <w:numPr>
          <w:ilvl w:val="0"/>
          <w:numId w:val="10"/>
        </w:numPr>
      </w:pPr>
      <w:r>
        <w:rPr>
          <w:b/>
        </w:rPr>
        <w:t>加速特性</w:t>
      </w:r>
      <w:r>
        <w:t>：分步连续批处理、异步奖励服务等关键优化已开始移植，但部分仍为 WIP 或 Plan 状态。</w:t>
      </w:r>
    </w:p>
    <w:p>
      <w:pPr>
        <w:spacing w:before="80" w:after="200" w:line="300" w:lineRule="auto"/>
        <w:ind w:left="317" w:right="173"/>
        <w:pBdr>
          <w:left w:val="single" w:sz="18" w:space="8" w:color="2E74B5"/>
        </w:pBdr>
        <w:shd w:fill="F4F6F9"/>
      </w:pPr>
      <w:r>
        <w:rPr>
          <w:rFonts w:ascii="Calibri" w:hAnsi="Calibri" w:eastAsia="Microsoft YaHei"/>
          <w:b/>
          <w:color w:val="203748"/>
          <w:sz w:val="23"/>
        </w:rPr>
        <w:t>局限性</w:t>
      </w:r>
      <w:r>
        <w:rPr>
          <w:rFonts w:ascii="Calibri" w:hAnsi="Calibri" w:eastAsia="Microsoft YaHei"/>
          <w:color w:val="203748"/>
          <w:sz w:val="23"/>
        </w:rPr>
        <w:t>：演讲材料未提供 NPU 上的量化性能数据。当前 Ascend 支持应视为"可跑通端到端流程"，而非"性能对齐 GPU"。</w:t>
      </w:r>
    </w:p>
    <w:p>
      <w:pPr>
        <w:pStyle w:val="Heading1"/>
      </w:pPr>
      <w:r>
        <w:t>结论与局限</w:t>
      </w:r>
    </w:p>
    <w:p>
      <w:pPr/>
      <w:r>
        <w:t>回顾全文的因果主线，从瓶颈识别到架构设计再到逐层优化，可以提炼出以下核心结论：</w:t>
      </w:r>
    </w:p>
    <w:p>
      <w:pPr>
        <w:spacing w:after="80" w:line="290" w:lineRule="auto"/>
        <w:numPr>
          <w:ilvl w:val="0"/>
          <w:numId w:val="18"/>
        </w:numPr>
      </w:pPr>
      <w:r>
        <w:rPr>
          <w:b/>
        </w:rPr>
        <w:t>多模态 RL 的核心矛盾在于生成与奖励计算同时变为计算密集型任务</w:t>
      </w:r>
      <w:r>
        <w:t>，打破了传统 LLM RL 框架"轻奖励、快采样"的隐含假设，必须通过系统级解耦与异步化来应对。</w:t>
      </w:r>
    </w:p>
    <w:p>
      <w:pPr>
        <w:spacing w:after="80" w:line="290" w:lineRule="auto"/>
        <w:numPr>
          <w:ilvl w:val="0"/>
          <w:numId w:val="18"/>
        </w:numPr>
      </w:pPr>
      <w:r>
        <w:rPr>
          <w:b/>
        </w:rPr>
        <w:t>HybridFlow 架构将全局复杂度收敛到一条可复用的线性数据流上</w:t>
      </w:r>
      <w:r>
        <w:t>，单控制器编排宏观逻辑，SPMD 工作组独立执行各阶段计算，引擎无关设计保留了后端替换的灵活性。</w:t>
      </w:r>
    </w:p>
    <w:p>
      <w:pPr>
        <w:spacing w:after="80" w:line="290" w:lineRule="auto"/>
        <w:numPr>
          <w:ilvl w:val="0"/>
          <w:numId w:val="18"/>
        </w:numPr>
      </w:pPr>
      <w:r>
        <w:rPr>
          <w:b/>
        </w:rPr>
        <w:t>步进式连续批处理将调度粒度细化到单步去噪</w:t>
      </w:r>
      <w:r>
        <w:t>，通过形状对齐、步数解耦和槽位动态回收，在 Rollout 阶段实现了 20–25% 的生成时间缩减（具体基线条件未在材料中详述）。</w:t>
      </w:r>
    </w:p>
    <w:p>
      <w:pPr>
        <w:spacing w:after="80" w:line="290" w:lineRule="auto"/>
        <w:numPr>
          <w:ilvl w:val="0"/>
          <w:numId w:val="18"/>
        </w:numPr>
      </w:pPr>
      <w:r>
        <w:rPr>
          <w:b/>
        </w:rPr>
        <w:t>异步奖励流将同步屏障从 Batch 粒度降低到样本粒度</w:t>
      </w:r>
      <w:r>
        <w:t>，使 VLM/OCR 评估延迟与后续 Rollout 在时间维度上重叠，收益取决于奖励延迟与 Rollout 耗时的相对比例及 GPU 资源分配。</w:t>
      </w:r>
    </w:p>
    <w:p>
      <w:pPr>
        <w:spacing w:after="80" w:line="290" w:lineRule="auto"/>
        <w:numPr>
          <w:ilvl w:val="0"/>
          <w:numId w:val="18"/>
        </w:numPr>
      </w:pPr>
      <w:r>
        <w:rPr>
          <w:b/>
        </w:rPr>
        <w:t>Rollout 校准的 Bypass 模式跳过 old logp 重算</w:t>
      </w:r>
      <w:r>
        <w:t>，在 FlowGRPO 场景下节省约 15% 的步时成本，配合 RS mask 的序列级拒绝机制将精度漂移风险控制在可接受范围内。</w:t>
      </w:r>
    </w:p>
    <w:p>
      <w:pPr>
        <w:spacing w:after="80" w:line="290" w:lineRule="auto"/>
        <w:numPr>
          <w:ilvl w:val="0"/>
          <w:numId w:val="18"/>
        </w:numPr>
      </w:pPr>
      <w:r>
        <w:rPr>
          <w:b/>
        </w:rPr>
        <w:t>FlowGRPO 通过"动作 = 单步 SDE 转移、轨迹 = 完整去噪路径"的映射</w:t>
      </w:r>
      <w:r>
        <w:t>，将离散 token 级别的 GRPO 算法迁移到连续扩散模型上，截断比率与逐步高斯 KL 共同约束更新幅度。</w:t>
      </w:r>
    </w:p>
    <w:p>
      <w:pPr>
        <w:spacing w:after="80" w:line="290" w:lineRule="auto"/>
        <w:numPr>
          <w:ilvl w:val="0"/>
          <w:numId w:val="18"/>
        </w:numPr>
      </w:pPr>
      <w:r>
        <w:rPr>
          <w:b/>
        </w:rPr>
        <w:t>在 Qwen-Image 模型上，上述优化叠加后端到端步时从 190 s 降至 152 s</w:t>
      </w:r>
      <w:r>
        <w:t>（约 20%），同时 FlowGRPO 的收敛曲线与基线保持一致；在另一组独立实验中，Diffusion NFT 算法展现出更快的收敛速度，约 60 步即达 0.9 以上的奖励水平。</w:t>
      </w:r>
    </w:p>
    <w:p>
      <w:pPr>
        <w:spacing w:after="80" w:line="290" w:lineRule="auto"/>
        <w:numPr>
          <w:ilvl w:val="0"/>
          <w:numId w:val="18"/>
        </w:numPr>
      </w:pPr>
      <w:r>
        <w:rPr>
          <w:b/>
        </w:rPr>
        <w:t>Ascend NPU 的端到端训练流程已跑通</w:t>
      </w:r>
      <w:r>
        <w:t>，但多项高级加速特性仍处于 WIP 或 Plan 阶段，演讲材料未提供 NPU 上的量化性能对比数据。</w:t>
      </w:r>
    </w:p>
    <w:p>
      <w:pPr/>
      <w:r>
        <w:rPr>
          <w:b/>
        </w:rPr>
        <w:t>主要局限</w:t>
      </w:r>
      <w:r>
        <w:t xml:space="preserve">：吞吐提升数据均基于特定模型与基线组合（Qwen-Image + </w:t>
      </w:r>
      <w:r>
        <w:rPr>
          <w:rFonts w:ascii="Consolas" w:hAnsi="Consolas" w:eastAsia="Microsoft YaHei"/>
          <w:color w:val="1F4D78"/>
          <w:sz w:val="19"/>
          <w:shd w:fill="EEF2F6"/>
        </w:rPr>
        <w:t>diffusers</w:t>
      </w:r>
      <w:r>
        <w:t>-based FlowGRPO），迁移到其他场景时需重新验证；RS mask 阈值的最优设定缺乏公开指导，部署时依赖逐场景标定；NPU 侧的性能成熟度尚待量化验证；形状碎片化等极端调度场景的应对策略尚未明确。这些开放问题为后续的工程迭代和社区贡献留下了明确的方向。</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VeRL-Omni 核心架构解析：多模态强化学习的系统级优化实践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qd7n6TEZk" TargetMode="External"/><Relationship Id="rId12" Type="http://schemas.openxmlformats.org/officeDocument/2006/relationships/hyperlink" Target="https://drive.google.com/file/d/1T534U3IEK5RzebGZ6sdhLQQ2tXH-pSho/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VeRL-Omni 核心架构解析：多模态强化学习的系统级优化实践</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