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60" w:after="0"/>
      </w:pPr>
    </w:p>
    <w:p>
      <w:pPr>
        <w:spacing w:after="360"/>
        <w:jc w:val="center"/>
      </w:pPr>
      <w:r>
        <w:rPr>
          <w:rFonts w:ascii="Calibri" w:hAnsi="Calibri" w:eastAsia="Microsoft YaHei"/>
          <w:b/>
          <w:color w:val="2E74B5"/>
          <w:sz w:val="20"/>
        </w:rPr>
        <w:t>TECHNICAL DEEP DIVE</w:t>
      </w:r>
    </w:p>
    <w:p>
      <w:pPr>
        <w:keepLines/>
        <w:spacing w:after="200"/>
        <w:jc w:val="center"/>
      </w:pPr>
      <w:r>
        <w:rPr>
          <w:rFonts w:ascii="Calibri" w:hAnsi="Calibri" w:eastAsia="Microsoft YaHei"/>
          <w:b/>
          <w:color w:val="203748"/>
          <w:sz w:val="56"/>
        </w:rPr>
        <w:t>从 Hugging Face 到 vLLM：一条可验证的模型接入链路</w:t>
      </w:r>
    </w:p>
    <w:p>
      <w:pPr>
        <w:spacing w:after="560"/>
        <w:jc w:val="center"/>
      </w:pPr>
      <w:r>
        <w:rPr>
          <w:rFonts w:ascii="Calibri" w:hAnsi="Calibri" w:eastAsia="Microsoft YaHei"/>
          <w:color w:val="1F4D78"/>
          <w:sz w:val="28"/>
        </w:rPr>
        <w:t>模型在 Hugging Face 中能够推理，只说明原实现成立。要进入 vLLM，还必须让模块命名、运行时输入、并行参数、权重加载、注册信息和测试证据彼此对齐。</w:t>
      </w:r>
    </w:p>
    <w:p>
      <w:pPr>
        <w:spacing w:before="840" w:after="160"/>
        <w:jc w:val="center"/>
      </w:pPr>
      <w:r>
        <w:rPr>
          <w:rFonts w:ascii="Calibri" w:hAnsi="Calibri" w:eastAsia="Microsoft YaHei"/>
          <w:i/>
          <w:color w:val="626B75"/>
          <w:sz w:val="21"/>
        </w:rPr>
        <w:t>基于技术演讲与配套材料整理</w:t>
      </w:r>
    </w:p>
    <w:p>
      <w:pPr>
        <w:spacing w:after="80"/>
        <w:jc w:val="center"/>
      </w:pPr>
      <w:r>
        <w:rPr>
          <w:rFonts w:ascii="Calibri" w:hAnsi="Calibri" w:eastAsia="Microsoft YaHei"/>
          <w:color w:val="626B75"/>
          <w:sz w:val="19"/>
        </w:rPr>
        <w:t>配套材料：vLLM-model-integration-guide.pdf</w:t>
      </w:r>
    </w:p>
    <w:p>
      <w:pPr>
        <w:spacing w:before="680"/>
        <w:jc w:val="center"/>
      </w:pPr>
      <w:r>
        <w:rPr>
          <w:rFonts w:ascii="Calibri" w:hAnsi="Calibri" w:eastAsia="Microsoft YaHei"/>
          <w:color w:val="626B75"/>
          <w:sz w:val="20"/>
        </w:rPr>
        <w:t>2026-09-05</w:t>
      </w:r>
      <w:r>
        <w:br w:type="page"/>
      </w:r>
    </w:p>
    <w:p>
      <w:pPr>
        <w:pStyle w:val="Lead"/>
      </w:pPr>
      <w:r>
        <w:rPr>
          <w:b/>
        </w:rPr>
        <w:t>原视频</w:t>
      </w:r>
      <w:r>
        <w:t>：</w:t>
      </w:r>
      <w:hyperlink r:id="rId11">
        <w:r>
          <w:rPr>
            <w:color w:val="0563C1"/>
            <w:u w:val="single"/>
          </w:rPr>
          <w:t>如何在 vLLM 中接入一个模型</w:t>
        </w:r>
      </w:hyperlink>
      <w:r>
        <w:t xml:space="preserve"> · </w:t>
      </w:r>
      <w:r>
        <w:rPr>
          <w:b/>
        </w:rPr>
        <w:t>配套资料</w:t>
      </w:r>
      <w:r>
        <w:t>：</w:t>
      </w:r>
      <w:hyperlink r:id="rId12">
        <w:r>
          <w:rPr>
            <w:color w:val="0563C1"/>
            <w:u w:val="single"/>
          </w:rPr>
          <w:t>vLLM 模型接入指南</w:t>
        </w:r>
      </w:hyperlink>
    </w:p>
    <w:p>
      <w:pPr/>
      <w:r>
        <w:t>本文面向具备 PyTorch、Transformer 与 Hugging Face 基础，但尚不熟悉 vLLM 模型实现的工程师。</w:t>
      </w:r>
    </w:p>
    <w:p>
      <w:pPr>
        <w:pStyle w:val="Heading1"/>
      </w:pPr>
      <w:r>
        <w:t>适读人群与前置知识</w:t>
      </w:r>
    </w:p>
    <w:p>
      <w:pPr/>
      <w:r>
        <w:t>阅读前最好能够：</w:t>
      </w:r>
    </w:p>
    <w:p>
      <w:pPr>
        <w:spacing w:after="80" w:line="290" w:lineRule="auto"/>
        <w:numPr>
          <w:ilvl w:val="0"/>
          <w:numId w:val="10"/>
        </w:numPr>
      </w:pPr>
      <w:r>
        <w:t xml:space="preserve">阅读 </w:t>
      </w:r>
      <w:r>
        <w:rPr>
          <w:rFonts w:ascii="Consolas" w:hAnsi="Consolas" w:eastAsia="Microsoft YaHei"/>
          <w:color w:val="1F4D78"/>
          <w:sz w:val="19"/>
          <w:shd w:fill="EEF2F6"/>
        </w:rPr>
        <w:t>nn.Module</w:t>
      </w:r>
      <w:r>
        <w:t>、</w:t>
      </w:r>
      <w:r>
        <w:rPr>
          <w:rFonts w:ascii="Consolas" w:hAnsi="Consolas" w:eastAsia="Microsoft YaHei"/>
          <w:color w:val="1F4D78"/>
          <w:sz w:val="19"/>
          <w:shd w:fill="EEF2F6"/>
        </w:rPr>
        <w:t>forward</w:t>
      </w:r>
      <w:r>
        <w:t xml:space="preserve"> 和 </w:t>
      </w:r>
      <w:r>
        <w:rPr>
          <w:rFonts w:ascii="Consolas" w:hAnsi="Consolas" w:eastAsia="Microsoft YaHei"/>
          <w:color w:val="1F4D78"/>
          <w:sz w:val="19"/>
          <w:shd w:fill="EEF2F6"/>
        </w:rPr>
        <w:t>state_dict</w:t>
      </w:r>
      <w:r>
        <w:t>；</w:t>
      </w:r>
    </w:p>
    <w:p>
      <w:pPr>
        <w:spacing w:after="80" w:line="290" w:lineRule="auto"/>
        <w:numPr>
          <w:ilvl w:val="0"/>
          <w:numId w:val="10"/>
        </w:numPr>
      </w:pPr>
      <w:r>
        <w:t>理解 Embedding、Attention、Q/K/V、FFN 与 LM Head；</w:t>
      </w:r>
    </w:p>
    <w:p>
      <w:pPr>
        <w:spacing w:after="80" w:line="290" w:lineRule="auto"/>
        <w:numPr>
          <w:ilvl w:val="0"/>
          <w:numId w:val="10"/>
        </w:numPr>
      </w:pPr>
      <w:r>
        <w:t>了解 GPU 显存、张量切分、</w:t>
      </w:r>
      <w:r>
        <w:rPr>
          <w:rFonts w:ascii="Consolas" w:hAnsi="Consolas" w:eastAsia="Microsoft YaHei"/>
          <w:color w:val="1F4D78"/>
          <w:sz w:val="19"/>
          <w:shd w:fill="EEF2F6"/>
        </w:rPr>
        <w:t>all-reduce</w:t>
      </w:r>
      <w:r>
        <w:t xml:space="preserve"> 和 </w:t>
      </w:r>
      <w:r>
        <w:rPr>
          <w:rFonts w:ascii="Consolas" w:hAnsi="Consolas" w:eastAsia="Microsoft YaHei"/>
          <w:color w:val="1F4D78"/>
          <w:sz w:val="19"/>
          <w:shd w:fill="EEF2F6"/>
        </w:rPr>
        <w:t>all-gather</w:t>
      </w:r>
      <w:r>
        <w:t>；</w:t>
      </w:r>
    </w:p>
    <w:p>
      <w:pPr>
        <w:spacing w:after="80" w:line="290" w:lineRule="auto"/>
        <w:numPr>
          <w:ilvl w:val="0"/>
          <w:numId w:val="10"/>
        </w:numPr>
      </w:pPr>
      <w:r>
        <w:t xml:space="preserve">知道 Hugging Face checkpoint 与 </w:t>
      </w:r>
      <w:r>
        <w:rPr>
          <w:rFonts w:ascii="Consolas" w:hAnsi="Consolas" w:eastAsia="Microsoft YaHei"/>
          <w:color w:val="1F4D78"/>
          <w:sz w:val="19"/>
          <w:shd w:fill="EEF2F6"/>
        </w:rPr>
        <w:t>modeling_*.py</w:t>
      </w:r>
      <w:r>
        <w:t xml:space="preserve"> 的基本组织方式。</w:t>
      </w:r>
    </w:p>
    <w:p>
      <w:pPr>
        <w:pStyle w:val="Heading1"/>
      </w:pPr>
      <w:r>
        <w:t>阅读目标</w:t>
      </w:r>
    </w:p>
    <w:p>
      <w:pPr/>
      <w:r>
        <w:t>读完后，你应当能够：</w:t>
      </w:r>
    </w:p>
    <w:p>
      <w:pPr>
        <w:spacing w:after="80" w:line="290" w:lineRule="auto"/>
        <w:numPr>
          <w:ilvl w:val="0"/>
          <w:numId w:val="10"/>
        </w:numPr>
      </w:pPr>
      <w:r>
        <w:t>建立从选择参考实现到注册测试的端到端接入路径；</w:t>
      </w:r>
    </w:p>
    <w:p>
      <w:pPr>
        <w:spacing w:after="80" w:line="290" w:lineRule="auto"/>
        <w:numPr>
          <w:ilvl w:val="0"/>
          <w:numId w:val="10"/>
        </w:numPr>
      </w:pPr>
      <w:r>
        <w:t xml:space="preserve">理解 </w:t>
      </w:r>
      <w:r>
        <w:rPr>
          <w:rFonts w:ascii="Consolas" w:hAnsi="Consolas" w:eastAsia="Microsoft YaHei"/>
          <w:color w:val="1F4D78"/>
          <w:sz w:val="19"/>
          <w:shd w:fill="EEF2F6"/>
        </w:rPr>
        <w:t>prefix</w:t>
      </w:r>
      <w:r>
        <w:t xml:space="preserve">、扁平 token 输入和 vLLM </w:t>
      </w:r>
      <w:r>
        <w:rPr>
          <w:rFonts w:ascii="Consolas" w:hAnsi="Consolas" w:eastAsia="Microsoft YaHei"/>
          <w:color w:val="1F4D78"/>
          <w:sz w:val="19"/>
          <w:shd w:fill="EEF2F6"/>
        </w:rPr>
        <w:t>Attention</w:t>
      </w:r>
      <w:r>
        <w:t xml:space="preserve"> 的协作关系；</w:t>
      </w:r>
    </w:p>
    <w:p>
      <w:pPr>
        <w:spacing w:after="80" w:line="290" w:lineRule="auto"/>
        <w:numPr>
          <w:ilvl w:val="0"/>
          <w:numId w:val="10"/>
        </w:numPr>
      </w:pPr>
      <w:r>
        <w:t>根据数据布局选择张量并行层，并识别对应的通信边界；</w:t>
      </w:r>
    </w:p>
    <w:p>
      <w:pPr>
        <w:spacing w:after="80" w:line="290" w:lineRule="auto"/>
        <w:numPr>
          <w:ilvl w:val="0"/>
          <w:numId w:val="10"/>
        </w:numPr>
      </w:pPr>
      <w:r>
        <w:t xml:space="preserve">理解合并并行参数为什么要求同步改写 </w:t>
      </w:r>
      <w:r>
        <w:rPr>
          <w:rFonts w:ascii="Consolas" w:hAnsi="Consolas" w:eastAsia="Microsoft YaHei"/>
          <w:color w:val="1F4D78"/>
          <w:sz w:val="19"/>
          <w:shd w:fill="EEF2F6"/>
        </w:rPr>
        <w:t>load_weights</w:t>
      </w:r>
      <w:r>
        <w:t>；</w:t>
      </w:r>
    </w:p>
    <w:p>
      <w:pPr>
        <w:spacing w:after="80" w:line="290" w:lineRule="auto"/>
        <w:numPr>
          <w:ilvl w:val="0"/>
          <w:numId w:val="10"/>
        </w:numPr>
      </w:pPr>
      <w:r>
        <w:t>区分注册成功、dummy weights 初始化成功和真实推理正确；</w:t>
      </w:r>
    </w:p>
    <w:p>
      <w:pPr>
        <w:spacing w:after="80" w:line="290" w:lineRule="auto"/>
        <w:numPr>
          <w:ilvl w:val="0"/>
          <w:numId w:val="10"/>
        </w:numPr>
      </w:pPr>
      <w:r>
        <w:t>识别多模态、ASR、滑动窗口和 Mamba 带来的附加约束。</w:t>
      </w:r>
    </w:p>
    <w:p>
      <w:pPr/>
      <w:r>
        <w:t>下文使用三类事实强度：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材料事实</w:t>
      </w:r>
      <w:r>
        <w:t>：由演讲 PPT 或事实台账直接支持；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维护者经验</w:t>
      </w:r>
      <w:r>
        <w:t>：来自转写中的工程建议；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待核验</w:t>
      </w:r>
      <w:r>
        <w:t>：材料没有完整给出，必须结合目标版本与具体模型确认。</w:t>
      </w:r>
    </w:p>
    <w:p>
      <w:pPr>
        <w:pStyle w:val="Heading1"/>
      </w:pPr>
      <w:r>
        <w:t>一、先缩小问题：模型接入究竟要改什么</w:t>
      </w:r>
    </w:p>
    <w:p>
      <w:pPr/>
      <w:r>
        <w:t>真实的工程矛盾是：一份模型代码可以在 Hugging Face 中运行，却不能直接进入 vLLM 的服务路径。</w:t>
      </w:r>
    </w:p>
    <w:p>
      <w:pPr/>
      <w:r>
        <w:t>材料以 PagedAttention——其中用于说明 KV-Cache 利用率的运行时机制——和并行层解释接入价值。但模型不会因为更换运行时便自动满足新接口。开发者仍要处理代码迁移、模块命名、输入布局、并行参数、权重映射和注册测试。</w:t>
      </w:r>
    </w:p>
    <w:p>
      <w:pPr/>
      <w:r>
        <w:t>先看下面这张图，是为了把“为什么值得接入”和“模型实际要改什么”分开，避免把材料中的定性动机写成接入后的性能保证。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2114"/>
            <wp:docPr id="1" name="Picture 1" descr="PPT 第 3 页：接入 vLLM 的动机与工程工作项" title="PPT 第 3 页：接入 vLLM 的动机与工程工作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1：接入 vLLM 的动机与工程工作项。来源：PPT 第 3 页。</w:t>
      </w:r>
    </w:p>
    <w:p>
      <w:pPr/>
      <w:r>
        <w:t>左侧两个节点说明接入动机，右侧四个节点才是模型实现需要完成的工作。两条虚线强调：PagedAttention 和并行层可以解释接入价值，但不能自动解决接口、参数或权重问题。</w:t>
      </w:r>
    </w:p>
    <w:p>
      <w:pPr/>
      <w:r>
        <w:t>材料没有给出模型版本、硬件、并行度、并发量、吞吐、延迟或显存数据，因此本文不作量化性能承诺。</w:t>
      </w:r>
    </w:p>
    <w:p>
      <w:pPr>
        <w:pStyle w:val="Heading2"/>
      </w:pPr>
      <w:r>
        <w:t>从相近实现开始</w:t>
      </w:r>
    </w:p>
    <w:p>
      <w:pPr/>
      <w:r>
        <w:t xml:space="preserve">接入时应先在 </w:t>
      </w:r>
      <w:r>
        <w:rPr>
          <w:rFonts w:ascii="Consolas" w:hAnsi="Consolas" w:eastAsia="Microsoft YaHei"/>
          <w:color w:val="1F4D78"/>
          <w:sz w:val="19"/>
          <w:shd w:fill="EEF2F6"/>
        </w:rPr>
        <w:t>vllm/model_executor/models/</w:t>
      </w:r>
      <w:r>
        <w:t xml:space="preserve"> 中寻找结构最相近的已有模型，重点核对：</w:t>
      </w:r>
    </w:p>
    <w:p>
      <w:pPr>
        <w:spacing w:after="80" w:line="290" w:lineRule="auto"/>
        <w:numPr>
          <w:ilvl w:val="0"/>
          <w:numId w:val="10"/>
        </w:numPr>
      </w:pPr>
      <w:r>
        <w:t>Attention 和 FFN 的组织方式；</w:t>
      </w:r>
    </w:p>
    <w:p>
      <w:pPr>
        <w:spacing w:after="80" w:line="290" w:lineRule="auto"/>
        <w:numPr>
          <w:ilvl w:val="0"/>
          <w:numId w:val="10"/>
        </w:numPr>
      </w:pPr>
      <w:r>
        <w:t>Q、K、V 以及 gate、up 的权重布局；</w:t>
      </w:r>
    </w:p>
    <w:p>
      <w:pPr>
        <w:spacing w:after="80" w:line="290" w:lineRule="auto"/>
        <w:numPr>
          <w:ilvl w:val="0"/>
          <w:numId w:val="10"/>
        </w:numPr>
      </w:pPr>
      <w:r>
        <w:t>输入、输出与生成模式；</w:t>
      </w:r>
    </w:p>
    <w:p>
      <w:pPr>
        <w:spacing w:after="80" w:line="290" w:lineRule="auto"/>
        <w:numPr>
          <w:ilvl w:val="0"/>
          <w:numId w:val="10"/>
        </w:numPr>
      </w:pPr>
      <w:r>
        <w:t>是否包含多模态塔、逐层滑动窗口或特殊状态。</w:t>
      </w:r>
    </w:p>
    <w:p>
      <w:pPr/>
      <w:r>
        <w:t>名称相似不等于结构兼容。相近实现只是模板，不能替代对配置、模块层级和 checkpoint 权重键的检查。</w:t>
      </w:r>
    </w:p>
    <w:p>
      <w:pPr/>
      <w:r>
        <w:t xml:space="preserve">如果没有合适模板，再从 Hugging Face 的 </w:t>
      </w:r>
      <w:r>
        <w:rPr>
          <w:rFonts w:ascii="Consolas" w:hAnsi="Consolas" w:eastAsia="Microsoft YaHei"/>
          <w:color w:val="1F4D78"/>
          <w:sz w:val="19"/>
          <w:shd w:fill="EEF2F6"/>
        </w:rPr>
        <w:t>modeling_*.py</w:t>
      </w:r>
      <w:r>
        <w:t xml:space="preserve"> 迁移。迁移时要保留原始版权与许可证头，并在确认依赖关系后删除 </w:t>
      </w:r>
      <w:r>
        <w:rPr>
          <w:rFonts w:ascii="Consolas" w:hAnsi="Consolas" w:eastAsia="Microsoft YaHei"/>
          <w:color w:val="1F4D78"/>
          <w:sz w:val="19"/>
          <w:shd w:fill="EEF2F6"/>
        </w:rPr>
        <w:t>loss</w:t>
      </w:r>
      <w:r>
        <w:t>、</w:t>
      </w:r>
      <w:r>
        <w:rPr>
          <w:rFonts w:ascii="Consolas" w:hAnsi="Consolas" w:eastAsia="Microsoft YaHei"/>
          <w:color w:val="1F4D78"/>
          <w:sz w:val="19"/>
          <w:shd w:fill="EEF2F6"/>
        </w:rPr>
        <w:t>labels</w:t>
      </w:r>
      <w:r>
        <w:t>、gradient checkpoint 等推理不需要的训练路径。</w:t>
      </w:r>
    </w:p>
    <w:p>
      <w:pPr>
        <w:pStyle w:val="Heading2"/>
      </w:pPr>
      <w:r>
        <w:t>五个阶段构成一条依赖链</w:t>
      </w:r>
    </w:p>
    <w:p>
      <w:pPr/>
      <w:r>
        <w:t>接下来这张图给出全文地图。之所以先看全链路，是因为接口、并行布局和权重加载并不是彼此独立的改动：前一阶段会直接限定后一阶段的实现方式。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2114"/>
            <wp:docPr id="2" name="Picture 2" descr="PPT 第 4 页：模型接入五步流程" title="PPT 第 4 页：模型接入五步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2：模型接入的五阶段主线。来源：PPT 第 4 页。</w:t>
      </w:r>
    </w:p>
    <w:p>
      <w:pPr/>
      <w:r>
        <w:t>从左到右的实线表示主要依赖关系：运行接口决定模型如何构造和执行，并行层改变参数的物理组织，新的参数组织又决定 checkpoint 应当如何写入。</w:t>
      </w:r>
    </w:p>
    <w:p>
      <w:pPr/>
      <w:r>
        <w:t xml:space="preserve">反向虚线说明开发过程并非严格的瀑布流程。例如，设计 </w:t>
      </w:r>
      <w:r>
        <w:rPr>
          <w:rFonts w:ascii="Consolas" w:hAnsi="Consolas" w:eastAsia="Microsoft YaHei"/>
          <w:color w:val="1F4D78"/>
          <w:sz w:val="19"/>
          <w:shd w:fill="EEF2F6"/>
        </w:rPr>
        <w:t>load_weights</w:t>
      </w:r>
      <w:r>
        <w:t xml:space="preserve"> 时发现名称无法稳定映射，就可能需要回头调整模块层级或并行参数命名。</w:t>
      </w:r>
    </w:p>
    <w:p>
      <w:pPr/>
      <w:r>
        <w:t>更利于故障隔离的验证顺序是：</w:t>
      </w:r>
    </w:p>
    <w:p>
      <w:pPr/>
      <w:r>
        <w:t>```text</w:t>
      </w:r>
    </w:p>
    <w:p>
      <w:pPr/>
      <w:r>
        <w:t>模型能够构造</w:t>
      </w:r>
    </w:p>
    <w:p>
      <w:pPr/>
      <w:r>
        <w:t>→ 单 GPU 权重能够加载</w:t>
      </w:r>
    </w:p>
    <w:p>
      <w:pPr/>
      <w:r>
        <w:t>→ 单 GPU forward 能够执行</w:t>
      </w:r>
    </w:p>
    <w:p>
      <w:pPr/>
      <w:r>
        <w:t>→ 引入张量并行</w:t>
      </w:r>
    </w:p>
    <w:p>
      <w:pPr/>
      <w:r>
        <w:t>→ 完成注册</w:t>
      </w:r>
    </w:p>
    <w:p>
      <w:pPr/>
      <w:r>
        <w:t>→ 对照真实行为</w:t>
      </w:r>
    </w:p>
    <w:p>
      <w:pPr/>
      <w:r>
        <w:t>```</w:t>
      </w:r>
    </w:p>
    <w:p>
      <w:pPr/>
      <w:r>
        <w:t xml:space="preserve">若单卡 </w:t>
      </w:r>
      <w:r>
        <w:rPr>
          <w:rFonts w:ascii="Consolas" w:hAnsi="Consolas" w:eastAsia="Microsoft YaHei"/>
          <w:color w:val="1F4D78"/>
          <w:sz w:val="19"/>
          <w:shd w:fill="EEF2F6"/>
        </w:rPr>
        <w:t>forward</w:t>
      </w:r>
      <w:r>
        <w:t xml:space="preserve"> 尚未跑通便启用张量并行，一次失败会同时涉及输入形状、参数分片和跨卡通信。先建立单卡基线，多卡阶段的问题才更容易收敛到布局与同步路径。</w:t>
      </w:r>
    </w:p>
    <w:p>
      <w:pPr>
        <w:pStyle w:val="Heading1"/>
      </w:pPr>
      <w:r>
        <w:t>二、进入运行时：</w:t>
      </w:r>
      <w:r>
        <w:rPr>
          <w:rFonts w:ascii="Consolas" w:hAnsi="Consolas" w:eastAsia="Microsoft YaHei"/>
          <w:color w:val="1F4D78"/>
          <w:sz w:val="19"/>
          <w:shd w:fill="EEF2F6"/>
        </w:rPr>
        <w:t>prefix</w:t>
      </w:r>
      <w:r>
        <w:t xml:space="preserve"> 与扁平 token 接口</w:t>
      </w:r>
    </w:p>
    <w:p>
      <w:pPr/>
      <w:r>
        <w:t>模型结构相近，不代表运行时契约相同。进入 vLLM 前，至少要回答两个问题：</w:t>
      </w:r>
    </w:p>
    <w:p>
      <w:pPr>
        <w:spacing w:after="80" w:line="290" w:lineRule="auto"/>
        <w:numPr>
          <w:ilvl w:val="0"/>
          <w:numId w:val="12"/>
        </w:numPr>
      </w:pPr>
      <w:r>
        <w:t>每个内部模块如何获得稳定且唯一的身份？</w:t>
      </w:r>
    </w:p>
    <w:p>
      <w:pPr>
        <w:spacing w:after="80" w:line="290" w:lineRule="auto"/>
        <w:numPr>
          <w:ilvl w:val="0"/>
          <w:numId w:val="12"/>
        </w:numPr>
      </w:pPr>
      <w:r>
        <w:t>模型如何消费调度器提供的扁平 token 流？</w:t>
      </w:r>
    </w:p>
    <w:p>
      <w:pPr/>
      <w:r>
        <w:t xml:space="preserve">前者由 </w:t>
      </w:r>
      <w:r>
        <w:rPr>
          <w:rFonts w:ascii="Consolas" w:hAnsi="Consolas" w:eastAsia="Microsoft YaHei"/>
          <w:color w:val="1F4D78"/>
          <w:sz w:val="19"/>
          <w:shd w:fill="EEF2F6"/>
        </w:rPr>
        <w:t>prefix</w:t>
      </w:r>
      <w:r>
        <w:t xml:space="preserve"> 串联，后者集中体现在 </w:t>
      </w:r>
      <w:r>
        <w:rPr>
          <w:rFonts w:ascii="Consolas" w:hAnsi="Consolas" w:eastAsia="Microsoft YaHei"/>
          <w:color w:val="1F4D78"/>
          <w:sz w:val="19"/>
          <w:shd w:fill="EEF2F6"/>
        </w:rPr>
        <w:t>embed_input_ids</w:t>
      </w:r>
      <w:r>
        <w:t>、</w:t>
      </w:r>
      <w:r>
        <w:rPr>
          <w:rFonts w:ascii="Consolas" w:hAnsi="Consolas" w:eastAsia="Microsoft YaHei"/>
          <w:color w:val="1F4D78"/>
          <w:sz w:val="19"/>
          <w:shd w:fill="EEF2F6"/>
        </w:rPr>
        <w:t>forward</w:t>
      </w:r>
      <w:r>
        <w:t xml:space="preserve"> 和 vLLM </w:t>
      </w:r>
      <w:r>
        <w:rPr>
          <w:rFonts w:ascii="Consolas" w:hAnsi="Consolas" w:eastAsia="Microsoft YaHei"/>
          <w:color w:val="1F4D78"/>
          <w:sz w:val="19"/>
          <w:shd w:fill="EEF2F6"/>
        </w:rPr>
        <w:t>Attention</w:t>
      </w:r>
      <w:r>
        <w:t>。</w:t>
      </w:r>
    </w:p>
    <w:p>
      <w:pPr>
        <w:pStyle w:val="Heading2"/>
      </w:pPr>
      <w:r>
        <w:rPr>
          <w:rFonts w:ascii="Consolas" w:hAnsi="Consolas" w:eastAsia="Microsoft YaHei"/>
          <w:color w:val="1F4D78"/>
          <w:sz w:val="19"/>
          <w:shd w:fill="EEF2F6"/>
        </w:rPr>
        <w:t>prefix</w:t>
      </w:r>
      <w:r>
        <w:t xml:space="preserve"> 是模块在命名树中的坐标</w:t>
      </w:r>
    </w:p>
    <w:p>
      <w:pPr/>
      <w:r>
        <w:rPr>
          <w:rFonts w:ascii="Consolas" w:hAnsi="Consolas" w:eastAsia="Microsoft YaHei"/>
          <w:color w:val="1F4D78"/>
          <w:sz w:val="19"/>
          <w:shd w:fill="EEF2F6"/>
        </w:rPr>
        <w:t>prefix</w:t>
      </w:r>
      <w:r>
        <w:t xml:space="preserve"> 是内部模块构造时接收的层级名称，通常应与该模块在 </w:t>
      </w:r>
      <w:r>
        <w:rPr>
          <w:rFonts w:ascii="Consolas" w:hAnsi="Consolas" w:eastAsia="Microsoft YaHei"/>
          <w:color w:val="1F4D78"/>
          <w:sz w:val="19"/>
          <w:shd w:fill="EEF2F6"/>
        </w:rPr>
        <w:t>state_dict</w:t>
      </w:r>
      <w:r>
        <w:t xml:space="preserve"> 中的完整路径对齐。它用于形成 </w:t>
      </w:r>
      <w:r>
        <w:rPr>
          <w:rFonts w:ascii="Consolas" w:hAnsi="Consolas" w:eastAsia="Microsoft YaHei"/>
          <w:color w:val="1F4D78"/>
          <w:sz w:val="19"/>
          <w:shd w:fill="EEF2F6"/>
        </w:rPr>
        <w:t>Attention</w:t>
      </w:r>
      <w:r>
        <w:t xml:space="preserve"> 的注册全名，也可以参与量化配置匹配。</w:t>
      </w:r>
    </w:p>
    <w:p>
      <w:pPr/>
      <w:r>
        <w:t>先看模块树，是因为一个局部名称是否正确，取决于它从顶层到当前节点的完整传播路径。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2114"/>
            <wp:docPr id="3" name="Picture 3" descr="PPT 第 6 页：prefix 参数沿模块树传播" title="PPT 第 6 页：prefix 参数沿模块树传播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3：</w:t>
      </w:r>
      <w:r>
        <w:rPr>
          <w:rFonts w:ascii="Consolas" w:hAnsi="Consolas" w:eastAsia="Microsoft YaHei"/>
          <w:color w:val="1F4D78"/>
          <w:sz w:val="19"/>
          <w:shd w:fill="EEF2F6"/>
        </w:rPr>
        <w:t>prefix</w:t>
      </w:r>
      <w:r>
        <w:t xml:space="preserve"> 参数沿模块树传播。来源：PPT 第 6 页。</w:t>
      </w:r>
    </w:p>
    <w:p>
      <w:pPr/>
      <w:r>
        <w:t xml:space="preserve">从 </w:t>
      </w:r>
      <w:r>
        <w:rPr>
          <w:rFonts w:ascii="Consolas" w:hAnsi="Consolas" w:eastAsia="Microsoft YaHei"/>
          <w:color w:val="1F4D78"/>
          <w:sz w:val="19"/>
          <w:shd w:fill="EEF2F6"/>
        </w:rPr>
        <w:t>model</w:t>
      </w:r>
      <w:r>
        <w:t xml:space="preserve"> 到 </w:t>
      </w:r>
      <w:r>
        <w:rPr>
          <w:rFonts w:ascii="Consolas" w:hAnsi="Consolas" w:eastAsia="Microsoft YaHei"/>
          <w:color w:val="1F4D78"/>
          <w:sz w:val="19"/>
          <w:shd w:fill="EEF2F6"/>
        </w:rPr>
        <w:t>model.layers.0.self_attn</w:t>
      </w:r>
      <w:r>
        <w:t xml:space="preserve"> 的实线表示构造层级。通往 </w:t>
      </w:r>
      <w:r>
        <w:rPr>
          <w:rFonts w:ascii="Consolas" w:hAnsi="Consolas" w:eastAsia="Microsoft YaHei"/>
          <w:color w:val="1F4D78"/>
          <w:sz w:val="19"/>
          <w:shd w:fill="EEF2F6"/>
        </w:rPr>
        <w:t>state_dict</w:t>
      </w:r>
      <w:r>
        <w:t>、量化配置和注册表的虚线，则表示同一名称在运行时承担的不同职责。</w:t>
      </w:r>
    </w:p>
    <w:p>
      <w:pPr/>
      <w:r>
        <w:t>一个最小命名树可以写成：</w:t>
      </w:r>
    </w:p>
    <w:p>
      <w:pPr/>
      <w:r>
        <w:t>```text</w:t>
      </w:r>
    </w:p>
    <w:p>
      <w:pPr/>
      <w:r>
        <w:t>model</w:t>
      </w:r>
    </w:p>
    <w:p>
      <w:pPr/>
      <w:r>
        <w:t>└── model.layers.0</w:t>
      </w:r>
    </w:p>
    <w:p>
      <w:pPr/>
      <w:r>
        <w:t>├── model.layers.0.self_attn</w:t>
      </w:r>
    </w:p>
    <w:p>
      <w:pPr/>
      <w:r>
        <w:t>└── model.layers.0.mlp</w:t>
      </w:r>
    </w:p>
    <w:p>
      <w:pPr/>
      <w:r>
        <w:t>```</w:t>
      </w:r>
    </w:p>
    <w:p>
      <w:pPr/>
      <w:r>
        <w:t xml:space="preserve">如果第 0 层和第 1 层错误地共用 </w:t>
      </w:r>
      <w:r>
        <w:rPr>
          <w:rFonts w:ascii="Consolas" w:hAnsi="Consolas" w:eastAsia="Microsoft YaHei"/>
          <w:color w:val="1F4D78"/>
          <w:sz w:val="19"/>
          <w:shd w:fill="EEF2F6"/>
        </w:rPr>
        <w:t>model.self_attn</w:t>
      </w:r>
      <w:r>
        <w:t xml:space="preserve">，两个不同的 </w:t>
      </w:r>
      <w:r>
        <w:rPr>
          <w:rFonts w:ascii="Consolas" w:hAnsi="Consolas" w:eastAsia="Microsoft YaHei"/>
          <w:color w:val="1F4D78"/>
          <w:sz w:val="19"/>
          <w:shd w:fill="EEF2F6"/>
        </w:rPr>
        <w:t>Attention</w:t>
      </w:r>
      <w:r>
        <w:t xml:space="preserve"> 会得到相同注册名。正确方向是保留真实层级：</w:t>
      </w:r>
    </w:p>
    <w:p>
      <w:pPr/>
      <w:r>
        <w:t>```text</w:t>
      </w:r>
    </w:p>
    <w:p>
      <w:pPr/>
      <w:r>
        <w:t>model.layers.0.self_attn</w:t>
      </w:r>
    </w:p>
    <w:p>
      <w:pPr/>
      <w:r>
        <w:t>model.layers.1.self_attn</w:t>
      </w:r>
    </w:p>
    <w:p>
      <w:pPr/>
      <w:r>
        <w:t>```</w:t>
      </w:r>
    </w:p>
    <w:p>
      <w:pPr/>
      <w:r>
        <w:t>另一种问题是运行时命名树与 checkpoint 权重树分叉：</w:t>
      </w:r>
    </w:p>
    <w:p>
      <w:pPr/>
      <w:r>
        <w:t>```text</w:t>
      </w:r>
    </w:p>
    <w:p>
      <w:pPr/>
      <w:r>
        <w:t>运行时：    model.layers.0.self_attn</w:t>
      </w:r>
    </w:p>
    <w:p>
      <w:pPr/>
      <w:r>
        <w:t>checkpoint：model.decoder.layers.0.self_attn</w:t>
      </w:r>
    </w:p>
    <w:p>
      <w:pPr/>
      <w:r>
        <w:t>```</w:t>
      </w:r>
    </w:p>
    <w:p>
      <w:pPr/>
      <w:r>
        <w:t>两者可能指向相近结构，但完整名称并不一致，会给权重映射和量化配置匹配带来歧义。</w:t>
      </w:r>
    </w:p>
    <w:p>
      <w:pPr/>
      <w:r>
        <w:t xml:space="preserve">材料中的构造代码只是传播示意：其中没有完整展示部分 </w:t>
      </w:r>
      <w:r>
        <w:rPr>
          <w:rFonts w:ascii="Consolas" w:hAnsi="Consolas" w:eastAsia="Microsoft YaHei"/>
          <w:color w:val="1F4D78"/>
          <w:sz w:val="19"/>
          <w:shd w:fill="EEF2F6"/>
        </w:rPr>
        <w:t>vllm_config</w:t>
      </w:r>
      <w:r>
        <w:t xml:space="preserve"> 的传递方式，空 </w:t>
      </w:r>
      <w:r>
        <w:rPr>
          <w:rFonts w:ascii="Consolas" w:hAnsi="Consolas" w:eastAsia="Microsoft YaHei"/>
          <w:color w:val="1F4D78"/>
          <w:sz w:val="19"/>
          <w:shd w:fill="EEF2F6"/>
        </w:rPr>
        <w:t>prefix</w:t>
      </w:r>
      <w:r>
        <w:t xml:space="preserve"> 的拼接还可能产生前导句点。具体辅助函数与构造签名必须按目标版本核验。</w:t>
      </w:r>
    </w:p>
    <w:p>
      <w:pPr>
        <w:pStyle w:val="Heading2"/>
      </w:pPr>
      <w:r>
        <w:t>从二维批次转为扁平 token 流</w:t>
      </w:r>
    </w:p>
    <w:p>
      <w:pPr/>
      <w:r>
        <w:t>命名树解决“运行时怎样识别模块”，输入接口解决“调度结果怎样进入模型”。</w:t>
      </w:r>
    </w:p>
    <w:p>
      <w:pPr/>
      <w:r>
        <w:t xml:space="preserve">下面的对照图集中展示三个确定变化：增加嵌入入口、扁平化 token 与位置输入，以及移除训练路径并调用 vLLL </w:t>
      </w:r>
      <w:r>
        <w:rPr>
          <w:rFonts w:ascii="Consolas" w:hAnsi="Consolas" w:eastAsia="Microsoft YaHei"/>
          <w:color w:val="1F4D78"/>
          <w:sz w:val="19"/>
          <w:shd w:fill="EEF2F6"/>
        </w:rPr>
        <w:t>Attention</w:t>
      </w:r>
      <w:r>
        <w:t>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2114"/>
            <wp:docPr id="4" name="Picture 4" descr="PPT 第 8 页：重写 forward 并添加 embed_input_ids" title="PPT 第 8 页：重写 forward 并添加 embed_input_id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4：Hugging Face 与 vLLM 模型入口的变化。来源：PPT 第 8 页。</w:t>
      </w:r>
    </w:p>
    <w:p>
      <w:pPr/>
      <w:r>
        <w:t>左侧是 Hugging Face 常见的二维批次入口，右侧是 vLLM 面向调度结果的扁平 token 入口。</w:t>
      </w:r>
      <w:r>
        <w:rPr>
          <w:rFonts w:ascii="Consolas" w:hAnsi="Consolas" w:eastAsia="Microsoft YaHei"/>
          <w:color w:val="1F4D78"/>
          <w:sz w:val="19"/>
          <w:shd w:fill="EEF2F6"/>
        </w:rPr>
        <w:t>embed_input_ids</w:t>
      </w:r>
      <w:r>
        <w:t xml:space="preserve"> 负责把 </w:t>
      </w:r>
      <w:r>
        <w:rPr>
          <w:rFonts w:ascii="Consolas" w:hAnsi="Consolas" w:eastAsia="Microsoft YaHei"/>
          <w:color w:val="1F4D78"/>
          <w:sz w:val="19"/>
          <w:shd w:fill="EEF2F6"/>
        </w:rPr>
        <w:t>input_ids</w:t>
      </w:r>
      <w:r>
        <w:t xml:space="preserve"> 转为文本嵌入，随后由 </w:t>
      </w:r>
      <w:r>
        <w:rPr>
          <w:rFonts w:ascii="Consolas" w:hAnsi="Consolas" w:eastAsia="Microsoft YaHei"/>
          <w:color w:val="1F4D78"/>
          <w:sz w:val="19"/>
          <w:shd w:fill="EEF2F6"/>
        </w:rPr>
        <w:t>forward</w:t>
      </w:r>
      <w:r>
        <w:t xml:space="preserve"> 和 vLLM </w:t>
      </w:r>
      <w:r>
        <w:rPr>
          <w:rFonts w:ascii="Consolas" w:hAnsi="Consolas" w:eastAsia="Microsoft YaHei"/>
          <w:color w:val="1F4D78"/>
          <w:sz w:val="19"/>
          <w:shd w:fill="EEF2F6"/>
        </w:rPr>
        <w:t>Attention</w:t>
      </w:r>
      <w:r>
        <w:t xml:space="preserve"> 接续执行。</w:t>
      </w:r>
    </w:p>
    <w:p>
      <w:pPr/>
      <w:r>
        <w:t>材料明确支持的接口变化如下：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13"/>
        <w:gridCol w:w="3202"/>
        <w:gridCol w:w="3945"/>
      </w:tblGrid>
      <w:tr>
        <w:trPr>
          <w:tblHeader w:val="true"/>
        </w:trPr>
        <w:tc>
          <w:tcPr>
            <w:tcW w:type="dxa" w:w="2213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接口</w:t>
            </w:r>
          </w:p>
        </w:tc>
        <w:tc>
          <w:tcPr>
            <w:tcW w:type="dxa" w:w="3202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Hugging Face 常见形态</w:t>
            </w:r>
          </w:p>
        </w:tc>
        <w:tc>
          <w:tcPr>
            <w:tcW w:type="dxa" w:w="3945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vLLM 接入形态</w:t>
            </w:r>
          </w:p>
        </w:tc>
      </w:tr>
      <w:tr>
        <w:tc>
          <w:tcPr>
            <w:tcW w:type="dxa" w:w="22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token 输入</w:t>
            </w:r>
          </w:p>
        </w:tc>
        <w:tc>
          <w:tcPr>
            <w:tcW w:type="dxa" w:w="3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(batch, seq_len)</w:t>
            </w:r>
          </w:p>
        </w:tc>
        <w:tc>
          <w:tcPr>
            <w:tcW w:type="dxa" w:w="39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(total_tokens,)</w:t>
            </w:r>
          </w:p>
        </w:tc>
      </w:tr>
      <w:tr>
        <w:tc>
          <w:tcPr>
            <w:tcW w:type="dxa" w:w="22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位置输入</w:t>
            </w:r>
          </w:p>
        </w:tc>
        <w:tc>
          <w:tcPr>
            <w:tcW w:type="dxa" w:w="3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随批次与序列组织</w:t>
            </w:r>
          </w:p>
        </w:tc>
        <w:tc>
          <w:tcPr>
            <w:tcW w:type="dxa" w:w="39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 xml:space="preserve">与扁平 token 对应的 </w:t>
            </w: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positions</w:t>
            </w:r>
          </w:p>
        </w:tc>
      </w:tr>
      <w:tr>
        <w:tc>
          <w:tcPr>
            <w:tcW w:type="dxa" w:w="22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文本嵌入</w:t>
            </w:r>
          </w:p>
        </w:tc>
        <w:tc>
          <w:tcPr>
            <w:tcW w:type="dxa" w:w="3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可能直接调用内部嵌入层</w:t>
            </w:r>
          </w:p>
        </w:tc>
        <w:tc>
          <w:tcPr>
            <w:tcW w:type="dxa" w:w="39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 xml:space="preserve">提供 </w:t>
            </w: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embed_input_ids</w:t>
            </w:r>
          </w:p>
        </w:tc>
      </w:tr>
      <w:tr>
        <w:tc>
          <w:tcPr>
            <w:tcW w:type="dxa" w:w="22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Attention</w:t>
            </w:r>
          </w:p>
        </w:tc>
        <w:tc>
          <w:tcPr>
            <w:tcW w:type="dxa" w:w="3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模型自身实现</w:t>
            </w:r>
          </w:p>
        </w:tc>
        <w:tc>
          <w:tcPr>
            <w:tcW w:type="dxa" w:w="39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 xml:space="preserve">vLLM </w:t>
            </w: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Attention</w:t>
            </w:r>
          </w:p>
        </w:tc>
      </w:tr>
      <w:tr>
        <w:tc>
          <w:tcPr>
            <w:tcW w:type="dxa" w:w="22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训练逻辑</w:t>
            </w:r>
          </w:p>
        </w:tc>
        <w:tc>
          <w:tcPr>
            <w:tcW w:type="dxa" w:w="3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 xml:space="preserve">可能包含 </w:t>
            </w: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labels</w:t>
            </w:r>
            <w:r>
              <w:rPr>
                <w:rFonts w:ascii="Calibri" w:hAnsi="Calibri" w:eastAsia="Microsoft YaHei"/>
                <w:sz w:val="18"/>
              </w:rPr>
              <w:t>、loss</w:t>
            </w:r>
          </w:p>
        </w:tc>
        <w:tc>
          <w:tcPr>
            <w:tcW w:type="dxa" w:w="39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删除推理不需要的分支</w:t>
            </w:r>
          </w:p>
        </w:tc>
      </w:tr>
    </w:tbl>
    <w:p>
      <w:pPr>
        <w:spacing w:after="40"/>
      </w:pPr>
    </w:p>
    <w:p>
      <w:pPr/>
      <w:r>
        <w:t xml:space="preserve">扁平化不表示请求边界或长度限制消失，只表示这些信息不再由显式的 </w:t>
      </w:r>
      <w:r>
        <w:rPr>
          <w:rFonts w:ascii="Consolas" w:hAnsi="Consolas" w:eastAsia="Microsoft YaHei"/>
          <w:color w:val="1F4D78"/>
          <w:sz w:val="19"/>
          <w:shd w:fill="EEF2F6"/>
        </w:rPr>
        <w:t>batch × max_seq</w:t>
      </w:r>
      <w:r>
        <w:t xml:space="preserve"> 入口维度表达。</w:t>
      </w:r>
    </w:p>
    <w:p>
      <w:pPr/>
      <w:r>
        <w:t>材料没有展开请求边界元数据，也没有给出所有可选输入和输出的完整形状，因此不能把一维入口约定外推到模型中的每个张量。</w:t>
      </w:r>
    </w:p>
    <w:p>
      <w:pPr/>
      <w:r>
        <w:t>本节的完成标准是：名称能够沿真实模块树传播，</w:t>
      </w:r>
      <w:r>
        <w:rPr>
          <w:rFonts w:ascii="Consolas" w:hAnsi="Consolas" w:eastAsia="Microsoft YaHei"/>
          <w:color w:val="1F4D78"/>
          <w:sz w:val="19"/>
          <w:shd w:fill="EEF2F6"/>
        </w:rPr>
        <w:t>Attention</w:t>
      </w:r>
      <w:r>
        <w:t xml:space="preserve"> 注册名不冲突，权重路径可以核对，同时模型能够接收扁平 token 输入。此后再引入张量并行，新增变量才主要集中在切分与通信。</w:t>
      </w:r>
    </w:p>
    <w:p>
      <w:pPr>
        <w:pStyle w:val="Heading1"/>
      </w:pPr>
      <w:r>
        <w:t>三、从单卡扩到多卡：按数据布局选择并行层</w:t>
      </w:r>
    </w:p>
    <w:p>
      <w:pPr/>
      <w:r>
        <w:t>张量并行（Tensor Parallel，TP）用于处理模型权重无法放入单张 GPU 的场景。它沿权重的输入维、输出维或词表维切分参数，让多张 GPU 共同完成一次前向计算。</w:t>
      </w:r>
    </w:p>
    <w:p>
      <w:pPr/>
      <w:r>
        <w:t xml:space="preserve">选择并行层时，不能只看原层是不是 </w:t>
      </w:r>
      <w:r>
        <w:rPr>
          <w:rFonts w:ascii="Consolas" w:hAnsi="Consolas" w:eastAsia="Microsoft YaHei"/>
          <w:color w:val="1F4D78"/>
          <w:sz w:val="19"/>
          <w:shd w:fill="EEF2F6"/>
        </w:rPr>
        <w:t>Linear</w:t>
      </w:r>
      <w:r>
        <w:t>，还要追踪四件事：</w:t>
      </w:r>
    </w:p>
    <w:p>
      <w:pPr>
        <w:spacing w:after="80" w:line="290" w:lineRule="auto"/>
        <w:numPr>
          <w:ilvl w:val="0"/>
          <w:numId w:val="10"/>
        </w:numPr>
      </w:pPr>
      <w:r>
        <w:t>权重沿哪一维切分；</w:t>
      </w:r>
    </w:p>
    <w:p>
      <w:pPr>
        <w:spacing w:after="80" w:line="290" w:lineRule="auto"/>
        <w:numPr>
          <w:ilvl w:val="0"/>
          <w:numId w:val="10"/>
        </w:numPr>
      </w:pPr>
      <w:r>
        <w:t>当前设备产生完整输出还是局部分片；</w:t>
      </w:r>
    </w:p>
    <w:p>
      <w:pPr>
        <w:spacing w:after="80" w:line="290" w:lineRule="auto"/>
        <w:numPr>
          <w:ilvl w:val="0"/>
          <w:numId w:val="10"/>
        </w:numPr>
      </w:pPr>
      <w:r>
        <w:t>下一层能否直接消费该布局；</w:t>
      </w:r>
    </w:p>
    <w:p>
      <w:pPr>
        <w:spacing w:after="80" w:line="290" w:lineRule="auto"/>
        <w:numPr>
          <w:ilvl w:val="0"/>
          <w:numId w:val="10"/>
        </w:numPr>
      </w:pPr>
      <w:r>
        <w:t>哪个位置需要跨卡同步。</w:t>
      </w:r>
    </w:p>
    <w:p>
      <w:pPr/>
      <w:r>
        <w:t>下面的表格是本节索引。之所以同时列出参数组织、通信行为和用途，是为了避免仅根据层名机械替换实现。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35"/>
        <w:gridCol w:w="1927"/>
        <w:gridCol w:w="2517"/>
        <w:gridCol w:w="2281"/>
      </w:tblGrid>
      <w:tr>
        <w:trPr>
          <w:tblHeader w:val="true"/>
        </w:trPr>
        <w:tc>
          <w:tcPr>
            <w:tcW w:type="dxa" w:w="2635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并行层</w:t>
            </w:r>
          </w:p>
        </w:tc>
        <w:tc>
          <w:tcPr>
            <w:tcW w:type="dxa" w:w="1927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已确认的参数组织</w:t>
            </w:r>
          </w:p>
        </w:tc>
        <w:tc>
          <w:tcPr>
            <w:tcW w:type="dxa" w:w="2517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已确认的通信行为</w:t>
            </w:r>
          </w:p>
        </w:tc>
        <w:tc>
          <w:tcPr>
            <w:tcW w:type="dxa" w:w="2281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典型用途</w:t>
            </w:r>
          </w:p>
        </w:tc>
      </w:tr>
      <w:tr>
        <w:tc>
          <w:tcPr>
            <w:tcW w:type="dxa" w:w="26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ColumnParallelLinear</w:t>
            </w:r>
          </w:p>
        </w:tc>
        <w:tc>
          <w:tcPr>
            <w:tcW w:type="dxa" w:w="19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沿输出维切分</w:t>
            </w:r>
          </w:p>
        </w:tc>
        <w:tc>
          <w:tcPr>
            <w:tcW w:type="dxa" w:w="25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当前层保留按列分布的输出</w:t>
            </w:r>
          </w:p>
        </w:tc>
        <w:tc>
          <w:tcPr>
            <w:tcW w:type="dxa" w:w="22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需要沿输出维切分的投影</w:t>
            </w:r>
          </w:p>
        </w:tc>
      </w:tr>
      <w:tr>
        <w:tc>
          <w:tcPr>
            <w:tcW w:type="dxa" w:w="26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RowParallelLinear</w:t>
            </w:r>
          </w:p>
        </w:tc>
        <w:tc>
          <w:tcPr>
            <w:tcW w:type="dxa" w:w="19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沿输入维切分</w:t>
            </w:r>
          </w:p>
        </w:tc>
        <w:tc>
          <w:tcPr>
            <w:tcW w:type="dxa" w:w="25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 xml:space="preserve">计算后执行 </w:t>
            </w: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all-reduce</w:t>
            </w:r>
          </w:p>
        </w:tc>
        <w:tc>
          <w:tcPr>
            <w:tcW w:type="dxa" w:w="22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FFN 第二层、O-Proj</w:t>
            </w:r>
          </w:p>
        </w:tc>
      </w:tr>
      <w:tr>
        <w:tc>
          <w:tcPr>
            <w:tcW w:type="dxa" w:w="26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MergedColumnParallelLinear</w:t>
            </w:r>
          </w:p>
        </w:tc>
        <w:tc>
          <w:tcPr>
            <w:tcW w:type="dxa" w:w="19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合并多个列并行投影</w:t>
            </w:r>
          </w:p>
        </w:tc>
        <w:tc>
          <w:tcPr>
            <w:tcW w:type="dxa" w:w="25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当前层不立即同步</w:t>
            </w:r>
          </w:p>
        </w:tc>
        <w:tc>
          <w:tcPr>
            <w:tcW w:type="dxa" w:w="22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结构匹配的 SwiGLU gate、up</w:t>
            </w:r>
          </w:p>
        </w:tc>
      </w:tr>
      <w:tr>
        <w:tc>
          <w:tcPr>
            <w:tcW w:type="dxa" w:w="26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QKVParallelLinear</w:t>
            </w:r>
          </w:p>
        </w:tc>
        <w:tc>
          <w:tcPr>
            <w:tcW w:type="dxa" w:w="19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合并 Q、K、V 后并行切分</w:t>
            </w:r>
          </w:p>
        </w:tc>
        <w:tc>
          <w:tcPr>
            <w:tcW w:type="dxa" w:w="25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当前层不立即同步；可能涉及 KV-head 复制</w:t>
            </w:r>
          </w:p>
        </w:tc>
        <w:tc>
          <w:tcPr>
            <w:tcW w:type="dxa" w:w="22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Q/K/V 投影</w:t>
            </w:r>
          </w:p>
        </w:tc>
      </w:tr>
      <w:tr>
        <w:tc>
          <w:tcPr>
            <w:tcW w:type="dxa" w:w="26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VocabParallelEmbedding</w:t>
            </w:r>
          </w:p>
        </w:tc>
        <w:tc>
          <w:tcPr>
            <w:tcW w:type="dxa" w:w="19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沿词表维切分</w:t>
            </w:r>
          </w:p>
        </w:tc>
        <w:tc>
          <w:tcPr>
            <w:tcW w:type="dxa" w:w="25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 xml:space="preserve">执行 </w:t>
            </w: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all-reduce</w:t>
            </w:r>
          </w:p>
        </w:tc>
        <w:tc>
          <w:tcPr>
            <w:tcW w:type="dxa" w:w="22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输入 Embedding</w:t>
            </w:r>
          </w:p>
        </w:tc>
      </w:tr>
      <w:tr>
        <w:tc>
          <w:tcPr>
            <w:tcW w:type="dxa" w:w="26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ParallelLMHead</w:t>
            </w:r>
          </w:p>
        </w:tc>
        <w:tc>
          <w:tcPr>
            <w:tcW w:type="dxa" w:w="19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替代 LM Head</w:t>
            </w:r>
          </w:p>
        </w:tc>
        <w:tc>
          <w:tcPr>
            <w:tcW w:type="dxa" w:w="25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具体布局和通信未在台账中确认</w:t>
            </w:r>
          </w:p>
        </w:tc>
        <w:tc>
          <w:tcPr>
            <w:tcW w:type="dxa" w:w="22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输出投影</w:t>
            </w:r>
          </w:p>
        </w:tc>
      </w:tr>
    </w:tbl>
    <w:p>
      <w:pPr>
        <w:spacing w:after="40"/>
      </w:pPr>
    </w:p>
    <w:p>
      <w:pPr/>
      <w:r>
        <w:rPr>
          <w:i/>
        </w:rPr>
        <w:t>表 1：并行层的切分、通信与用途。基于 PPT 第 10 页重构。</w:t>
      </w:r>
    </w:p>
    <w:p>
      <w:pPr/>
      <w:r>
        <w:t>表中的“不立即同步”只表示当前层保留分布式输出，不代表后续推理路径不再通信。</w:t>
      </w:r>
      <w:r>
        <w:rPr>
          <w:rFonts w:ascii="Consolas" w:hAnsi="Consolas" w:eastAsia="Microsoft YaHei"/>
          <w:color w:val="1F4D78"/>
          <w:sz w:val="19"/>
          <w:shd w:fill="EEF2F6"/>
        </w:rPr>
        <w:t>ParallelLMHead</w:t>
      </w:r>
      <w:r>
        <w:t xml:space="preserve"> 的具体分布式布局也没有在材料中展开，不能根据其他词表并行组件类推。</w:t>
      </w:r>
    </w:p>
    <w:p>
      <w:pPr>
        <w:pStyle w:val="Heading2"/>
      </w:pPr>
      <w:r>
        <w:t>列并行与行并行为什么经常相邻</w:t>
      </w:r>
    </w:p>
    <w:p>
      <w:pPr/>
      <w:r>
        <w:t>设线性层为：</w:t>
      </w:r>
    </w:p>
    <w:p>
      <w:pPr/>
      <w:r>
        <w:rPr>
          <w:rFonts w:ascii="Consolas" w:hAnsi="Consolas" w:eastAsia="Microsoft YaHei"/>
          <w:color w:val="1F4D78"/>
          <w:sz w:val="19"/>
          <w:shd w:fill="EEF2F6"/>
        </w:rPr>
        <w:t>Y = XW</w:t>
      </w:r>
    </w:p>
    <w:p>
      <w:pPr/>
      <w:r>
        <w:t>其中，</w:t>
      </w:r>
      <w:r>
        <w:rPr>
          <w:rFonts w:ascii="Consolas" w:hAnsi="Consolas" w:eastAsia="Microsoft YaHei"/>
          <w:color w:val="1F4D78"/>
          <w:sz w:val="19"/>
          <w:shd w:fill="EEF2F6"/>
        </w:rPr>
        <w:t>W</w:t>
      </w:r>
      <w:r>
        <w:t xml:space="preserve"> 的输入维为 </w:t>
      </w:r>
      <w:r>
        <w:rPr>
          <w:rFonts w:ascii="Consolas" w:hAnsi="Consolas" w:eastAsia="Microsoft YaHei"/>
          <w:color w:val="1F4D78"/>
          <w:sz w:val="19"/>
          <w:shd w:fill="EEF2F6"/>
        </w:rPr>
        <w:t>d_in</w:t>
      </w:r>
      <w:r>
        <w:t xml:space="preserve">，输出维为 </w:t>
      </w:r>
      <w:r>
        <w:rPr>
          <w:rFonts w:ascii="Consolas" w:hAnsi="Consolas" w:eastAsia="Microsoft YaHei"/>
          <w:color w:val="1F4D78"/>
          <w:sz w:val="19"/>
          <w:shd w:fill="EEF2F6"/>
        </w:rPr>
        <w:t>d_out</w:t>
      </w:r>
      <w:r>
        <w:t>。</w:t>
      </w:r>
    </w:p>
    <w:p>
      <w:pPr/>
      <w:r>
        <w:t xml:space="preserve">如果两张卡沿输出维切分 </w:t>
      </w:r>
      <w:r>
        <w:rPr>
          <w:rFonts w:ascii="Consolas" w:hAnsi="Consolas" w:eastAsia="Microsoft YaHei"/>
          <w:color w:val="1F4D78"/>
          <w:sz w:val="19"/>
          <w:shd w:fill="EEF2F6"/>
        </w:rPr>
        <w:t>W</w:t>
      </w:r>
      <w:r>
        <w:t>，可以把权重表示为：</w:t>
      </w:r>
    </w:p>
    <w:p>
      <w:pPr/>
      <w:r>
        <w:rPr>
          <w:rFonts w:ascii="Consolas" w:hAnsi="Consolas" w:eastAsia="Microsoft YaHei"/>
          <w:color w:val="1F4D78"/>
          <w:sz w:val="19"/>
          <w:shd w:fill="EEF2F6"/>
        </w:rPr>
        <w:t>W = [W₀ W₁]</w:t>
      </w:r>
    </w:p>
    <w:p>
      <w:pPr/>
      <w:r>
        <w:t xml:space="preserve">两张卡分别得到 </w:t>
      </w:r>
      <w:r>
        <w:rPr>
          <w:rFonts w:ascii="Consolas" w:hAnsi="Consolas" w:eastAsia="Microsoft YaHei"/>
          <w:color w:val="1F4D78"/>
          <w:sz w:val="19"/>
          <w:shd w:fill="EEF2F6"/>
        </w:rPr>
        <w:t>XW₀</w:t>
      </w:r>
      <w:r>
        <w:t xml:space="preserve"> 和 </w:t>
      </w:r>
      <w:r>
        <w:rPr>
          <w:rFonts w:ascii="Consolas" w:hAnsi="Consolas" w:eastAsia="Microsoft YaHei"/>
          <w:color w:val="1F4D78"/>
          <w:sz w:val="19"/>
          <w:shd w:fill="EEF2F6"/>
        </w:rPr>
        <w:t>XW₁</w:t>
      </w:r>
      <w:r>
        <w:t>，合起来构成沿输出维分布的结果。只要下一步能够继续消费这种分片，当前层就不必立即聚合。</w:t>
      </w:r>
    </w:p>
    <w:p>
      <w:pPr/>
      <w:r>
        <w:t>如果沿输入维切分，则输入相应拆成：</w:t>
      </w:r>
    </w:p>
    <w:p>
      <w:pPr/>
      <w:r>
        <w:rPr>
          <w:rFonts w:ascii="Consolas" w:hAnsi="Consolas" w:eastAsia="Microsoft YaHei"/>
          <w:color w:val="1F4D78"/>
          <w:sz w:val="19"/>
          <w:shd w:fill="EEF2F6"/>
        </w:rPr>
        <w:t>X = [X₀ X₁]</w:t>
      </w:r>
    </w:p>
    <w:p>
      <w:pPr/>
      <w:r>
        <w:t xml:space="preserve">两张卡分别计算 </w:t>
      </w:r>
      <w:r>
        <w:rPr>
          <w:rFonts w:ascii="Consolas" w:hAnsi="Consolas" w:eastAsia="Microsoft YaHei"/>
          <w:color w:val="1F4D78"/>
          <w:sz w:val="19"/>
          <w:shd w:fill="EEF2F6"/>
        </w:rPr>
        <w:t>X₀W₀</w:t>
      </w:r>
      <w:r>
        <w:t xml:space="preserve"> 和 </w:t>
      </w:r>
      <w:r>
        <w:rPr>
          <w:rFonts w:ascii="Consolas" w:hAnsi="Consolas" w:eastAsia="Microsoft YaHei"/>
          <w:color w:val="1F4D78"/>
          <w:sz w:val="19"/>
          <w:shd w:fill="EEF2F6"/>
        </w:rPr>
        <w:t>X₁W₁</w:t>
      </w:r>
      <w:r>
        <w:t xml:space="preserve">。它们只是完整结果的部分和，因此需要通过 </w:t>
      </w:r>
      <w:r>
        <w:rPr>
          <w:rFonts w:ascii="Consolas" w:hAnsi="Consolas" w:eastAsia="Microsoft YaHei"/>
          <w:color w:val="1F4D78"/>
          <w:sz w:val="19"/>
          <w:shd w:fill="EEF2F6"/>
        </w:rPr>
        <w:t>all-reduce</w:t>
      </w:r>
      <w:r>
        <w:t xml:space="preserve"> 相加。</w:t>
      </w:r>
    </w:p>
    <w:p>
      <w:pPr/>
      <w:r>
        <w:t>由此形成一种典型数据流：</w:t>
      </w:r>
    </w:p>
    <w:p>
      <w:pPr/>
      <w:r>
        <w:t>```text</w:t>
      </w:r>
    </w:p>
    <w:p>
      <w:pPr/>
      <w:r>
        <w:t>QKV 或 FFN 上投影</w:t>
      </w:r>
    </w:p>
    <w:p>
      <w:pPr/>
      <w:r>
        <w:t>→ 沿输出维产生分片</w:t>
      </w:r>
    </w:p>
    <w:p>
      <w:pPr/>
      <w:r>
        <w:t>→ 中间计算继续消费分片</w:t>
      </w:r>
    </w:p>
    <w:p>
      <w:pPr/>
      <w:r>
        <w:t>→ O-Proj 或 FFN 下投影沿输入维接收分片</w:t>
      </w:r>
    </w:p>
    <w:p>
      <w:pPr/>
      <w:r>
        <w:t>→ all-reduce 合并部分和</w:t>
      </w:r>
    </w:p>
    <w:p>
      <w:pPr/>
      <w:r>
        <w:t>```</w:t>
      </w:r>
    </w:p>
    <w:p>
      <w:pPr/>
      <w:r>
        <w:t>通信位置由数据布局决定，不能只由模块名称推断。</w:t>
      </w:r>
    </w:p>
    <w:p>
      <w:pPr/>
      <w:r>
        <w:rPr>
          <w:rFonts w:ascii="Consolas" w:hAnsi="Consolas" w:eastAsia="Microsoft YaHei"/>
          <w:color w:val="1F4D78"/>
          <w:sz w:val="19"/>
          <w:shd w:fill="EEF2F6"/>
        </w:rPr>
        <w:t>QKVParallelLinear</w:t>
      </w:r>
      <w:r>
        <w:t xml:space="preserve"> 把 Q、K、V 投影合并后切分。材料注明它可能涉及 KV-head 复制，但没有给出触发条件、TP 规模与 KV head 数的关系，也未展示各卡的具体张量形状。</w:t>
      </w:r>
    </w:p>
    <w:p>
      <w:pPr/>
      <w:r>
        <w:rPr>
          <w:rFonts w:ascii="Consolas" w:hAnsi="Consolas" w:eastAsia="Microsoft YaHei"/>
          <w:color w:val="1F4D78"/>
          <w:sz w:val="19"/>
          <w:shd w:fill="EEF2F6"/>
        </w:rPr>
        <w:t>MergedColumnParallelLinear</w:t>
      </w:r>
      <w:r>
        <w:t xml:space="preserve"> 可以合并 SwiGLU 的 gate 和 up 投影，前提是原模型的结构及权重组织与该形式匹配。它不是所有 FFN 第一层的机械替换项。</w:t>
      </w:r>
    </w:p>
    <w:p>
      <w:pPr/>
      <w:r>
        <w:t xml:space="preserve">材料还指出，并行 Linear 支持 </w:t>
      </w:r>
      <w:r>
        <w:rPr>
          <w:rFonts w:ascii="Consolas" w:hAnsi="Consolas" w:eastAsia="Microsoft YaHei"/>
          <w:color w:val="1F4D78"/>
          <w:sz w:val="19"/>
          <w:shd w:fill="EEF2F6"/>
        </w:rPr>
        <w:t>linear_method</w:t>
      </w:r>
      <w:r>
        <w:t>，量化方案可以通过该参数注入。这个结论只覆盖并行 Linear，不能扩展到 Embedding、处理器或其他模型组件。</w:t>
      </w:r>
    </w:p>
    <w:p>
      <w:pPr/>
      <w:r>
        <w:t xml:space="preserve">一旦引入 TP，模型参数的名称与物理组织都会变化。下一步必须同步改写 </w:t>
      </w:r>
      <w:r>
        <w:rPr>
          <w:rFonts w:ascii="Consolas" w:hAnsi="Consolas" w:eastAsia="Microsoft YaHei"/>
          <w:color w:val="1F4D78"/>
          <w:sz w:val="19"/>
          <w:shd w:fill="EEF2F6"/>
        </w:rPr>
        <w:t>load_weights</w:t>
      </w:r>
      <w:r>
        <w:t>，否则 checkpoint 中分离保存的投影无法正确进入合并参数。</w:t>
      </w:r>
    </w:p>
    <w:p>
      <w:pPr>
        <w:pStyle w:val="Heading1"/>
      </w:pPr>
      <w:r>
        <w:t>四、让 checkpoint 对准合并参数</w:t>
      </w:r>
    </w:p>
    <w:p>
      <w:pPr/>
      <w:r>
        <w:rPr>
          <w:rFonts w:ascii="Consolas" w:hAnsi="Consolas" w:eastAsia="Microsoft YaHei"/>
          <w:color w:val="1F4D78"/>
          <w:sz w:val="19"/>
          <w:shd w:fill="EEF2F6"/>
        </w:rPr>
        <w:t>load_weights</w:t>
      </w:r>
      <w:r>
        <w:t xml:space="preserve"> 的核心不是打开 checkpoint，而是建立三者之间的精确映射：</w:t>
      </w:r>
    </w:p>
    <w:p>
      <w:pPr/>
      <w:r>
        <w:t>```text</w:t>
      </w:r>
    </w:p>
    <w:p>
      <w:pPr/>
      <w:r>
        <w:t>checkpoint 参数名</w:t>
      </w:r>
    </w:p>
    <w:p>
      <w:pPr/>
      <w:r>
        <w:t>↔ 当前模型参数名</w:t>
      </w:r>
    </w:p>
    <w:p>
      <w:pPr/>
      <w:r>
        <w:t>↔ 合并参数中的逻辑 shard</w:t>
      </w:r>
    </w:p>
    <w:p>
      <w:pPr/>
      <w:r>
        <w:t>```</w:t>
      </w:r>
    </w:p>
    <w:p>
      <w:pPr/>
      <w:r>
        <w:t>这里的 shard 是目标参数内部的逻辑分片，不等同于 checkpoint 的磁盘文件分片。</w:t>
      </w:r>
    </w:p>
    <w:p>
      <w:pPr/>
      <w:r>
        <w:t xml:space="preserve">先看下面的三段图，是为了把名称匹配和张量写入区分开：前两段由 </w:t>
      </w:r>
      <w:r>
        <w:rPr>
          <w:rFonts w:ascii="Consolas" w:hAnsi="Consolas" w:eastAsia="Microsoft YaHei"/>
          <w:color w:val="1F4D78"/>
          <w:sz w:val="19"/>
          <w:shd w:fill="EEF2F6"/>
        </w:rPr>
        <w:t>load_weights</w:t>
      </w:r>
      <w:r>
        <w:t xml:space="preserve"> 负责选择，最后一段由目标参数自己的加载器执行。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2114"/>
            <wp:docPr id="5" name="Picture 5" descr="PPT 第 11 页：load_weights 与 stacked mapping" title="PPT 第 11 页：load_weights 与 stacked mapp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5：</w:t>
      </w:r>
      <w:r>
        <w:rPr>
          <w:rFonts w:ascii="Consolas" w:hAnsi="Consolas" w:eastAsia="Microsoft YaHei"/>
          <w:color w:val="1F4D78"/>
          <w:sz w:val="19"/>
          <w:shd w:fill="EEF2F6"/>
        </w:rPr>
        <w:t>load_weights</w:t>
      </w:r>
      <w:r>
        <w:t xml:space="preserve"> 与 stacked mapping。来源：PPT 第 11 页。</w:t>
      </w:r>
    </w:p>
    <w:p>
      <w:pPr/>
      <w:r>
        <w:t xml:space="preserve">左侧三个节点是 checkpoint 中分离保存的 Q、K、V 权重；中间规则同时选择目标参数名和逻辑 shard；右侧的 </w:t>
      </w:r>
      <w:r>
        <w:rPr>
          <w:rFonts w:ascii="Consolas" w:hAnsi="Consolas" w:eastAsia="Microsoft YaHei"/>
          <w:color w:val="1F4D78"/>
          <w:sz w:val="19"/>
          <w:shd w:fill="EEF2F6"/>
        </w:rPr>
        <w:t>weight_loader</w:t>
      </w:r>
      <w:r>
        <w:t xml:space="preserve"> 才负责把张量写入正确位置。</w:t>
      </w:r>
    </w:p>
    <w:p>
      <w:pPr/>
      <w:r>
        <w:t>例如，源权重名是：</w:t>
      </w:r>
    </w:p>
    <w:p>
      <w:pPr/>
      <w:r>
        <w:t>```text</w:t>
      </w:r>
    </w:p>
    <w:p>
      <w:pPr/>
      <w:r>
        <w:t>model.layers.0.self_attn.k_proj.weight</w:t>
      </w:r>
    </w:p>
    <w:p>
      <w:pPr/>
      <w:r>
        <w:t>```</w:t>
      </w:r>
    </w:p>
    <w:p>
      <w:pPr/>
      <w:r>
        <w:t>映射规则将目标名称转换为：</w:t>
      </w:r>
    </w:p>
    <w:p>
      <w:pPr/>
      <w:r>
        <w:t>```text</w:t>
      </w:r>
    </w:p>
    <w:p>
      <w:pPr/>
      <w:r>
        <w:t>model.layers.0.self_attn.qkv_proj.weight</w:t>
      </w:r>
    </w:p>
    <w:p>
      <w:pPr/>
      <w:r>
        <w:t>```</w:t>
      </w:r>
    </w:p>
    <w:p>
      <w:pPr/>
      <w:r>
        <w:t xml:space="preserve">随后携带 </w:t>
      </w:r>
      <w:r>
        <w:rPr>
          <w:rFonts w:ascii="Consolas" w:hAnsi="Consolas" w:eastAsia="Microsoft YaHei"/>
          <w:color w:val="1F4D78"/>
          <w:sz w:val="19"/>
          <w:shd w:fill="EEF2F6"/>
        </w:rPr>
        <w:t>shard_id="k"</w:t>
      </w:r>
      <w:r>
        <w:t xml:space="preserve"> 调用目标参数的 </w:t>
      </w:r>
      <w:r>
        <w:rPr>
          <w:rFonts w:ascii="Consolas" w:hAnsi="Consolas" w:eastAsia="Microsoft YaHei"/>
          <w:color w:val="1F4D78"/>
          <w:sz w:val="19"/>
          <w:shd w:fill="EEF2F6"/>
        </w:rPr>
        <w:t>weight_loader</w:t>
      </w:r>
      <w:r>
        <w:t>。</w:t>
      </w:r>
    </w:p>
    <w:p>
      <w:pPr/>
      <w:r>
        <w:t>写入轴、偏移、目标张量布局以及多卡存储方式没有在材料中展开。这些行为封装在目标加载器中，不能由名称自行推断。</w:t>
      </w:r>
    </w:p>
    <w:p>
      <w:pPr>
        <w:pStyle w:val="Heading2"/>
      </w:pPr>
      <w:r>
        <w:t>合并参数与普通参数的分支</w:t>
      </w:r>
    </w:p>
    <w:p>
      <w:pPr/>
      <w:r>
        <w:t xml:space="preserve">示例使用 Python </w:t>
      </w:r>
      <w:r>
        <w:rPr>
          <w:rFonts w:ascii="Consolas" w:hAnsi="Consolas" w:eastAsia="Microsoft YaHei"/>
          <w:color w:val="1F4D78"/>
          <w:sz w:val="19"/>
          <w:shd w:fill="EEF2F6"/>
        </w:rPr>
        <w:t>for-else</w:t>
      </w:r>
      <w:r>
        <w:t xml:space="preserve"> 区分两条路径。遍历单个 checkpoint 权重时，状态变化可以压缩为：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59"/>
        <w:gridCol w:w="3641"/>
        <w:gridCol w:w="2860"/>
      </w:tblGrid>
      <w:tr>
        <w:trPr>
          <w:tblHeader w:val="true"/>
        </w:trPr>
        <w:tc>
          <w:tcPr>
            <w:tcW w:type="dxa" w:w="2859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判断结果</w:t>
            </w:r>
          </w:p>
        </w:tc>
        <w:tc>
          <w:tcPr>
            <w:tcW w:type="dxa" w:w="3641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加载动作</w:t>
            </w:r>
          </w:p>
        </w:tc>
        <w:tc>
          <w:tcPr>
            <w:tcW w:type="dxa" w:w="286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后续控制流</w:t>
            </w:r>
          </w:p>
        </w:tc>
      </w:tr>
      <w:tr>
        <w:tc>
          <w:tcPr>
            <w:tcW w:type="dxa" w:w="28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命中 stacked mapping</w:t>
            </w:r>
          </w:p>
        </w:tc>
        <w:tc>
          <w:tcPr>
            <w:tcW w:type="dxa" w:w="36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 xml:space="preserve">转换目标名称，携带 </w:t>
            </w: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shard_id</w:t>
            </w:r>
            <w:r>
              <w:rPr>
                <w:rFonts w:ascii="Calibri" w:hAnsi="Calibri" w:eastAsia="Microsoft YaHei"/>
                <w:sz w:val="18"/>
              </w:rPr>
              <w:t xml:space="preserve"> 调用目标加载器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break</w:t>
            </w:r>
            <w:r>
              <w:rPr>
                <w:rFonts w:ascii="Calibri" w:hAnsi="Calibri" w:eastAsia="Microsoft YaHei"/>
                <w:sz w:val="18"/>
              </w:rPr>
              <w:t>，不进入普通路径</w:t>
            </w:r>
          </w:p>
        </w:tc>
      </w:tr>
      <w:tr>
        <w:tc>
          <w:tcPr>
            <w:tcW w:type="dxa" w:w="28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全部 mapping 均未命中</w:t>
            </w:r>
          </w:p>
        </w:tc>
        <w:tc>
          <w:tcPr>
            <w:tcW w:type="dxa" w:w="36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查找同名普通参数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 xml:space="preserve">进入 </w:t>
            </w: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for-else</w:t>
            </w:r>
            <w:r>
              <w:rPr>
                <w:rFonts w:ascii="Calibri" w:hAnsi="Calibri" w:eastAsia="Microsoft YaHei"/>
                <w:sz w:val="18"/>
              </w:rPr>
              <w:t xml:space="preserve"> 的 </w:t>
            </w: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else</w:t>
            </w:r>
          </w:p>
        </w:tc>
      </w:tr>
      <w:tr>
        <w:tc>
          <w:tcPr>
            <w:tcW w:type="dxa" w:w="28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普通参数有专用加载器</w:t>
            </w:r>
          </w:p>
        </w:tc>
        <w:tc>
          <w:tcPr>
            <w:tcW w:type="dxa" w:w="36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 xml:space="preserve">调用参数自己的 </w:t>
            </w: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weight_loader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当前权重完成</w:t>
            </w:r>
          </w:p>
        </w:tc>
      </w:tr>
      <w:tr>
        <w:tc>
          <w:tcPr>
            <w:tcW w:type="dxa" w:w="28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普通参数无专用加载器</w:t>
            </w:r>
          </w:p>
        </w:tc>
        <w:tc>
          <w:tcPr>
            <w:tcW w:type="dxa" w:w="36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 xml:space="preserve">调用 </w:t>
            </w: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default_weight_loader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当前权重完成</w:t>
            </w:r>
          </w:p>
        </w:tc>
      </w:tr>
    </w:tbl>
    <w:p>
      <w:pPr>
        <w:spacing w:after="40"/>
      </w:pPr>
    </w:p>
    <w:p>
      <w:pPr/>
      <w:r>
        <w:rPr>
          <w:rFonts w:ascii="Consolas" w:hAnsi="Consolas" w:eastAsia="Microsoft YaHei"/>
          <w:color w:val="1F4D78"/>
          <w:sz w:val="19"/>
          <w:shd w:fill="EEF2F6"/>
        </w:rPr>
        <w:t>break</w:t>
      </w:r>
      <w:r>
        <w:t xml:space="preserve"> 防止一份权重在合并路径完成后又进入普通路径。进入 </w:t>
      </w:r>
      <w:r>
        <w:rPr>
          <w:rFonts w:ascii="Consolas" w:hAnsi="Consolas" w:eastAsia="Microsoft YaHei"/>
          <w:color w:val="1F4D78"/>
          <w:sz w:val="19"/>
          <w:shd w:fill="EEF2F6"/>
        </w:rPr>
        <w:t>else</w:t>
      </w:r>
      <w:r>
        <w:t xml:space="preserve"> 也不表示失败，只表示当前权重不属于已列出的合并投影。</w:t>
      </w:r>
    </w:p>
    <w:p>
      <w:pPr/>
      <w:r>
        <w:t xml:space="preserve">若模型使用 </w:t>
      </w:r>
      <w:r>
        <w:rPr>
          <w:rFonts w:ascii="Consolas" w:hAnsi="Consolas" w:eastAsia="Microsoft YaHei"/>
          <w:color w:val="1F4D78"/>
          <w:sz w:val="19"/>
          <w:shd w:fill="EEF2F6"/>
        </w:rPr>
        <w:t>MergedColumnParallelLinear</w:t>
      </w:r>
      <w:r>
        <w:t>，</w:t>
      </w:r>
      <w:r>
        <w:rPr>
          <w:rFonts w:ascii="Consolas" w:hAnsi="Consolas" w:eastAsia="Microsoft YaHei"/>
          <w:color w:val="1F4D78"/>
          <w:sz w:val="19"/>
          <w:shd w:fill="EEF2F6"/>
        </w:rPr>
        <w:t>gate_proj</w:t>
      </w:r>
      <w:r>
        <w:t xml:space="preserve"> 和 </w:t>
      </w:r>
      <w:r>
        <w:rPr>
          <w:rFonts w:ascii="Consolas" w:hAnsi="Consolas" w:eastAsia="Microsoft YaHei"/>
          <w:color w:val="1F4D78"/>
          <w:sz w:val="19"/>
          <w:shd w:fill="EEF2F6"/>
        </w:rPr>
        <w:t>up_proj</w:t>
      </w:r>
      <w:r>
        <w:t xml:space="preserve"> 也需要写入 </w:t>
      </w:r>
      <w:r>
        <w:rPr>
          <w:rFonts w:ascii="Consolas" w:hAnsi="Consolas" w:eastAsia="Microsoft YaHei"/>
          <w:color w:val="1F4D78"/>
          <w:sz w:val="19"/>
          <w:shd w:fill="EEF2F6"/>
        </w:rPr>
        <w:t>gate_up_proj</w:t>
      </w:r>
      <w:r>
        <w:t>。材料能够确认合并关系，但演示页没有给出可读的 shard 标识，因此具体值属于</w:t>
      </w:r>
      <w:r>
        <w:rPr>
          <w:b/>
        </w:rPr>
        <w:t>待核验项</w:t>
      </w:r>
      <w:r>
        <w:t>，不能照搬 Q、K、V 的字符串约定。</w:t>
      </w:r>
    </w:p>
    <w:p>
      <w:pPr>
        <w:pStyle w:val="Heading2"/>
      </w:pPr>
      <w:r>
        <w:t>加载没有报错，不等于加载完整</w:t>
      </w:r>
    </w:p>
    <w:p>
      <w:pPr/>
      <w:r>
        <w:t>权重验证至少分为三层：</w:t>
      </w:r>
    </w:p>
    <w:p>
      <w:pPr>
        <w:spacing w:after="80" w:line="290" w:lineRule="auto"/>
        <w:numPr>
          <w:ilvl w:val="0"/>
          <w:numId w:val="13"/>
        </w:numPr>
      </w:pPr>
      <w:r>
        <w:t>源名称能够映射到当前模型参数；</w:t>
      </w:r>
    </w:p>
    <w:p>
      <w:pPr>
        <w:spacing w:after="80" w:line="290" w:lineRule="auto"/>
        <w:numPr>
          <w:ilvl w:val="0"/>
          <w:numId w:val="13"/>
        </w:numPr>
      </w:pPr>
      <w:r>
        <w:t>目标加载器接受张量并完成一次写入；</w:t>
      </w:r>
    </w:p>
    <w:p>
      <w:pPr>
        <w:spacing w:after="80" w:line="290" w:lineRule="auto"/>
        <w:numPr>
          <w:ilvl w:val="0"/>
          <w:numId w:val="13"/>
        </w:numPr>
      </w:pPr>
      <w:r>
        <w:t>所有必需参数及内部 shard 均被覆盖，checkpoint 也没有意外遗留。</w:t>
      </w:r>
    </w:p>
    <w:p>
      <w:pPr/>
      <w:r>
        <w:t xml:space="preserve">如果 QKV 映射遗漏 </w:t>
      </w:r>
      <w:r>
        <w:rPr>
          <w:rFonts w:ascii="Consolas" w:hAnsi="Consolas" w:eastAsia="Microsoft YaHei"/>
          <w:color w:val="1F4D78"/>
          <w:sz w:val="19"/>
          <w:shd w:fill="EEF2F6"/>
        </w:rPr>
        <w:t>v_proj</w:t>
      </w:r>
      <w:r>
        <w:t>，Q 和 K 仍可能成功写入。只检查单次调用是否报错，无法证明整体覆盖完整。</w:t>
      </w:r>
    </w:p>
    <w:p>
      <w:pPr/>
      <w:r>
        <w:rPr>
          <w:b/>
        </w:rPr>
        <w:t>维护者经验</w:t>
      </w:r>
      <w:r>
        <w:t xml:space="preserve">建议追踪已加载、未加载和未消费的权重，并优先在结构相近的已有实现上修改 </w:t>
      </w:r>
      <w:r>
        <w:rPr>
          <w:rFonts w:ascii="Consolas" w:hAnsi="Consolas" w:eastAsia="Microsoft YaHei"/>
          <w:color w:val="1F4D78"/>
          <w:sz w:val="19"/>
          <w:shd w:fill="EEF2F6"/>
        </w:rPr>
        <w:t>load_weights</w:t>
      </w:r>
      <w:r>
        <w:t>。材料没有提供稳定的检查器 API 或返回值，MoE 的加载算法也不足以在此展开。</w:t>
      </w:r>
    </w:p>
    <w:p>
      <w:pPr/>
      <w:r>
        <w:t>当结构、接口和权重路径都已对齐，模型仍需要进入框架的发现机制。接下来要解决注册与测试，但必须明确：被框架找到和行为正确是两个不同结论。</w:t>
      </w:r>
    </w:p>
    <w:p>
      <w:pPr>
        <w:pStyle w:val="Heading1"/>
      </w:pPr>
      <w:r>
        <w:t>五、让框架找到模型，并证明行为正确</w:t>
      </w:r>
    </w:p>
    <w:p>
      <w:pPr/>
      <w:r>
        <w:t>这一阶段包含两个问题：</w:t>
      </w:r>
    </w:p>
    <w:p>
      <w:pPr>
        <w:spacing w:after="80" w:line="290" w:lineRule="auto"/>
        <w:numPr>
          <w:ilvl w:val="0"/>
          <w:numId w:val="10"/>
        </w:numPr>
      </w:pPr>
      <w:r>
        <w:t>vLLM 如何从 checkpoint 架构名定位模型类；</w:t>
      </w:r>
    </w:p>
    <w:p>
      <w:pPr>
        <w:spacing w:after="80" w:line="290" w:lineRule="auto"/>
        <w:numPr>
          <w:ilvl w:val="0"/>
          <w:numId w:val="10"/>
        </w:numPr>
      </w:pPr>
      <w:r>
        <w:t>模型被找到以后，怎样证明真实行为正确。</w:t>
      </w:r>
    </w:p>
    <w:p>
      <w:pPr>
        <w:pStyle w:val="Heading2"/>
      </w:pPr>
      <w:r>
        <w:t>内置注册与插件注册</w:t>
      </w:r>
    </w:p>
    <w:p>
      <w:pPr/>
      <w:r>
        <w:t>先看双路径图，是为了把架构名、模块、类对象和懒加载字符串放在同一坐标中，从而看清两种注册方式各自负责什么。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2114"/>
            <wp:docPr id="6" name="Picture 6" descr="PPT 第 13 页：内置注册与插件注册" title="PPT 第 13 页：内置注册与插件注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6：内置注册与插件注册。来源：PPT 第 13 页。</w:t>
      </w:r>
    </w:p>
    <w:p>
      <w:pPr/>
      <w:r>
        <w:t xml:space="preserve">内置路径从 checkpoint 架构名进入 </w:t>
      </w:r>
      <w:r>
        <w:rPr>
          <w:rFonts w:ascii="Consolas" w:hAnsi="Consolas" w:eastAsia="Microsoft YaHei"/>
          <w:color w:val="1F4D78"/>
          <w:sz w:val="19"/>
          <w:shd w:fill="EEF2F6"/>
        </w:rPr>
        <w:t>_VLLM_MODELS</w:t>
      </w:r>
      <w:r>
        <w:t xml:space="preserve">，再解析模块文件和模型类。实现位于 </w:t>
      </w:r>
      <w:r>
        <w:rPr>
          <w:rFonts w:ascii="Consolas" w:hAnsi="Consolas" w:eastAsia="Microsoft YaHei"/>
          <w:color w:val="1F4D78"/>
          <w:sz w:val="19"/>
          <w:shd w:fill="EEF2F6"/>
        </w:rPr>
        <w:t>vllm/model_executor/models/</w:t>
      </w:r>
      <w:r>
        <w:t>，注册条目按字母序维护，同时还要更新支持模型文档。</w:t>
      </w:r>
    </w:p>
    <w:p>
      <w:pPr/>
      <w:r>
        <w:t xml:space="preserve">插件路径调用 </w:t>
      </w:r>
      <w:r>
        <w:rPr>
          <w:rFonts w:ascii="Consolas" w:hAnsi="Consolas" w:eastAsia="Microsoft YaHei"/>
          <w:color w:val="1F4D78"/>
          <w:sz w:val="19"/>
          <w:shd w:fill="EEF2F6"/>
        </w:rPr>
        <w:t>ModelRegistry.register_model</w:t>
      </w:r>
      <w:r>
        <w:t xml:space="preserve">，无需修改 vLLM 核心代码。它可以直接传入模型类，也可以传入 </w:t>
      </w:r>
      <w:r>
        <w:rPr>
          <w:rFonts w:ascii="Consolas" w:hAnsi="Consolas" w:eastAsia="Microsoft YaHei"/>
          <w:color w:val="1F4D78"/>
          <w:sz w:val="19"/>
          <w:shd w:fill="EEF2F6"/>
        </w:rPr>
        <w:t>"模块:类名"</w:t>
      </w:r>
      <w:r>
        <w:t xml:space="preserve"> 字符串。</w:t>
      </w:r>
    </w:p>
    <w:p>
      <w:pPr/>
      <w:r>
        <w:t>如果导入模型类会触发 CUDA 初始化，字符串形式可以延迟加载，从而规避 fork 子进程中的 CUDA 重初始化冲突。该形式面向特定导入风险，不是所有插件注册的强制要求。</w:t>
      </w:r>
    </w:p>
    <w:p>
      <w:pPr/>
      <w:r>
        <w:t>无论采用哪条路径，注册都只证明架构名能够解析，不能证明配置、权重映射或计算行为正确。</w:t>
      </w:r>
    </w:p>
    <w:p>
      <w:pPr>
        <w:pStyle w:val="Heading2"/>
      </w:pPr>
      <w:r>
        <w:t>测试证据必须分层</w:t>
      </w:r>
    </w:p>
    <w:p>
      <w:pPr/>
      <w:r>
        <w:t>下面的矩阵区分了三种测试能够提供的证据。之所以分层，是因为初始化成功、真实数值一致和专项路径正确不能相互替代。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2"/>
        <w:gridCol w:w="2996"/>
        <w:gridCol w:w="2486"/>
        <w:gridCol w:w="1976"/>
      </w:tblGrid>
      <w:tr>
        <w:trPr>
          <w:tblHeader w:val="true"/>
        </w:trPr>
        <w:tc>
          <w:tcPr>
            <w:tcW w:type="dxa" w:w="1902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分级</w:t>
            </w:r>
          </w:p>
        </w:tc>
        <w:tc>
          <w:tcPr>
            <w:tcW w:type="dxa" w:w="2996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验证对象</w:t>
            </w:r>
          </w:p>
        </w:tc>
        <w:tc>
          <w:tcPr>
            <w:tcW w:type="dxa" w:w="2486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可以证明</w:t>
            </w:r>
          </w:p>
        </w:tc>
        <w:tc>
          <w:tcPr>
            <w:tcW w:type="dxa" w:w="1976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不能证明</w:t>
            </w:r>
          </w:p>
        </w:tc>
      </w:tr>
      <w:tr>
        <w:tc>
          <w:tcPr>
            <w:tcW w:type="dxa" w:w="19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REQUIRED</w:t>
            </w:r>
          </w:p>
        </w:tc>
        <w:tc>
          <w:tcPr>
            <w:tcW w:type="dxa" w:w="29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registry 示例与 dummy weights</w:t>
            </w:r>
          </w:p>
        </w:tc>
        <w:tc>
          <w:tcPr>
            <w:tcW w:type="dxa" w:w="24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架构可解析，初始化或基础加载路径可执行</w:t>
            </w:r>
          </w:p>
        </w:tc>
        <w:tc>
          <w:tcPr>
            <w:tcW w:type="dxa" w:w="1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真实权重及输出正确</w:t>
            </w:r>
          </w:p>
        </w:tc>
      </w:tr>
      <w:tr>
        <w:tc>
          <w:tcPr>
            <w:tcW w:type="dxa" w:w="19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RECOMMENDED</w:t>
            </w:r>
          </w:p>
        </w:tc>
        <w:tc>
          <w:tcPr>
            <w:tcW w:type="dxa" w:w="29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真实生成、logprobs 或 Pooling 对照</w:t>
            </w:r>
          </w:p>
        </w:tc>
        <w:tc>
          <w:tcPr>
            <w:tcW w:type="dxa" w:w="24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被覆盖的行为与参考实现一致或接近</w:t>
            </w:r>
          </w:p>
        </w:tc>
        <w:tc>
          <w:tcPr>
            <w:tcW w:type="dxa" w:w="1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未覆盖输入与边界情形正确</w:t>
            </w:r>
          </w:p>
        </w:tc>
      </w:tr>
      <w:tr>
        <w:tc>
          <w:tcPr>
            <w:tcW w:type="dxa" w:w="19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OPTIONAL</w:t>
            </w:r>
          </w:p>
        </w:tc>
        <w:tc>
          <w:tcPr>
            <w:tcW w:type="dxa" w:w="29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多模态通用处理与模型专项行为</w:t>
            </w:r>
          </w:p>
        </w:tc>
        <w:tc>
          <w:tcPr>
            <w:tcW w:type="dxa" w:w="24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相应处理器或特定路径得到覆盖</w:t>
            </w:r>
          </w:p>
        </w:tc>
        <w:tc>
          <w:tcPr>
            <w:tcW w:type="dxa" w:w="1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所有多模态组合正确</w:t>
            </w:r>
          </w:p>
        </w:tc>
      </w:tr>
    </w:tbl>
    <w:p>
      <w:pPr>
        <w:spacing w:after="40"/>
      </w:pPr>
    </w:p>
    <w:p>
      <w:pPr/>
      <w:r>
        <w:rPr>
          <w:i/>
        </w:rPr>
        <w:t>表 2：模型注册与正确性测试的证据层级。基于 PPT 第 18 页重构。</w:t>
      </w:r>
    </w:p>
    <w:p>
      <w:pPr/>
      <w:r>
        <w:t xml:space="preserve">主仓最低测试是在 </w:t>
      </w:r>
      <w:r>
        <w:rPr>
          <w:rFonts w:ascii="Consolas" w:hAnsi="Consolas" w:eastAsia="Microsoft YaHei"/>
          <w:color w:val="1F4D78"/>
          <w:sz w:val="19"/>
          <w:shd w:fill="EEF2F6"/>
        </w:rPr>
        <w:t>tests/models/registry.py</w:t>
      </w:r>
      <w:r>
        <w:t xml:space="preserve"> 中加入 Hugging Face 仓库示例，并由 CI 使用 dummy weights 验证初始化或加载路径。</w:t>
      </w:r>
    </w:p>
    <w:p>
      <w:pPr/>
      <w:r>
        <w:t>dummy weights 不具有真实模型的数值语义，因此完全可能出现：</w:t>
      </w:r>
    </w:p>
    <w:p>
      <w:pPr/>
      <w:r>
        <w:t>```text</w:t>
      </w:r>
    </w:p>
    <w:p>
      <w:pPr/>
      <w:r>
        <w:t>架构名解析成功</w:t>
      </w:r>
    </w:p>
    <w:p>
      <w:pPr/>
      <w:r>
        <w:t>→ dummy weights 初始化成功</w:t>
      </w:r>
    </w:p>
    <w:p>
      <w:pPr/>
      <w:r>
        <w:t>→ 真实权重写入没有报错</w:t>
      </w:r>
    </w:p>
    <w:p>
      <w:pPr/>
      <w:r>
        <w:t>→ 输出与参考实现不一致</w:t>
      </w:r>
    </w:p>
    <w:p>
      <w:pPr/>
      <w:r>
        <w:t>```</w:t>
      </w:r>
    </w:p>
    <w:p>
      <w:pPr/>
      <w:r>
        <w:t>真实行为需要按模型类型验证：</w:t>
      </w:r>
    </w:p>
    <w:p>
      <w:pPr>
        <w:spacing w:after="80" w:line="290" w:lineRule="auto"/>
        <w:numPr>
          <w:ilvl w:val="0"/>
          <w:numId w:val="10"/>
        </w:numPr>
      </w:pPr>
      <w:r>
        <w:t xml:space="preserve">生成模型可用 </w:t>
      </w:r>
      <w:r>
        <w:rPr>
          <w:rFonts w:ascii="Consolas" w:hAnsi="Consolas" w:eastAsia="Microsoft YaHei"/>
          <w:color w:val="1F4D78"/>
          <w:sz w:val="19"/>
          <w:shd w:fill="EEF2F6"/>
        </w:rPr>
        <w:t>check_outputs_equal</w:t>
      </w:r>
      <w:r>
        <w:t xml:space="preserve"> 比较生成文本；</w:t>
      </w:r>
    </w:p>
    <w:p>
      <w:pPr>
        <w:spacing w:after="80" w:line="290" w:lineRule="auto"/>
        <w:numPr>
          <w:ilvl w:val="0"/>
          <w:numId w:val="10"/>
        </w:numPr>
      </w:pPr>
      <w:r>
        <w:t xml:space="preserve">概率行为可用 </w:t>
      </w:r>
      <w:r>
        <w:rPr>
          <w:rFonts w:ascii="Consolas" w:hAnsi="Consolas" w:eastAsia="Microsoft YaHei"/>
          <w:color w:val="1F4D78"/>
          <w:sz w:val="19"/>
          <w:shd w:fill="EEF2F6"/>
        </w:rPr>
        <w:t>check_logprobs_close</w:t>
      </w:r>
      <w:r>
        <w:t xml:space="preserve"> 检查 Top-K logprobs；</w:t>
      </w:r>
    </w:p>
    <w:p>
      <w:pPr>
        <w:spacing w:after="80" w:line="290" w:lineRule="auto"/>
        <w:numPr>
          <w:ilvl w:val="0"/>
          <w:numId w:val="10"/>
        </w:numPr>
      </w:pPr>
      <w:r>
        <w:t>Pooling 模型可使用余弦相似度比较输出；</w:t>
      </w:r>
    </w:p>
    <w:p>
      <w:pPr>
        <w:spacing w:after="80" w:line="290" w:lineRule="auto"/>
        <w:numPr>
          <w:ilvl w:val="0"/>
          <w:numId w:val="10"/>
        </w:numPr>
      </w:pPr>
      <w:r>
        <w:t xml:space="preserve">多模态通用处理可覆盖 </w:t>
      </w:r>
      <w:r>
        <w:rPr>
          <w:rFonts w:ascii="Consolas" w:hAnsi="Consolas" w:eastAsia="Microsoft YaHei"/>
          <w:color w:val="1F4D78"/>
          <w:sz w:val="19"/>
          <w:shd w:fill="EEF2F6"/>
        </w:rPr>
        <w:t>tests/models/multimodal/processing/test_common.py</w:t>
      </w:r>
      <w:r>
        <w:t>；</w:t>
      </w:r>
    </w:p>
    <w:p>
      <w:pPr>
        <w:spacing w:after="80" w:line="290" w:lineRule="auto"/>
        <w:numPr>
          <w:ilvl w:val="0"/>
          <w:numId w:val="10"/>
        </w:numPr>
      </w:pPr>
      <w:r>
        <w:t>模型专属行为应增加相应专项测试。</w:t>
      </w:r>
    </w:p>
    <w:p>
      <w:pPr/>
      <w:r>
        <w:t>材料没有给出 K、logprobs 容差或余弦相似度阈值。</w:t>
      </w:r>
    </w:p>
    <w:p>
      <w:pPr/>
      <w:r>
        <w:rPr>
          <w:b/>
        </w:rPr>
        <w:t>维护者经验</w:t>
      </w:r>
      <w:r>
        <w:t>还建议覆盖端到端运行，并在 PR 中说明运行方法与结果。局部单元测试能够验证组件，却不能单独证明模型已经通过真实服务路径运行。</w:t>
      </w:r>
    </w:p>
    <w:p>
      <w:pPr/>
      <w:r>
        <w:t>文本模型至此形成基本闭环。多模态模型则新增了另一条必须闭合的链路：模型计算、占位符展开和资源规划必须使用相同的输入上界。</w:t>
      </w:r>
    </w:p>
    <w:p>
      <w:pPr>
        <w:pStyle w:val="Heading1"/>
      </w:pPr>
      <w:r>
        <w:t>六、多模态接入：让嵌入与资源规划使用同一边界</w:t>
      </w:r>
    </w:p>
    <w:p>
      <w:pPr/>
      <w:r>
        <w:t>多模态接入不是简单增加一座视觉塔。模型层、处理器层和资源规划必须对同一件事达成一致：一个非文本输入最终会产生多少内容单元和嵌入。</w:t>
      </w:r>
    </w:p>
    <w:p>
      <w:pPr>
        <w:pStyle w:val="Heading2"/>
      </w:pPr>
      <w:r>
        <w:t>模型层：从图像输入得到多模态嵌入</w:t>
      </w:r>
    </w:p>
    <w:p>
      <w:pPr/>
      <w:r>
        <w:t xml:space="preserve">多模态模型首先实现 </w:t>
      </w:r>
      <w:r>
        <w:rPr>
          <w:rFonts w:ascii="Consolas" w:hAnsi="Consolas" w:eastAsia="Microsoft YaHei"/>
          <w:color w:val="1F4D78"/>
          <w:sz w:val="19"/>
          <w:shd w:fill="EEF2F6"/>
        </w:rPr>
        <w:t>SupportsMultiModal</w:t>
      </w:r>
      <w:r>
        <w:t xml:space="preserve">，即声明模型支持多模态输入的接口。原 Hugging Face </w:t>
      </w:r>
      <w:r>
        <w:rPr>
          <w:rFonts w:ascii="Consolas" w:hAnsi="Consolas" w:eastAsia="Microsoft YaHei"/>
          <w:color w:val="1F4D78"/>
          <w:sz w:val="19"/>
          <w:shd w:fill="EEF2F6"/>
        </w:rPr>
        <w:t>forward</w:t>
      </w:r>
      <w:r>
        <w:t xml:space="preserve"> 中的视觉编码与投影逻辑，应迁入 </w:t>
      </w:r>
      <w:r>
        <w:rPr>
          <w:rFonts w:ascii="Consolas" w:hAnsi="Consolas" w:eastAsia="Microsoft YaHei"/>
          <w:color w:val="1F4D78"/>
          <w:sz w:val="19"/>
          <w:shd w:fill="EEF2F6"/>
        </w:rPr>
        <w:t>embed_multimodal</w:t>
      </w:r>
      <w:r>
        <w:t>。</w:t>
      </w:r>
    </w:p>
    <w:p>
      <w:pPr/>
      <w:r>
        <w:t>先看模型层数据流，是为了界定视觉计算、文本嵌入与语言模型之间的边界，避免把处理器职责混进模型前向过程。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2114"/>
            <wp:docPr id="7" name="Picture 7" descr="PPT 第 15 页：embed_multimodal 与组件标记" title="PPT 第 15 页：embed_multimodal 与组件标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7：</w:t>
      </w:r>
      <w:r>
        <w:rPr>
          <w:rFonts w:ascii="Consolas" w:hAnsi="Consolas" w:eastAsia="Microsoft YaHei"/>
          <w:color w:val="1F4D78"/>
          <w:sz w:val="19"/>
          <w:shd w:fill="EEF2F6"/>
        </w:rPr>
        <w:t>embed_multimodal</w:t>
      </w:r>
      <w:r>
        <w:t xml:space="preserve"> 与组件标记。来源：PPT 第 15 页。</w:t>
      </w:r>
    </w:p>
    <w:p>
      <w:pPr/>
      <w:r>
        <w:t xml:space="preserve">实线表示数据转换：图像经过校验和视觉编码，再由 </w:t>
      </w:r>
      <w:r>
        <w:rPr>
          <w:rFonts w:ascii="Consolas" w:hAnsi="Consolas" w:eastAsia="Microsoft YaHei"/>
          <w:color w:val="1F4D78"/>
          <w:sz w:val="19"/>
          <w:shd w:fill="EEF2F6"/>
        </w:rPr>
        <w:t>multi_modal_projector</w:t>
      </w:r>
      <w:r>
        <w:t xml:space="preserve"> 转为语言模型可消费的 </w:t>
      </w:r>
      <w:r>
        <w:rPr>
          <w:rFonts w:ascii="Consolas" w:hAnsi="Consolas" w:eastAsia="Microsoft YaHei"/>
          <w:color w:val="1F4D78"/>
          <w:sz w:val="19"/>
          <w:shd w:fill="EEF2F6"/>
        </w:rPr>
        <w:t>MultiModalEmbeddings</w:t>
      </w:r>
      <w:r>
        <w:t xml:space="preserve">。通往语言模型的另一条实线从 </w:t>
      </w:r>
      <w:r>
        <w:rPr>
          <w:rFonts w:ascii="Consolas" w:hAnsi="Consolas" w:eastAsia="Microsoft YaHei"/>
          <w:color w:val="1F4D78"/>
          <w:sz w:val="19"/>
          <w:shd w:fill="EEF2F6"/>
        </w:rPr>
        <w:t>embed_input_ids</w:t>
      </w:r>
      <w:r>
        <w:t xml:space="preserve"> 开始，表示文本嵌入随后与多模态嵌入合并。</w:t>
      </w:r>
    </w:p>
    <w:p>
      <w:pPr/>
      <w:r>
        <w:t xml:space="preserve">虚线表示组件角色或初始化关系，不是前向计算步骤。图中仅把 </w:t>
      </w:r>
      <w:r>
        <w:rPr>
          <w:rFonts w:ascii="Consolas" w:hAnsi="Consolas" w:eastAsia="Microsoft YaHei"/>
          <w:color w:val="1F4D78"/>
          <w:sz w:val="19"/>
          <w:shd w:fill="EEF2F6"/>
        </w:rPr>
        <w:t>_mark_tower_model</w:t>
      </w:r>
      <w:r>
        <w:t xml:space="preserve"> 指向整体视觉塔，没有假定投影器也接受同一标记；视觉塔与投影器之间的具体标记边界必须按目标实现核验。</w:t>
      </w:r>
    </w:p>
    <w:p>
      <w:pPr/>
      <w:r>
        <w:t xml:space="preserve">语言塔由 </w:t>
      </w:r>
      <w:r>
        <w:rPr>
          <w:rFonts w:ascii="Consolas" w:hAnsi="Consolas" w:eastAsia="Microsoft YaHei"/>
          <w:color w:val="1F4D78"/>
          <w:sz w:val="19"/>
          <w:shd w:fill="EEF2F6"/>
        </w:rPr>
        <w:t>_mark_language_model</w:t>
      </w:r>
      <w:r>
        <w:t xml:space="preserve"> 标记，并通过 </w:t>
      </w:r>
      <w:r>
        <w:rPr>
          <w:rFonts w:ascii="Consolas" w:hAnsi="Consolas" w:eastAsia="Microsoft YaHei"/>
          <w:color w:val="1F4D78"/>
          <w:sz w:val="19"/>
          <w:shd w:fill="EEF2F6"/>
        </w:rPr>
        <w:t>init_vllm_registered_model</w:t>
      </w:r>
      <w:r>
        <w:t xml:space="preserve"> 初始化。材料确认文本嵌入以及文本与多模态嵌入的合并可由 vLLM 默认实现处理，但这不表示字段筛选和 prompt 更新也会自动完成。</w:t>
      </w:r>
    </w:p>
    <w:p>
      <w:pPr/>
      <w:r>
        <w:t xml:space="preserve">材料没有给出固定图像尺寸、数据类型、空输入返回形式或 </w:t>
      </w:r>
      <w:r>
        <w:rPr>
          <w:rFonts w:ascii="Consolas" w:hAnsi="Consolas" w:eastAsia="Microsoft YaHei"/>
          <w:color w:val="1F4D78"/>
          <w:sz w:val="19"/>
          <w:shd w:fill="EEF2F6"/>
        </w:rPr>
        <w:t>MultiModalEmbeddings</w:t>
      </w:r>
      <w:r>
        <w:t xml:space="preserve"> 的完整张量形状。</w:t>
      </w:r>
    </w:p>
    <w:p>
      <w:pPr>
        <w:pStyle w:val="Heading2"/>
      </w:pPr>
      <w:r>
        <w:t>处理器层：把输入上限传递给资源规划</w:t>
      </w:r>
    </w:p>
    <w:p>
      <w:pPr/>
      <w:r>
        <w:t>处理器侧包含三个不同角色。下面的职责图值得看，因为它们分别描述输入限制、最坏情况输入和实际 prompt 更新，最终却必须收敛到同一个资源上界。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2114"/>
            <wp:docPr id="8" name="Picture 8" descr="PPT 第 16 页：占位符替换与字段配置" title="PPT 第 16 页：占位符替换与字段配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8：占位符替换与字段配置。来源：PPT 第 16 页。</w:t>
      </w:r>
    </w:p>
    <w:p>
      <w:pPr/>
      <w:r>
        <w:t>图中三条上游路径分别承担不同职责：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  <w:shd w:fill="EEF2F6"/>
        </w:rPr>
        <w:t>BaseProcessingInfo</w:t>
      </w:r>
      <w:r>
        <w:t xml:space="preserve"> 声明各模态的最大输入数；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  <w:shd w:fill="EEF2F6"/>
        </w:rPr>
        <w:t>BaseDummyInputsBuilder</w:t>
      </w:r>
      <w:r>
        <w:t xml:space="preserve"> 构造用于显存预估的最坏情况输入；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  <w:shd w:fill="EEF2F6"/>
        </w:rPr>
        <w:t>BaseMultiModalProcessor</w:t>
      </w:r>
      <w:r>
        <w:t xml:space="preserve"> 描述多模态字段以及占位符更新规则。</w:t>
      </w:r>
    </w:p>
    <w:p>
      <w:pPr/>
      <w:r>
        <w:t>三者都需要绑定到相应模型。右侧从最大嵌入通往显存预估和 KV Cache 规划的箭头，表示处理器声明会影响运行时能够预留多少资源。</w:t>
      </w:r>
    </w:p>
    <w:p>
      <w:pPr/>
      <w:r>
        <w:rPr>
          <w:rFonts w:ascii="Consolas" w:hAnsi="Consolas" w:eastAsia="Microsoft YaHei"/>
          <w:color w:val="1F4D78"/>
          <w:sz w:val="19"/>
          <w:shd w:fill="EEF2F6"/>
        </w:rPr>
        <w:t>_get_mm_fields_config()</w:t>
      </w:r>
      <w:r>
        <w:t xml:space="preserve"> 用于描述多模态输入字段或张量配置。转写还提到，它可能参与形状验证、过滤训练字段，并处理 Hugging Face 输出与 vLLM 预期不一致的 batch 维。这些属于模型相关行为，不能写成统一的 API 保证。</w:t>
      </w:r>
    </w:p>
    <w:p>
      <w:pPr/>
      <w:r>
        <w:rPr>
          <w:rFonts w:ascii="Consolas" w:hAnsi="Consolas" w:eastAsia="Microsoft YaHei"/>
          <w:color w:val="1F4D78"/>
          <w:sz w:val="19"/>
          <w:shd w:fill="EEF2F6"/>
        </w:rPr>
        <w:t>_get_prompt_updates()</w:t>
      </w:r>
      <w:r>
        <w:t xml:space="preserve"> 可以返回两类更新：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  <w:shd w:fill="EEF2F6"/>
        </w:rPr>
        <w:t>PromptReplacement</w:t>
      </w:r>
      <w:r>
        <w:t>：用多模态内容替换目标占位符；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  <w:shd w:fill="EEF2F6"/>
        </w:rPr>
        <w:t>PromptInsertion</w:t>
      </w:r>
      <w:r>
        <w:t>：保留原内容，并在指定位置插入多模态内容。</w:t>
      </w:r>
    </w:p>
    <w:p>
      <w:pPr/>
      <w:r>
        <w:t>若原 prompt 为：</w:t>
      </w:r>
    </w:p>
    <w:p>
      <w:pPr/>
      <w:r>
        <w:t>```text</w:t>
      </w:r>
    </w:p>
    <w:p>
      <w:pPr/>
      <w:r>
        <w:t>[text_before, image_token_id, text_after]</w:t>
      </w:r>
    </w:p>
    <w:p>
      <w:pPr/>
      <w:r>
        <w:t>```</w:t>
      </w:r>
    </w:p>
    <w:p>
      <w:pPr/>
      <w:r>
        <w:t xml:space="preserve">一个图像对应 </w:t>
      </w:r>
      <w:r>
        <w:rPr>
          <w:rFonts w:ascii="Consolas" w:hAnsi="Consolas" w:eastAsia="Microsoft YaHei"/>
          <w:color w:val="1F4D78"/>
          <w:sz w:val="19"/>
          <w:shd w:fill="EEF2F6"/>
        </w:rPr>
        <w:t>N</w:t>
      </w:r>
      <w:r>
        <w:t xml:space="preserve"> 个内容单元时，替换结果为：</w:t>
      </w:r>
    </w:p>
    <w:p>
      <w:pPr/>
      <w:r>
        <w:t>```text</w:t>
      </w:r>
    </w:p>
    <w:p>
      <w:pPr/>
      <w:r>
        <w:t>[text_before, u₁, u₂, …, uₙ, text_after]</w:t>
      </w:r>
    </w:p>
    <w:p>
      <w:pPr/>
      <w:r>
        <w:t>```</w:t>
      </w:r>
    </w:p>
    <w:p>
      <w:pPr/>
      <w:r>
        <w:t xml:space="preserve">插入方式则保留 </w:t>
      </w:r>
      <w:r>
        <w:rPr>
          <w:rFonts w:ascii="Consolas" w:hAnsi="Consolas" w:eastAsia="Microsoft YaHei"/>
          <w:color w:val="1F4D78"/>
          <w:sz w:val="19"/>
          <w:shd w:fill="EEF2F6"/>
        </w:rPr>
        <w:t>image_token_id</w:t>
      </w:r>
      <w:r>
        <w:t xml:space="preserve">。若原长度为 </w:t>
      </w:r>
      <w:r>
        <w:rPr>
          <w:rFonts w:ascii="Consolas" w:hAnsi="Consolas" w:eastAsia="Microsoft YaHei"/>
          <w:color w:val="1F4D78"/>
          <w:sz w:val="19"/>
          <w:shd w:fill="EEF2F6"/>
        </w:rPr>
        <w:t>L</w:t>
      </w:r>
      <w:r>
        <w:t>，两种方式对应的长度关系是：</w:t>
      </w:r>
    </w:p>
    <w:p>
      <w:pPr/>
      <w:r>
        <w:t>```text</w:t>
      </w:r>
    </w:p>
    <w:p>
      <w:pPr/>
      <w:r>
        <w:t>replacement_length = L - 1 + N</w:t>
      </w:r>
    </w:p>
    <w:p>
      <w:pPr/>
      <w:r>
        <w:t>insertion_length   = L + N</w:t>
      </w:r>
    </w:p>
    <w:p>
      <w:pPr/>
      <w:r>
        <w:t>```</w:t>
      </w:r>
    </w:p>
    <w:p>
      <w:pPr/>
      <w:r>
        <w:t xml:space="preserve">材料没有给出 </w:t>
      </w:r>
      <w:r>
        <w:rPr>
          <w:rFonts w:ascii="Consolas" w:hAnsi="Consolas" w:eastAsia="Microsoft YaHei"/>
          <w:color w:val="1F4D78"/>
          <w:sz w:val="19"/>
          <w:shd w:fill="EEF2F6"/>
        </w:rPr>
        <w:t>N</w:t>
      </w:r>
      <w:r>
        <w:t>，因此不能补写固定图像尺寸、patch 数或 token 数。</w:t>
      </w:r>
    </w:p>
    <w:p>
      <w:pPr/>
      <w:r>
        <w:t>关键因果链可以概括为：</w:t>
      </w:r>
    </w:p>
    <w:p>
      <w:pPr/>
      <w:r>
        <w:t>```text</w:t>
      </w:r>
    </w:p>
    <w:p>
      <w:pPr/>
      <w:r>
        <w:t>模态输入上限</w:t>
      </w:r>
    </w:p>
    <w:p>
      <w:pPr/>
      <w:r>
        <w:t>→ 占位符产生的最大内容数量</w:t>
      </w:r>
    </w:p>
    <w:p>
      <w:pPr/>
      <w:r>
        <w:t>→ 最长多模态嵌入</w:t>
      </w:r>
    </w:p>
    <w:p>
      <w:pPr/>
      <w:r>
        <w:t>→ dummy 输入必须覆盖该上界</w:t>
      </w:r>
    </w:p>
    <w:p>
      <w:pPr/>
      <w:r>
        <w:t>→ 多模态显存预估</w:t>
      </w:r>
    </w:p>
    <w:p>
      <w:pPr/>
      <w:r>
        <w:t>→ 剩余 KV Cache 规划</w:t>
      </w:r>
    </w:p>
    <w:p>
      <w:pPr/>
      <w:r>
        <w:t>```</w:t>
      </w:r>
    </w:p>
    <w:p>
      <w:pPr/>
      <w:r>
        <w:t>PPT 支持 dummy 输入用于估算最大多模态显存占用。转写进一步指出，低估可能使 KV Cache 规划过于乐观，并在运行时触发 OOM；字段或数量错配也可能导致 shape 错误。后两项属于工程风险说明，没有配套实验或数值。</w:t>
      </w:r>
    </w:p>
    <w:p>
      <w:pPr/>
      <w:r>
        <w:t>因此，多模态接入的完成标准不是视觉编码器能够单独运行，而是模型输入、prompt 更新和最坏情况资源估算使用同一边界。</w:t>
      </w:r>
    </w:p>
    <w:p>
      <w:pPr>
        <w:pStyle w:val="Heading1"/>
      </w:pPr>
      <w:r>
        <w:t>七、分支能力：ASR、交错窗口与 Mamba</w:t>
      </w:r>
    </w:p>
    <w:p>
      <w:pPr/>
      <w:r>
        <w:t>ASR、交错滑动窗口和 Mamba 都建立在基础接入链路之上，但它们修改的契约并不相同。</w:t>
      </w:r>
    </w:p>
    <w:p>
      <w:pPr>
        <w:pStyle w:val="Heading2"/>
      </w:pPr>
      <w:r>
        <w:t>ASR：声明语言、任务和提示协议</w:t>
      </w:r>
    </w:p>
    <w:p>
      <w:pPr/>
      <w:r>
        <w:t xml:space="preserve">ASR（Automatic Speech Recognition，自动语音识别）在本文中指把输入语音转换为文字或字幕。相关模型需要实现 </w:t>
      </w:r>
      <w:r>
        <w:rPr>
          <w:rFonts w:ascii="Consolas" w:hAnsi="Consolas" w:eastAsia="Microsoft YaHei"/>
          <w:color w:val="1F4D78"/>
          <w:sz w:val="19"/>
          <w:shd w:fill="EEF2F6"/>
        </w:rPr>
        <w:t>SupportsTranscription</w:t>
      </w:r>
      <w:r>
        <w:t>，主要契约如下：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79"/>
        <w:gridCol w:w="3028"/>
        <w:gridCol w:w="2753"/>
      </w:tblGrid>
      <w:tr>
        <w:trPr>
          <w:tblHeader w:val="true"/>
        </w:trPr>
        <w:tc>
          <w:tcPr>
            <w:tcW w:type="dxa" w:w="3579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成员</w:t>
            </w:r>
          </w:p>
        </w:tc>
        <w:tc>
          <w:tcPr>
            <w:tcW w:type="dxa" w:w="3028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职责</w:t>
            </w:r>
          </w:p>
        </w:tc>
        <w:tc>
          <w:tcPr>
            <w:tcW w:type="dxa" w:w="2753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边界</w:t>
            </w:r>
          </w:p>
        </w:tc>
      </w:tr>
      <w:tr>
        <w:tc>
          <w:tcPr>
            <w:tcW w:type="dxa" w:w="35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supported_languages</w:t>
            </w:r>
          </w:p>
        </w:tc>
        <w:tc>
          <w:tcPr>
            <w:tcW w:type="dxa" w:w="30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ISO 639-1 语言代码到名称的映射</w:t>
            </w:r>
          </w:p>
        </w:tc>
        <w:tc>
          <w:tcPr>
            <w:tcW w:type="dxa" w:w="27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完整范围由模型决定</w:t>
            </w:r>
          </w:p>
        </w:tc>
      </w:tr>
      <w:tr>
        <w:tc>
          <w:tcPr>
            <w:tcW w:type="dxa" w:w="35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supports_transcription_only</w:t>
            </w:r>
          </w:p>
        </w:tc>
        <w:tc>
          <w:tcPr>
            <w:tcW w:type="dxa" w:w="30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声明是否只支持转写</w:t>
            </w:r>
          </w:p>
        </w:tc>
        <w:tc>
          <w:tcPr>
            <w:tcW w:type="dxa" w:w="27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True</w:t>
            </w:r>
            <w:r>
              <w:rPr>
                <w:rFonts w:ascii="Calibri" w:hAnsi="Calibri" w:eastAsia="Microsoft YaHei"/>
                <w:sz w:val="18"/>
              </w:rPr>
              <w:t xml:space="preserve"> 只是材料中的示例值</w:t>
            </w:r>
          </w:p>
        </w:tc>
      </w:tr>
      <w:tr>
        <w:tc>
          <w:tcPr>
            <w:tcW w:type="dxa" w:w="35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get_speech_to_text_config</w:t>
            </w:r>
          </w:p>
        </w:tc>
        <w:tc>
          <w:tcPr>
            <w:tcW w:type="dxa" w:w="30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 xml:space="preserve">返回 </w:t>
            </w: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SpeechToTextConfig</w:t>
            </w:r>
          </w:p>
        </w:tc>
        <w:tc>
          <w:tcPr>
            <w:tcW w:type="dxa" w:w="27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可描述采样率、最长片段和能量切分窗口</w:t>
            </w:r>
          </w:p>
        </w:tc>
      </w:tr>
      <w:tr>
        <w:tc>
          <w:tcPr>
            <w:tcW w:type="dxa" w:w="35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get_generation_prompt</w:t>
            </w:r>
          </w:p>
        </w:tc>
        <w:tc>
          <w:tcPr>
            <w:tcW w:type="dxa" w:w="30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根据转写参数构造生成提示</w:t>
            </w:r>
          </w:p>
        </w:tc>
        <w:tc>
          <w:tcPr>
            <w:tcW w:type="dxa" w:w="27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具体字段与 token 未完整展示</w:t>
            </w:r>
          </w:p>
        </w:tc>
      </w:tr>
    </w:tbl>
    <w:p>
      <w:pPr>
        <w:spacing w:after="40"/>
      </w:pPr>
    </w:p>
    <w:p>
      <w:pPr/>
      <w:r>
        <w:rPr>
          <w:rFonts w:ascii="Consolas" w:hAnsi="Consolas" w:eastAsia="Microsoft YaHei"/>
          <w:color w:val="1F4D78"/>
          <w:sz w:val="19"/>
          <w:shd w:fill="EEF2F6"/>
        </w:rPr>
        <w:t>SpeechToTextConfig</w:t>
      </w:r>
      <w:r>
        <w:t xml:space="preserve"> 集中描述音频输入约束，但材料没有给出具体采样率、最长时长或窗口值。</w:t>
      </w:r>
    </w:p>
    <w:p>
      <w:pPr/>
      <w:r>
        <w:rPr>
          <w:rFonts w:ascii="Consolas" w:hAnsi="Consolas" w:eastAsia="Microsoft YaHei"/>
          <w:color w:val="1F4D78"/>
          <w:sz w:val="19"/>
          <w:shd w:fill="EEF2F6"/>
        </w:rPr>
        <w:t>get_generation_prompt</w:t>
      </w:r>
      <w:r>
        <w:t xml:space="preserve"> 可以构造多模态形式或 encoder/decoder 形式的提示，具体字典结构同样需要按模型核验。</w:t>
      </w:r>
    </w:p>
    <w:p>
      <w:pPr/>
      <w:r>
        <w:t>ASR 的新增点不是单独增加一个音频张量，而是把语言范围、任务能力、音频限制和提示协议连接起来。</w:t>
      </w:r>
    </w:p>
    <w:p>
      <w:pPr>
        <w:pStyle w:val="Heading2"/>
      </w:pPr>
      <w:r>
        <w:t>交错窗口与 Mamba：按架构分流</w:t>
      </w:r>
    </w:p>
    <w:p>
      <w:pPr/>
      <w:r>
        <w:t>下面的决策树区分交错滑动窗口和三类 Mamba 路径。之所以需要先看分流关系，是因为前者属于逐层 Attention 配置，后者涉及架构类型与运行状态管理，不能套用同一扩展模板。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2114"/>
            <wp:docPr id="9" name="Picture 9" descr="PPT 第 19 页：滑动窗口与 Mamba 接入路径" title="PPT 第 19 页：滑动窗口与 Mamba 接入路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9：滑动窗口与 Mamba 接入路径。来源：PPT 第 19 页。</w:t>
      </w:r>
    </w:p>
    <w:p>
      <w:pPr/>
      <w:r>
        <w:t xml:space="preserve">决策树左侧处理逐层窗口：读取 </w:t>
      </w:r>
      <w:r>
        <w:rPr>
          <w:rFonts w:ascii="Consolas" w:hAnsi="Consolas" w:eastAsia="Microsoft YaHei"/>
          <w:color w:val="1F4D78"/>
          <w:sz w:val="19"/>
          <w:shd w:fill="EEF2F6"/>
        </w:rPr>
        <w:t>config.json</w:t>
      </w:r>
      <w:r>
        <w:t xml:space="preserve"> 中的 </w:t>
      </w:r>
      <w:r>
        <w:rPr>
          <w:rFonts w:ascii="Consolas" w:hAnsi="Consolas" w:eastAsia="Microsoft YaHei"/>
          <w:color w:val="1F4D78"/>
          <w:sz w:val="19"/>
          <w:shd w:fill="EEF2F6"/>
        </w:rPr>
        <w:t>layer_types</w:t>
      </w:r>
      <w:r>
        <w:t xml:space="preserve">，解析第 </w:t>
      </w:r>
      <w:r>
        <w:rPr>
          <w:rFonts w:ascii="Consolas" w:hAnsi="Consolas" w:eastAsia="Microsoft YaHei"/>
          <w:color w:val="1F4D78"/>
          <w:sz w:val="19"/>
          <w:shd w:fill="EEF2F6"/>
        </w:rPr>
        <w:t>i</w:t>
      </w:r>
      <w:r>
        <w:t xml:space="preserve"> 层对应的窗口，再把结果传给该层 </w:t>
      </w:r>
      <w:r>
        <w:rPr>
          <w:rFonts w:ascii="Consolas" w:hAnsi="Consolas" w:eastAsia="Microsoft YaHei"/>
          <w:color w:val="1F4D78"/>
          <w:sz w:val="19"/>
          <w:shd w:fill="EEF2F6"/>
        </w:rPr>
        <w:t>Attention</w:t>
      </w:r>
      <w:r>
        <w:t xml:space="preserve"> 的 </w:t>
      </w:r>
      <w:r>
        <w:rPr>
          <w:rFonts w:ascii="Consolas" w:hAnsi="Consolas" w:eastAsia="Microsoft YaHei"/>
          <w:color w:val="1F4D78"/>
          <w:sz w:val="19"/>
          <w:shd w:fill="EEF2F6"/>
        </w:rPr>
        <w:t>per_layer_sliding_window</w:t>
      </w:r>
      <w:r>
        <w:t>。</w:t>
      </w:r>
    </w:p>
    <w:p>
      <w:pPr/>
      <w:r>
        <w:t xml:space="preserve">如果只读取一个全局窗口，层间差异会在模型构造阶段丢失。材料没有给出 </w:t>
      </w:r>
      <w:r>
        <w:rPr>
          <w:rFonts w:ascii="Consolas" w:hAnsi="Consolas" w:eastAsia="Microsoft YaHei"/>
          <w:color w:val="1F4D78"/>
          <w:sz w:val="19"/>
          <w:shd w:fill="EEF2F6"/>
        </w:rPr>
        <w:t>layer_types</w:t>
      </w:r>
      <w:r>
        <w:t xml:space="preserve"> 的具体结构、窗口单位或解析算法。</w:t>
      </w:r>
    </w:p>
    <w:p>
      <w:pPr/>
      <w:r>
        <w:t>右侧按架构特征划分 Mamba 接入路径：</w:t>
      </w:r>
    </w:p>
    <w:p>
      <w:pPr>
        <w:spacing w:after="80" w:line="290" w:lineRule="auto"/>
        <w:numPr>
          <w:ilvl w:val="0"/>
          <w:numId w:val="10"/>
        </w:numPr>
      </w:pPr>
      <w:r>
        <w:t xml:space="preserve">纯 Mamba 继承 </w:t>
      </w:r>
      <w:r>
        <w:rPr>
          <w:rFonts w:ascii="Consolas" w:hAnsi="Consolas" w:eastAsia="Microsoft YaHei"/>
          <w:color w:val="1F4D78"/>
          <w:sz w:val="19"/>
          <w:shd w:fill="EEF2F6"/>
        </w:rPr>
        <w:t>IsAttentionFree</w:t>
      </w:r>
      <w:r>
        <w:t xml:space="preserve">，并核验应使用 </w:t>
      </w:r>
      <w:r>
        <w:rPr>
          <w:rFonts w:ascii="Consolas" w:hAnsi="Consolas" w:eastAsia="Microsoft YaHei"/>
          <w:color w:val="1F4D78"/>
          <w:sz w:val="19"/>
          <w:shd w:fill="EEF2F6"/>
        </w:rPr>
        <w:t>MambaMixer</w:t>
      </w:r>
      <w:r>
        <w:t xml:space="preserve"> 还是 </w:t>
      </w:r>
      <w:r>
        <w:rPr>
          <w:rFonts w:ascii="Consolas" w:hAnsi="Consolas" w:eastAsia="Microsoft YaHei"/>
          <w:color w:val="1F4D78"/>
          <w:sz w:val="19"/>
          <w:shd w:fill="EEF2F6"/>
        </w:rPr>
        <w:t>MambaMixer2</w:t>
      </w:r>
      <w:r>
        <w:t>；</w:t>
      </w:r>
    </w:p>
    <w:p>
      <w:pPr>
        <w:spacing w:after="80" w:line="290" w:lineRule="auto"/>
        <w:numPr>
          <w:ilvl w:val="0"/>
          <w:numId w:val="10"/>
        </w:numPr>
      </w:pPr>
      <w:r>
        <w:t xml:space="preserve">Mamba 与 Attention 混合模型继承 </w:t>
      </w:r>
      <w:r>
        <w:rPr>
          <w:rFonts w:ascii="Consolas" w:hAnsi="Consolas" w:eastAsia="Microsoft YaHei"/>
          <w:color w:val="1F4D78"/>
          <w:sz w:val="19"/>
          <w:shd w:fill="EEF2F6"/>
        </w:rPr>
        <w:t>IsHybrid</w:t>
      </w:r>
      <w:r>
        <w:t>，并实现相应的状态接口；</w:t>
      </w:r>
    </w:p>
    <w:p>
      <w:pPr>
        <w:spacing w:after="80" w:line="290" w:lineRule="auto"/>
        <w:numPr>
          <w:ilvl w:val="0"/>
          <w:numId w:val="10"/>
        </w:numPr>
      </w:pPr>
      <w:r>
        <w:t xml:space="preserve">无法直接复用标准 Mixer 的类 Mamba 实现，在核验后继承 </w:t>
      </w:r>
      <w:r>
        <w:rPr>
          <w:rFonts w:ascii="Consolas" w:hAnsi="Consolas" w:eastAsia="Microsoft YaHei"/>
          <w:color w:val="1F4D78"/>
          <w:sz w:val="19"/>
          <w:shd w:fill="EEF2F6"/>
        </w:rPr>
        <w:t>MambaBase</w:t>
      </w:r>
      <w:r>
        <w:t xml:space="preserve">，声明状态类型、形状和注意力后端，并在必要时注册 </w:t>
      </w:r>
      <w:r>
        <w:rPr>
          <w:rFonts w:ascii="Consolas" w:hAnsi="Consolas" w:eastAsia="Microsoft YaHei"/>
          <w:color w:val="1F4D78"/>
          <w:sz w:val="19"/>
          <w:shd w:fill="EEF2F6"/>
        </w:rPr>
        <w:t>custom op</w:t>
      </w:r>
      <w:r>
        <w:t>。</w:t>
      </w:r>
    </w:p>
    <w:p>
      <w:pPr/>
      <w:r>
        <w:t xml:space="preserve">材料没有完整列出 </w:t>
      </w:r>
      <w:r>
        <w:rPr>
          <w:rFonts w:ascii="Consolas" w:hAnsi="Consolas" w:eastAsia="Microsoft YaHei"/>
          <w:color w:val="1F4D78"/>
          <w:sz w:val="19"/>
          <w:shd w:fill="EEF2F6"/>
        </w:rPr>
        <w:t>get_mamba_state_*</w:t>
      </w:r>
      <w:r>
        <w:t xml:space="preserve"> 的方法名，也没有给出状态布局、更新时序和接口签名。第三条路径还要求声明注意力后端，因此不能把所有 </w:t>
      </w:r>
      <w:r>
        <w:rPr>
          <w:rFonts w:ascii="Consolas" w:hAnsi="Consolas" w:eastAsia="Microsoft YaHei"/>
          <w:color w:val="1F4D78"/>
          <w:sz w:val="19"/>
          <w:shd w:fill="EEF2F6"/>
        </w:rPr>
        <w:t>MambaBase</w:t>
      </w:r>
      <w:r>
        <w:t xml:space="preserve"> 模型都归入无 Attention 分支。</w:t>
      </w:r>
    </w:p>
    <w:p>
      <w:pPr/>
      <w:r>
        <w:t>这些能力是基础链路上的附加契约，而不是可以相互替换的实现模板。最终仍要回到同一验收标准：接口、参数组织、资源规划和行为测试必须同时闭环。</w:t>
      </w:r>
    </w:p>
    <w:p>
      <w:pPr>
        <w:pStyle w:val="Heading1"/>
      </w:pPr>
      <w:r>
        <w:t>结论：接入完成意味着证据闭环</w:t>
      </w:r>
    </w:p>
    <w:p>
      <w:pPr>
        <w:spacing w:after="80" w:line="290" w:lineRule="auto"/>
        <w:numPr>
          <w:ilvl w:val="0"/>
          <w:numId w:val="10"/>
        </w:numPr>
      </w:pPr>
      <w:r>
        <w:t xml:space="preserve">模型接入不是复制 </w:t>
      </w:r>
      <w:r>
        <w:rPr>
          <w:rFonts w:ascii="Consolas" w:hAnsi="Consolas" w:eastAsia="Microsoft YaHei"/>
          <w:color w:val="1F4D78"/>
          <w:sz w:val="19"/>
          <w:shd w:fill="EEF2F6"/>
        </w:rPr>
        <w:t>modeling_*.py</w:t>
      </w:r>
      <w:r>
        <w:t>，而是让模块命名、运行时输入、参数布局、注册信息和测试证据保持一致。</w:t>
      </w:r>
    </w:p>
    <w:p>
      <w:pPr>
        <w:spacing w:after="80" w:line="290" w:lineRule="auto"/>
        <w:numPr>
          <w:ilvl w:val="0"/>
          <w:numId w:val="10"/>
        </w:numPr>
      </w:pPr>
      <w:r>
        <w:t xml:space="preserve">推荐先验证单 GPU 的权重加载与 </w:t>
      </w:r>
      <w:r>
        <w:rPr>
          <w:rFonts w:ascii="Consolas" w:hAnsi="Consolas" w:eastAsia="Microsoft YaHei"/>
          <w:color w:val="1F4D78"/>
          <w:sz w:val="19"/>
          <w:shd w:fill="EEF2F6"/>
        </w:rPr>
        <w:t>forward</w:t>
      </w:r>
      <w:r>
        <w:t>，再加入张量并行，最后完成注册和分层测试。这一顺序用于减少联调变量，不代表开发过程不会往返迭代。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  <w:shd w:fill="EEF2F6"/>
        </w:rPr>
        <w:t>prefix</w:t>
      </w:r>
      <w:r>
        <w:t xml:space="preserve"> 同时连接模块层级、Attention 全名注册和量化配置匹配，应沿真实模块树传播，并与 checkpoint 权重路径形成可核对的坐标。</w:t>
      </w:r>
    </w:p>
    <w:p>
      <w:pPr>
        <w:spacing w:after="80" w:line="290" w:lineRule="auto"/>
        <w:numPr>
          <w:ilvl w:val="0"/>
          <w:numId w:val="10"/>
        </w:numPr>
      </w:pPr>
      <w:r>
        <w:t>并行层由切分维度、输出布局和通信边界决定。列并行可以保留分片输出，行并行需要聚合部分和，不能把所有线性层机械替换成同一种实现。</w:t>
      </w:r>
    </w:p>
    <w:p>
      <w:pPr>
        <w:spacing w:after="80" w:line="290" w:lineRule="auto"/>
        <w:numPr>
          <w:ilvl w:val="0"/>
          <w:numId w:val="10"/>
        </w:numPr>
      </w:pPr>
      <w:r>
        <w:t>合并并行层改变了参数组织，</w:t>
      </w:r>
      <w:r>
        <w:rPr>
          <w:rFonts w:ascii="Consolas" w:hAnsi="Consolas" w:eastAsia="Microsoft YaHei"/>
          <w:color w:val="1F4D78"/>
          <w:sz w:val="19"/>
          <w:shd w:fill="EEF2F6"/>
        </w:rPr>
        <w:t>load_weights</w:t>
      </w:r>
      <w:r>
        <w:t xml:space="preserve"> 必须同步映射 checkpoint 名称、目标参数名和内部 shard。名称命中、单次写入和整体覆盖需要分别验证。</w:t>
      </w:r>
    </w:p>
    <w:p>
      <w:pPr>
        <w:spacing w:after="80" w:line="290" w:lineRule="auto"/>
        <w:numPr>
          <w:ilvl w:val="0"/>
          <w:numId w:val="10"/>
        </w:numPr>
      </w:pPr>
      <w:r>
        <w:t>注册成功只证明架构名能够解析，dummy weights 只证明初始化或基础加载路径可执行。真实生成、Top-K logprobs、Pooling 与多模态行为仍需专项验证。</w:t>
      </w:r>
    </w:p>
    <w:p>
      <w:pPr>
        <w:spacing w:after="80" w:line="290" w:lineRule="auto"/>
        <w:numPr>
          <w:ilvl w:val="0"/>
          <w:numId w:val="10"/>
        </w:numPr>
      </w:pPr>
      <w:r>
        <w:t>多模态与 ASR 不只是增加编码器，还会引入字段、占位符、最坏情况资源估算、语言范围和任务协议。</w:t>
      </w:r>
    </w:p>
    <w:p>
      <w:pPr>
        <w:spacing w:after="80" w:line="290" w:lineRule="auto"/>
        <w:numPr>
          <w:ilvl w:val="0"/>
          <w:numId w:val="10"/>
        </w:numPr>
      </w:pPr>
      <w:r>
        <w:t>交错滑动窗口与 Mamba 应分别按逐层配置和架构特征适配，不能作为可互换的模板。</w:t>
      </w:r>
    </w:p>
    <w:p>
      <w:pPr>
        <w:pStyle w:val="Heading1"/>
      </w:pPr>
      <w:r>
        <w:t>明确局限</w:t>
      </w:r>
    </w:p>
    <w:p>
      <w:pPr/>
      <w:r>
        <w:t>本文只依据演讲 PPT、转写和给定事实台账说明接入机制。材料没有提供 vLLM 版本、模型版本、GPU 型号、batch、张量并行度、并发量、精度配置、吞吐、延迟、显存数据或测试阈值，因此不能据此得出量化性能结论。</w:t>
      </w:r>
    </w:p>
    <w:p>
      <w:pPr/>
      <w:r>
        <w:t>PagedAttention、KV-Cache 利用率和多卡拆分仅作为定性动机。KV-head 复制条件、</w:t>
      </w:r>
      <w:r>
        <w:rPr>
          <w:rFonts w:ascii="Consolas" w:hAnsi="Consolas" w:eastAsia="Microsoft YaHei"/>
          <w:color w:val="1F4D78"/>
          <w:sz w:val="19"/>
          <w:shd w:fill="EEF2F6"/>
        </w:rPr>
        <w:t>ParallelLMHead</w:t>
      </w:r>
      <w:r>
        <w:t xml:space="preserve"> 的具体分布式布局、gate/up 的 shard 标识、视觉塔与投影器的具体标记边界、ASR 配置数值、交错窗口解析细节，以及 Mamba 状态接口和更新时序，均需在目标版本与具体模型中进一步核验。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26B75"/>
        <w:sz w:val="18"/>
      </w:rPr>
      <w:t xml:space="preserve">技术深度解析  ·  </w:t>
    </w:r>
    <w:r>
      <w:rPr>
        <w:rFonts w:ascii="Calibri" w:hAnsi="Calibri" w:eastAsia="Microsoft YaHei"/>
        <w:color w:val="626B7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>
      <w:rPr>
        <w:rFonts w:ascii="Calibri" w:hAnsi="Calibri" w:eastAsia="Microsoft YaHei"/>
        <w:b/>
        <w:color w:val="626B75"/>
        <w:sz w:val="17"/>
      </w:rPr>
      <w:t>从 Hugging Face 到 vLLM：一条可验证的模型接入链路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 w:eastAsia="Microsoft YaHe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200"/>
      <w:jc w:val="center"/>
    </w:pPr>
    <w:rPr>
      <w:rFonts w:ascii="Calibri" w:hAnsi="Calibri" w:eastAsia="Microsoft YaHei"/>
      <w:b/>
      <w:bCs/>
      <w:i/>
      <w:color w:val="626B7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before="40" w:after="240" w:line="312" w:lineRule="auto"/>
      <w:jc w:val="left"/>
    </w:pPr>
    <w:rPr>
      <w:rFonts w:ascii="Calibri" w:hAnsi="Calibri" w:eastAsia="Microsoft YaHei"/>
      <w:color w:val="203748"/>
      <w:sz w:val="24"/>
    </w:rPr>
  </w:style>
  <w:style w:type="paragraph" w:customStyle="1" w:styleId="Formula">
    <w:name w:val="Formula"/>
    <w:pPr>
      <w:keepLines/>
      <w:spacing w:before="100" w:after="200"/>
      <w:jc w:val="center"/>
    </w:pPr>
    <w:rPr>
      <w:rFonts w:ascii="Calibri" w:hAnsi="Calibri" w:eastAsia="Microsoft YaHei"/>
      <w:b/>
      <w:color w:val="203748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ilibili.com/video/BV1gYL965ERP" TargetMode="External"/><Relationship Id="rId12" Type="http://schemas.openxmlformats.org/officeDocument/2006/relationships/hyperlink" Target="https://drive.google.com/file/d/13Iqs2X1CkWLtCbtCUB5bSUPX_bsBZ6IF/view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从 Hugging Face 到 vLLM：一条可验证的模型接入链路</dc:title>
  <dc:subject>模型在 Hugging Face 中能够推理，只说明原实现成立。要进入 vLLM，还必须让模块命名、运行时输入、并行参数、权重加载、注册信息和测试证据彼此对齐。</dc:subject>
  <dc:creator>Technical Blog Pipeline</dc:creator>
  <cp:keywords>technical blog, video, PPT, AI systems</cp:keywords>
  <dc:description>Generated from user-provided media and slides.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