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From Hugging Face to vLLM: A Verifiable Model Integration Pipeline</w:t>
      </w:r>
    </w:p>
    <w:p>
      <w:pPr>
        <w:spacing w:after="560"/>
        <w:jc w:val="center"/>
      </w:pPr>
      <w:r>
        <w:rPr>
          <w:rFonts w:ascii="Calibri" w:hAnsi="Calibri" w:eastAsia="Microsoft YaHei"/>
          <w:color w:val="1F4D78"/>
          <w:sz w:val="28"/>
        </w:rPr>
        <w:t>A model being able to run inference in Hugging Face only proves that its original implementation works. To bring it into vLLM, module naming, runtime inputs, parallel parameters, weight loading, registration information, and test evidence must all be aligned.</w:t>
      </w:r>
    </w:p>
    <w:p>
      <w:pPr>
        <w:spacing w:before="840" w:after="160"/>
        <w:jc w:val="center"/>
      </w:pPr>
      <w:r>
        <w:rPr>
          <w:rFonts w:ascii="Calibri" w:hAnsi="Calibri" w:eastAsia="Microsoft YaHei"/>
          <w:i/>
          <w:color w:val="626B75"/>
          <w:sz w:val="21"/>
        </w:rPr>
        <w:t>Synthesized from a technical talk and its accompanying slides</w:t>
      </w:r>
    </w:p>
    <w:p>
      <w:pPr>
        <w:spacing w:after="80"/>
        <w:jc w:val="center"/>
      </w:pPr>
      <w:r>
        <w:rPr>
          <w:rFonts w:ascii="Calibri" w:hAnsi="Calibri" w:eastAsia="Microsoft YaHei"/>
          <w:color w:val="626B75"/>
          <w:sz w:val="19"/>
        </w:rPr>
        <w:t>Source slides: vLLM-model-integration-guide.pdf</w:t>
      </w:r>
    </w:p>
    <w:p>
      <w:pPr>
        <w:spacing w:before="680"/>
        <w:jc w:val="center"/>
      </w:pPr>
      <w:r>
        <w:rPr>
          <w:rFonts w:ascii="Calibri" w:hAnsi="Calibri" w:eastAsia="Microsoft YaHei"/>
          <w:color w:val="626B75"/>
          <w:sz w:val="20"/>
        </w:rPr>
        <w:t>2026-09-05</w:t>
      </w:r>
      <w:r>
        <w:br w:type="page"/>
      </w:r>
    </w:p>
    <w:p>
      <w:pPr>
        <w:pStyle w:val="Lead"/>
      </w:pPr>
      <w:r>
        <w:rPr>
          <w:b/>
        </w:rPr>
        <w:t>Source video</w:t>
      </w:r>
      <w:r>
        <w:t xml:space="preserve">: </w:t>
      </w:r>
      <w:hyperlink r:id="rId11">
        <w:r>
          <w:rPr>
            <w:color w:val="0563C1"/>
            <w:u w:val="single"/>
          </w:rPr>
          <w:t>Bilibili BV1gYL965ERP</w:t>
        </w:r>
      </w:hyperlink>
      <w:r>
        <w:t xml:space="preserve"> · </w:t>
      </w:r>
      <w:r>
        <w:rPr>
          <w:b/>
        </w:rPr>
        <w:t>Slides</w:t>
      </w:r>
      <w:r>
        <w:t xml:space="preserve">: </w:t>
      </w:r>
      <w:hyperlink r:id="rId12">
        <w:r>
          <w:rPr>
            <w:color w:val="0563C1"/>
            <w:u w:val="single"/>
          </w:rPr>
          <w:t>vLLM Model Integration Guide</w:t>
        </w:r>
      </w:hyperlink>
    </w:p>
    <w:p>
      <w:pPr/>
      <w:r>
        <w:t>This article is intended for engineers who have a basic understanding of PyTorch, Transformers, and Hugging Face but are not yet familiar with implementing models in vLLM.</w:t>
      </w:r>
    </w:p>
    <w:p>
      <w:pPr>
        <w:pStyle w:val="Heading1"/>
      </w:pPr>
      <w:r>
        <w:t>Intended Audience and Prerequisites</w:t>
      </w:r>
    </w:p>
    <w:p>
      <w:pPr/>
      <w:r>
        <w:t>Before reading, you should ideally be able to:</w:t>
      </w:r>
    </w:p>
    <w:p>
      <w:pPr>
        <w:spacing w:after="80" w:line="290" w:lineRule="auto"/>
        <w:numPr>
          <w:ilvl w:val="0"/>
          <w:numId w:val="10"/>
        </w:numPr>
      </w:pPr>
      <w:r>
        <w:t xml:space="preserve">Read </w:t>
      </w:r>
      <w:r>
        <w:rPr>
          <w:rFonts w:ascii="Consolas" w:hAnsi="Consolas" w:eastAsia="Microsoft YaHei"/>
          <w:color w:val="1F4D78"/>
          <w:sz w:val="19"/>
          <w:shd w:fill="EEF2F6"/>
        </w:rPr>
        <w:t>nn.Module</w:t>
      </w:r>
      <w:r>
        <w:t xml:space="preserve">, </w:t>
      </w:r>
      <w:r>
        <w:rPr>
          <w:rFonts w:ascii="Consolas" w:hAnsi="Consolas" w:eastAsia="Microsoft YaHei"/>
          <w:color w:val="1F4D78"/>
          <w:sz w:val="19"/>
          <w:shd w:fill="EEF2F6"/>
        </w:rPr>
        <w:t>forward</w:t>
      </w:r>
      <w:r>
        <w:t xml:space="preserve">, and </w:t>
      </w:r>
      <w:r>
        <w:rPr>
          <w:rFonts w:ascii="Consolas" w:hAnsi="Consolas" w:eastAsia="Microsoft YaHei"/>
          <w:color w:val="1F4D78"/>
          <w:sz w:val="19"/>
          <w:shd w:fill="EEF2F6"/>
        </w:rPr>
        <w:t>state_dict</w:t>
      </w:r>
      <w:r>
        <w:t>;</w:t>
      </w:r>
    </w:p>
    <w:p>
      <w:pPr>
        <w:spacing w:after="80" w:line="290" w:lineRule="auto"/>
        <w:numPr>
          <w:ilvl w:val="0"/>
          <w:numId w:val="10"/>
        </w:numPr>
      </w:pPr>
      <w:r>
        <w:t>Understand Embedding, Attention, Q/K/V, FFN, and LM Head;</w:t>
      </w:r>
    </w:p>
    <w:p>
      <w:pPr>
        <w:spacing w:after="80" w:line="290" w:lineRule="auto"/>
        <w:numPr>
          <w:ilvl w:val="0"/>
          <w:numId w:val="10"/>
        </w:numPr>
      </w:pPr>
      <w:r>
        <w:t xml:space="preserve">Understand GPU memory, tensor sharding, </w:t>
      </w:r>
      <w:r>
        <w:rPr>
          <w:rFonts w:ascii="Consolas" w:hAnsi="Consolas" w:eastAsia="Microsoft YaHei"/>
          <w:color w:val="1F4D78"/>
          <w:sz w:val="19"/>
          <w:shd w:fill="EEF2F6"/>
        </w:rPr>
        <w:t>all-reduce</w:t>
      </w:r>
      <w:r>
        <w:t xml:space="preserve">, and </w:t>
      </w:r>
      <w:r>
        <w:rPr>
          <w:rFonts w:ascii="Consolas" w:hAnsi="Consolas" w:eastAsia="Microsoft YaHei"/>
          <w:color w:val="1F4D78"/>
          <w:sz w:val="19"/>
          <w:shd w:fill="EEF2F6"/>
        </w:rPr>
        <w:t>all-gather</w:t>
      </w:r>
      <w:r>
        <w:t>;</w:t>
      </w:r>
    </w:p>
    <w:p>
      <w:pPr>
        <w:spacing w:after="80" w:line="290" w:lineRule="auto"/>
        <w:numPr>
          <w:ilvl w:val="0"/>
          <w:numId w:val="10"/>
        </w:numPr>
      </w:pPr>
      <w:r>
        <w:t xml:space="preserve">Understand the basic organization of Hugging Face checkpoints and </w:t>
      </w:r>
      <w:r>
        <w:rPr>
          <w:rFonts w:ascii="Consolas" w:hAnsi="Consolas" w:eastAsia="Microsoft YaHei"/>
          <w:color w:val="1F4D78"/>
          <w:sz w:val="19"/>
          <w:shd w:fill="EEF2F6"/>
        </w:rPr>
        <w:t>modeling_*.py</w:t>
      </w:r>
      <w:r>
        <w:t>.</w:t>
      </w:r>
    </w:p>
    <w:p>
      <w:pPr>
        <w:pStyle w:val="Heading1"/>
      </w:pPr>
      <w:r>
        <w:t>Learning Objectives</w:t>
      </w:r>
    </w:p>
    <w:p>
      <w:pPr/>
      <w:r>
        <w:t>After reading this article, you should be able to:</w:t>
      </w:r>
    </w:p>
    <w:p>
      <w:pPr>
        <w:spacing w:after="80" w:line="290" w:lineRule="auto"/>
        <w:numPr>
          <w:ilvl w:val="0"/>
          <w:numId w:val="10"/>
        </w:numPr>
      </w:pPr>
      <w:r>
        <w:t>Establish an end-to-end integration path from selecting a reference implementation to registration and testing;</w:t>
      </w:r>
    </w:p>
    <w:p>
      <w:pPr>
        <w:spacing w:after="80" w:line="290" w:lineRule="auto"/>
        <w:numPr>
          <w:ilvl w:val="0"/>
          <w:numId w:val="10"/>
        </w:numPr>
      </w:pPr>
      <w:r>
        <w:t xml:space="preserve">Understand how </w:t>
      </w:r>
      <w:r>
        <w:rPr>
          <w:rFonts w:ascii="Consolas" w:hAnsi="Consolas" w:eastAsia="Microsoft YaHei"/>
          <w:color w:val="1F4D78"/>
          <w:sz w:val="19"/>
          <w:shd w:fill="EEF2F6"/>
        </w:rPr>
        <w:t>prefix</w:t>
      </w:r>
      <w:r>
        <w:t xml:space="preserve">, flattened token inputs, and vLLM </w:t>
      </w:r>
      <w:r>
        <w:rPr>
          <w:rFonts w:ascii="Consolas" w:hAnsi="Consolas" w:eastAsia="Microsoft YaHei"/>
          <w:color w:val="1F4D78"/>
          <w:sz w:val="19"/>
          <w:shd w:fill="EEF2F6"/>
        </w:rPr>
        <w:t>Attention</w:t>
      </w:r>
      <w:r>
        <w:t xml:space="preserve"> work together;</w:t>
      </w:r>
    </w:p>
    <w:p>
      <w:pPr>
        <w:spacing w:after="80" w:line="290" w:lineRule="auto"/>
        <w:numPr>
          <w:ilvl w:val="0"/>
          <w:numId w:val="10"/>
        </w:numPr>
      </w:pPr>
      <w:r>
        <w:t>Select tensor-parallel layers based on data layout and identify the corresponding communication boundaries;</w:t>
      </w:r>
    </w:p>
    <w:p>
      <w:pPr>
        <w:spacing w:after="80" w:line="290" w:lineRule="auto"/>
        <w:numPr>
          <w:ilvl w:val="0"/>
          <w:numId w:val="10"/>
        </w:numPr>
      </w:pPr>
      <w:r>
        <w:t xml:space="preserve">Understand why merging parallel parameters requires corresponding changes to </w:t>
      </w:r>
      <w:r>
        <w:rPr>
          <w:rFonts w:ascii="Consolas" w:hAnsi="Consolas" w:eastAsia="Microsoft YaHei"/>
          <w:color w:val="1F4D78"/>
          <w:sz w:val="19"/>
          <w:shd w:fill="EEF2F6"/>
        </w:rPr>
        <w:t>load_weights</w:t>
      </w:r>
      <w:r>
        <w:t>;</w:t>
      </w:r>
    </w:p>
    <w:p>
      <w:pPr>
        <w:spacing w:after="80" w:line="290" w:lineRule="auto"/>
        <w:numPr>
          <w:ilvl w:val="0"/>
          <w:numId w:val="10"/>
        </w:numPr>
      </w:pPr>
      <w:r>
        <w:t>Distinguish successful registration, successful dummy-weight initialization, and correct real-world inference;</w:t>
      </w:r>
    </w:p>
    <w:p>
      <w:pPr>
        <w:spacing w:after="80" w:line="290" w:lineRule="auto"/>
        <w:numPr>
          <w:ilvl w:val="0"/>
          <w:numId w:val="10"/>
        </w:numPr>
      </w:pPr>
      <w:r>
        <w:t>Identify additional constraints introduced by multimodality, ASR, sliding windows, and Mamba.</w:t>
      </w:r>
    </w:p>
    <w:p>
      <w:pPr/>
      <w:r>
        <w:t>The following three levels of factual confidence are used throughout:</w:t>
      </w:r>
    </w:p>
    <w:p>
      <w:pPr>
        <w:spacing w:after="80" w:line="290" w:lineRule="auto"/>
        <w:numPr>
          <w:ilvl w:val="0"/>
          <w:numId w:val="10"/>
        </w:numPr>
      </w:pPr>
      <w:r>
        <w:rPr>
          <w:b/>
        </w:rPr>
        <w:t>Source-backed fact</w:t>
      </w:r>
      <w:r>
        <w:t>: directly supported by the presentation slides or fact ledger;</w:t>
      </w:r>
    </w:p>
    <w:p>
      <w:pPr>
        <w:spacing w:after="80" w:line="290" w:lineRule="auto"/>
        <w:numPr>
          <w:ilvl w:val="0"/>
          <w:numId w:val="10"/>
        </w:numPr>
      </w:pPr>
      <w:r>
        <w:rPr>
          <w:b/>
        </w:rPr>
        <w:t>Maintainer experience</w:t>
      </w:r>
      <w:r>
        <w:t>: engineering guidance from the transcript;</w:t>
      </w:r>
    </w:p>
    <w:p>
      <w:pPr>
        <w:spacing w:after="80" w:line="290" w:lineRule="auto"/>
        <w:numPr>
          <w:ilvl w:val="0"/>
          <w:numId w:val="10"/>
        </w:numPr>
      </w:pPr>
      <w:r>
        <w:rPr>
          <w:b/>
        </w:rPr>
        <w:t>To be verified</w:t>
      </w:r>
      <w:r>
        <w:t>: not fully specified by the source material and must be confirmed against the target version and specific model.</w:t>
      </w:r>
    </w:p>
    <w:p>
      <w:pPr>
        <w:pStyle w:val="Heading1"/>
      </w:pPr>
      <w:r>
        <w:t>1. Narrow the Problem First: What Actually Needs to Change During Model Integration?</w:t>
      </w:r>
    </w:p>
    <w:p>
      <w:pPr/>
      <w:r>
        <w:t>The real engineering conflict is that model code may run in Hugging Face but cannot be used directly in vLLM’s serving path.</w:t>
      </w:r>
    </w:p>
    <w:p>
      <w:pPr/>
      <w:r>
        <w:t>The source material uses PagedAttention—a runtime mechanism presented to explain KV-Cache utilization—and parallel layers to illustrate the value of integration. However, switching runtimes does not automatically make a model comply with the new interfaces. Developers must still handle code migration, module naming, input layouts, parallel parameters, weight mapping, registration, and testing.</w:t>
      </w:r>
    </w:p>
    <w:p>
      <w:pPr/>
      <w:r>
        <w:t>The following diagram separates “why integration is worthwhile” from “what must actually be changed in the model,” avoiding the mistake of turning the source material’s qualitative motivations into performance guarantees after integration.</w:t>
      </w:r>
    </w:p>
    <w:p>
      <w:pPr>
        <w:keepNext/>
        <w:keepLines/>
        <w:spacing w:before="120" w:after="0"/>
        <w:jc w:val="center"/>
      </w:pPr>
      <w:r>
        <w:drawing>
          <wp:inline xmlns:a="http://schemas.openxmlformats.org/drawingml/2006/main" xmlns:pic="http://schemas.openxmlformats.org/drawingml/2006/picture">
            <wp:extent cx="5943600" cy="3342114"/>
            <wp:docPr id="1" name="Picture 1" descr="PPT page 3: Motivation and engineering work for vLLM integration" title="PPT page 3: Motivation and engineering work for vLLM integration"/>
            <wp:cNvGraphicFramePr>
              <a:graphicFrameLocks noChangeAspect="1"/>
            </wp:cNvGraphicFramePr>
            <a:graphic>
              <a:graphicData uri="http://schemas.openxmlformats.org/drawingml/2006/picture">
                <pic:pic>
                  <pic:nvPicPr>
                    <pic:cNvPr id="0" name="slide-03.png"/>
                    <pic:cNvPicPr/>
                  </pic:nvPicPr>
                  <pic:blipFill>
                    <a:blip r:embed="rId13"/>
                    <a:stretch>
                      <a:fillRect/>
                    </a:stretch>
                  </pic:blipFill>
                  <pic:spPr>
                    <a:xfrm>
                      <a:off x="0" y="0"/>
                      <a:ext cx="5943600" cy="3342114"/>
                    </a:xfrm>
                    <a:prstGeom prst="rect"/>
                  </pic:spPr>
                </pic:pic>
              </a:graphicData>
            </a:graphic>
          </wp:inline>
        </w:drawing>
      </w:r>
    </w:p>
    <w:p>
      <w:pPr/>
      <w:r>
        <w:rPr>
          <w:i/>
        </w:rPr>
        <w:t>Figure 1: Motivation and engineering work for vLLM integration. Source: PPT page 3.</w:t>
      </w:r>
    </w:p>
    <w:p>
      <w:pPr/>
      <w:r>
        <w:t>The two nodes on the left explain the motivation for integration, while the four nodes on the right represent the work that the model implementation must actually complete. The two dashed lines emphasize that PagedAttention and parallel layers can explain the value of integration, but they cannot automatically solve interface, parameter, or weight-related problems.</w:t>
      </w:r>
    </w:p>
    <w:p>
      <w:pPr/>
      <w:r>
        <w:t>The source material does not provide the model version, hardware, degree of parallelism, concurrency, throughput, latency, or GPU memory data. Therefore, this article makes no quantitative performance claims.</w:t>
      </w:r>
    </w:p>
    <w:p>
      <w:pPr>
        <w:pStyle w:val="Heading2"/>
      </w:pPr>
      <w:r>
        <w:t>Start from a Similar Implementation</w:t>
      </w:r>
    </w:p>
    <w:p>
      <w:pPr/>
      <w:r>
        <w:t xml:space="preserve">When integrating a model, first look for an existing model with the most similar architecture in </w:t>
      </w:r>
      <w:r>
        <w:rPr>
          <w:rFonts w:ascii="Consolas" w:hAnsi="Consolas" w:eastAsia="Microsoft YaHei"/>
          <w:color w:val="1F4D78"/>
          <w:sz w:val="19"/>
          <w:shd w:fill="EEF2F6"/>
        </w:rPr>
        <w:t>vllm/model_executor/models/</w:t>
      </w:r>
      <w:r>
        <w:t>, focusing on:</w:t>
      </w:r>
    </w:p>
    <w:p>
      <w:pPr>
        <w:spacing w:after="80" w:line="290" w:lineRule="auto"/>
        <w:numPr>
          <w:ilvl w:val="0"/>
          <w:numId w:val="10"/>
        </w:numPr>
      </w:pPr>
      <w:r>
        <w:t>How Attention and the FFN are organized;</w:t>
      </w:r>
    </w:p>
    <w:p>
      <w:pPr>
        <w:spacing w:after="80" w:line="290" w:lineRule="auto"/>
        <w:numPr>
          <w:ilvl w:val="0"/>
          <w:numId w:val="10"/>
        </w:numPr>
      </w:pPr>
      <w:r>
        <w:t>The weight layouts of Q, K, V, gate, and up;</w:t>
      </w:r>
    </w:p>
    <w:p>
      <w:pPr>
        <w:spacing w:after="80" w:line="290" w:lineRule="auto"/>
        <w:numPr>
          <w:ilvl w:val="0"/>
          <w:numId w:val="10"/>
        </w:numPr>
      </w:pPr>
      <w:r>
        <w:t>Inputs, outputs, and generation modes;</w:t>
      </w:r>
    </w:p>
    <w:p>
      <w:pPr>
        <w:spacing w:after="80" w:line="290" w:lineRule="auto"/>
        <w:numPr>
          <w:ilvl w:val="0"/>
          <w:numId w:val="10"/>
        </w:numPr>
      </w:pPr>
      <w:r>
        <w:t>Whether the model contains a multimodal tower, per-layer sliding windows, or special state.</w:t>
      </w:r>
    </w:p>
    <w:p>
      <w:pPr/>
      <w:r>
        <w:t>Similar names do not imply architectural compatibility. A similar implementation is only a template; it does not replace inspection of the configuration, module hierarchy, and checkpoint weight keys.</w:t>
      </w:r>
    </w:p>
    <w:p>
      <w:pPr/>
      <w:r>
        <w:t xml:space="preserve">If no suitable template exists, migrate from Hugging Face’s </w:t>
      </w:r>
      <w:r>
        <w:rPr>
          <w:rFonts w:ascii="Consolas" w:hAnsi="Consolas" w:eastAsia="Microsoft YaHei"/>
          <w:color w:val="1F4D78"/>
          <w:sz w:val="19"/>
          <w:shd w:fill="EEF2F6"/>
        </w:rPr>
        <w:t>modeling_*.py</w:t>
      </w:r>
      <w:r>
        <w:t xml:space="preserve">. During migration, preserve the original copyright and license headers. After confirming dependencies, remove training paths that are unnecessary for inference, such as </w:t>
      </w:r>
      <w:r>
        <w:rPr>
          <w:rFonts w:ascii="Consolas" w:hAnsi="Consolas" w:eastAsia="Microsoft YaHei"/>
          <w:color w:val="1F4D78"/>
          <w:sz w:val="19"/>
          <w:shd w:fill="EEF2F6"/>
        </w:rPr>
        <w:t>loss</w:t>
      </w:r>
      <w:r>
        <w:t xml:space="preserve">, </w:t>
      </w:r>
      <w:r>
        <w:rPr>
          <w:rFonts w:ascii="Consolas" w:hAnsi="Consolas" w:eastAsia="Microsoft YaHei"/>
          <w:color w:val="1F4D78"/>
          <w:sz w:val="19"/>
          <w:shd w:fill="EEF2F6"/>
        </w:rPr>
        <w:t>labels</w:t>
      </w:r>
      <w:r>
        <w:t>, and gradient checkpointing.</w:t>
      </w:r>
    </w:p>
    <w:p>
      <w:pPr>
        <w:pStyle w:val="Heading2"/>
      </w:pPr>
      <w:r>
        <w:t>Five Stages Form a Dependency Chain</w:t>
      </w:r>
    </w:p>
    <w:p>
      <w:pPr/>
      <w:r>
        <w:t>The following diagram provides a map of the entire article. It is useful to examine the complete pipeline first because interface adaptation, parallel layout, and weight loading are not independent changes: each preceding stage directly constrains how the next stage can be implemented.</w:t>
      </w:r>
    </w:p>
    <w:p>
      <w:pPr>
        <w:keepNext/>
        <w:keepLines/>
        <w:spacing w:before="120" w:after="0"/>
        <w:jc w:val="center"/>
      </w:pPr>
      <w:r>
        <w:drawing>
          <wp:inline xmlns:a="http://schemas.openxmlformats.org/drawingml/2006/main" xmlns:pic="http://schemas.openxmlformats.org/drawingml/2006/picture">
            <wp:extent cx="5943600" cy="3342114"/>
            <wp:docPr id="2" name="Picture 2" descr="PPT page 4: Five-stage model integration workflow" title="PPT page 4: Five-stage model integration workflow"/>
            <wp:cNvGraphicFramePr>
              <a:graphicFrameLocks noChangeAspect="1"/>
            </wp:cNvGraphicFramePr>
            <a:graphic>
              <a:graphicData uri="http://schemas.openxmlformats.org/drawingml/2006/picture">
                <pic:pic>
                  <pic:nvPicPr>
                    <pic:cNvPr id="0" name="slide-04.png"/>
                    <pic:cNvPicPr/>
                  </pic:nvPicPr>
                  <pic:blipFill>
                    <a:blip r:embed="rId14"/>
                    <a:stretch>
                      <a:fillRect/>
                    </a:stretch>
                  </pic:blipFill>
                  <pic:spPr>
                    <a:xfrm>
                      <a:off x="0" y="0"/>
                      <a:ext cx="5943600" cy="3342114"/>
                    </a:xfrm>
                    <a:prstGeom prst="rect"/>
                  </pic:spPr>
                </pic:pic>
              </a:graphicData>
            </a:graphic>
          </wp:inline>
        </w:drawing>
      </w:r>
    </w:p>
    <w:p>
      <w:pPr/>
      <w:r>
        <w:rPr>
          <w:i/>
        </w:rPr>
        <w:t>Figure 2: The five-stage model integration workflow. Source: PPT page 4.</w:t>
      </w:r>
    </w:p>
    <w:p>
      <w:pPr/>
      <w:r>
        <w:t>The solid lines from left to right represent the primary dependencies: the runtime interface determines how the model is constructed and executed, parallel layers change the physical organization of parameters, and the new parameter organization determines how checkpoint weights must be written.</w:t>
      </w:r>
    </w:p>
    <w:p>
      <w:pPr/>
      <w:r>
        <w:t xml:space="preserve">The reverse dashed lines indicate that development is not a strictly waterfall process. For example, if names cannot be mapped reliably while designing </w:t>
      </w:r>
      <w:r>
        <w:rPr>
          <w:rFonts w:ascii="Consolas" w:hAnsi="Consolas" w:eastAsia="Microsoft YaHei"/>
          <w:color w:val="1F4D78"/>
          <w:sz w:val="19"/>
          <w:shd w:fill="EEF2F6"/>
        </w:rPr>
        <w:t>load_weights</w:t>
      </w:r>
      <w:r>
        <w:t>, the module hierarchy or parallel parameter names may need to be revised.</w:t>
      </w:r>
    </w:p>
    <w:p>
      <w:pPr/>
      <w:r>
        <w:t>A verification sequence that better isolates failures is:</w:t>
      </w:r>
    </w:p>
    <w:p>
      <w:pPr/>
      <w:r>
        <w:t>```text</w:t>
      </w:r>
    </w:p>
    <w:p>
      <w:pPr/>
      <w:r>
        <w:t>The model can be constructed</w:t>
      </w:r>
    </w:p>
    <w:p>
      <w:pPr/>
      <w:r>
        <w:t>→ Single-GPU weights can be loaded</w:t>
      </w:r>
    </w:p>
    <w:p>
      <w:pPr/>
      <w:r>
        <w:t>→ Single-GPU forward can execute</w:t>
      </w:r>
    </w:p>
    <w:p>
      <w:pPr/>
      <w:r>
        <w:t>→ Introduce tensor parallelism</w:t>
      </w:r>
    </w:p>
    <w:p>
      <w:pPr/>
      <w:r>
        <w:t>→ Complete registration</w:t>
      </w:r>
    </w:p>
    <w:p>
      <w:pPr/>
      <w:r>
        <w:t>→ Compare real behavior</w:t>
      </w:r>
    </w:p>
    <w:p>
      <w:pPr/>
      <w:r>
        <w:t>```</w:t>
      </w:r>
    </w:p>
    <w:p>
      <w:pPr/>
      <w:r>
        <w:t xml:space="preserve">If tensor parallelism is enabled before single-GPU </w:t>
      </w:r>
      <w:r>
        <w:rPr>
          <w:rFonts w:ascii="Consolas" w:hAnsi="Consolas" w:eastAsia="Microsoft YaHei"/>
          <w:color w:val="1F4D78"/>
          <w:sz w:val="19"/>
          <w:shd w:fill="EEF2F6"/>
        </w:rPr>
        <w:t>forward</w:t>
      </w:r>
      <w:r>
        <w:t xml:space="preserve"> works, one failure may simultaneously involve input shapes, parameter sharding, and cross-GPU communication. Establishing a single-GPU baseline first makes it easier to narrow multi-GPU issues down to layout and synchronization paths.</w:t>
      </w:r>
    </w:p>
    <w:p>
      <w:pPr>
        <w:pStyle w:val="Heading1"/>
      </w:pPr>
      <w:r>
        <w:t xml:space="preserve">2. Entering the Runtime: </w:t>
      </w:r>
      <w:r>
        <w:rPr>
          <w:rFonts w:ascii="Consolas" w:hAnsi="Consolas" w:eastAsia="Microsoft YaHei"/>
          <w:color w:val="1F4D78"/>
          <w:sz w:val="19"/>
          <w:shd w:fill="EEF2F6"/>
        </w:rPr>
        <w:t>prefix</w:t>
      </w:r>
      <w:r>
        <w:t xml:space="preserve"> and the Flattened Token Interface</w:t>
      </w:r>
    </w:p>
    <w:p>
      <w:pPr/>
      <w:r>
        <w:t>Similar model architectures do not imply identical runtime contracts. Before entering vLLM, at least two questions must be answered:</w:t>
      </w:r>
    </w:p>
    <w:p>
      <w:pPr>
        <w:spacing w:after="80" w:line="290" w:lineRule="auto"/>
        <w:numPr>
          <w:ilvl w:val="0"/>
          <w:numId w:val="12"/>
        </w:numPr>
      </w:pPr>
      <w:r>
        <w:t>How does every internal module obtain a stable and unique identity?</w:t>
      </w:r>
    </w:p>
    <w:p>
      <w:pPr>
        <w:spacing w:after="80" w:line="290" w:lineRule="auto"/>
        <w:numPr>
          <w:ilvl w:val="0"/>
          <w:numId w:val="12"/>
        </w:numPr>
      </w:pPr>
      <w:r>
        <w:t>How does the model consume the flattened token stream supplied by the scheduler?</w:t>
      </w:r>
    </w:p>
    <w:p>
      <w:pPr/>
      <w:r>
        <w:t xml:space="preserve">The former is connected through </w:t>
      </w:r>
      <w:r>
        <w:rPr>
          <w:rFonts w:ascii="Consolas" w:hAnsi="Consolas" w:eastAsia="Microsoft YaHei"/>
          <w:color w:val="1F4D78"/>
          <w:sz w:val="19"/>
          <w:shd w:fill="EEF2F6"/>
        </w:rPr>
        <w:t>prefix</w:t>
      </w:r>
      <w:r>
        <w:t xml:space="preserve">, while the latter is primarily reflected in </w:t>
      </w:r>
      <w:r>
        <w:rPr>
          <w:rFonts w:ascii="Consolas" w:hAnsi="Consolas" w:eastAsia="Microsoft YaHei"/>
          <w:color w:val="1F4D78"/>
          <w:sz w:val="19"/>
          <w:shd w:fill="EEF2F6"/>
        </w:rPr>
        <w:t>embed_input_ids</w:t>
      </w:r>
      <w:r>
        <w:t xml:space="preserve">, </w:t>
      </w:r>
      <w:r>
        <w:rPr>
          <w:rFonts w:ascii="Consolas" w:hAnsi="Consolas" w:eastAsia="Microsoft YaHei"/>
          <w:color w:val="1F4D78"/>
          <w:sz w:val="19"/>
          <w:shd w:fill="EEF2F6"/>
        </w:rPr>
        <w:t>forward</w:t>
      </w:r>
      <w:r>
        <w:t xml:space="preserve">, and vLLM </w:t>
      </w:r>
      <w:r>
        <w:rPr>
          <w:rFonts w:ascii="Consolas" w:hAnsi="Consolas" w:eastAsia="Microsoft YaHei"/>
          <w:color w:val="1F4D78"/>
          <w:sz w:val="19"/>
          <w:shd w:fill="EEF2F6"/>
        </w:rPr>
        <w:t>Attention</w:t>
      </w:r>
      <w:r>
        <w:t>.</w:t>
      </w:r>
    </w:p>
    <w:p>
      <w:pPr>
        <w:pStyle w:val="Heading2"/>
      </w:pPr>
      <w:r>
        <w:rPr>
          <w:rFonts w:ascii="Consolas" w:hAnsi="Consolas" w:eastAsia="Microsoft YaHei"/>
          <w:color w:val="1F4D78"/>
          <w:sz w:val="19"/>
          <w:shd w:fill="EEF2F6"/>
        </w:rPr>
        <w:t>prefix</w:t>
      </w:r>
      <w:r>
        <w:t xml:space="preserve"> Is a Module’s Coordinate in the Naming Tree</w:t>
      </w:r>
    </w:p>
    <w:p>
      <w:pPr/>
      <w:r>
        <w:rPr>
          <w:rFonts w:ascii="Consolas" w:hAnsi="Consolas" w:eastAsia="Microsoft YaHei"/>
          <w:color w:val="1F4D78"/>
          <w:sz w:val="19"/>
          <w:shd w:fill="EEF2F6"/>
        </w:rPr>
        <w:t>prefix</w:t>
      </w:r>
      <w:r>
        <w:t xml:space="preserve"> is the hierarchical name received when an internal module is constructed. It should generally align with the module’s full path in </w:t>
      </w:r>
      <w:r>
        <w:rPr>
          <w:rFonts w:ascii="Consolas" w:hAnsi="Consolas" w:eastAsia="Microsoft YaHei"/>
          <w:color w:val="1F4D78"/>
          <w:sz w:val="19"/>
          <w:shd w:fill="EEF2F6"/>
        </w:rPr>
        <w:t>state_dict</w:t>
      </w:r>
      <w:r>
        <w:t xml:space="preserve">. It is used to form the fully qualified registration name of </w:t>
      </w:r>
      <w:r>
        <w:rPr>
          <w:rFonts w:ascii="Consolas" w:hAnsi="Consolas" w:eastAsia="Microsoft YaHei"/>
          <w:color w:val="1F4D78"/>
          <w:sz w:val="19"/>
          <w:shd w:fill="EEF2F6"/>
        </w:rPr>
        <w:t>Attention</w:t>
      </w:r>
      <w:r>
        <w:t xml:space="preserve"> and may also participate in quantization configuration matching.</w:t>
      </w:r>
    </w:p>
    <w:p>
      <w:pPr/>
      <w:r>
        <w:t>It is useful to examine the module tree first because whether a local name is correct depends on its complete propagation path from the top level to the current node.</w:t>
      </w:r>
    </w:p>
    <w:p>
      <w:pPr>
        <w:keepNext/>
        <w:keepLines/>
        <w:spacing w:before="120" w:after="0"/>
        <w:jc w:val="center"/>
      </w:pPr>
      <w:r>
        <w:drawing>
          <wp:inline xmlns:a="http://schemas.openxmlformats.org/drawingml/2006/main" xmlns:pic="http://schemas.openxmlformats.org/drawingml/2006/picture">
            <wp:extent cx="5943600" cy="3342114"/>
            <wp:docPr id="3" name="Picture 3" descr="PPT page 6: Prefix propagation through the module tree" title="PPT page 6: Prefix propagation through the module tree"/>
            <wp:cNvGraphicFramePr>
              <a:graphicFrameLocks noChangeAspect="1"/>
            </wp:cNvGraphicFramePr>
            <a:graphic>
              <a:graphicData uri="http://schemas.openxmlformats.org/drawingml/2006/picture">
                <pic:pic>
                  <pic:nvPicPr>
                    <pic:cNvPr id="0" name="slide-06.png"/>
                    <pic:cNvPicPr/>
                  </pic:nvPicPr>
                  <pic:blipFill>
                    <a:blip r:embed="rId15"/>
                    <a:stretch>
                      <a:fillRect/>
                    </a:stretch>
                  </pic:blipFill>
                  <pic:spPr>
                    <a:xfrm>
                      <a:off x="0" y="0"/>
                      <a:ext cx="5943600" cy="3342114"/>
                    </a:xfrm>
                    <a:prstGeom prst="rect"/>
                  </pic:spPr>
                </pic:pic>
              </a:graphicData>
            </a:graphic>
          </wp:inline>
        </w:drawing>
      </w:r>
    </w:p>
    <w:p>
      <w:pPr/>
      <w:r>
        <w:rPr>
          <w:i/>
        </w:rPr>
        <w:t>Figure 3: `prefix` propagation through the module tree. Source: PPT page 6.</w:t>
      </w:r>
    </w:p>
    <w:p>
      <w:pPr/>
      <w:r>
        <w:t xml:space="preserve">The solid lines from </w:t>
      </w:r>
      <w:r>
        <w:rPr>
          <w:rFonts w:ascii="Consolas" w:hAnsi="Consolas" w:eastAsia="Microsoft YaHei"/>
          <w:color w:val="1F4D78"/>
          <w:sz w:val="19"/>
          <w:shd w:fill="EEF2F6"/>
        </w:rPr>
        <w:t>model</w:t>
      </w:r>
      <w:r>
        <w:t xml:space="preserve"> to </w:t>
      </w:r>
      <w:r>
        <w:rPr>
          <w:rFonts w:ascii="Consolas" w:hAnsi="Consolas" w:eastAsia="Microsoft YaHei"/>
          <w:color w:val="1F4D78"/>
          <w:sz w:val="19"/>
          <w:shd w:fill="EEF2F6"/>
        </w:rPr>
        <w:t>model.layers.0.self_attn</w:t>
      </w:r>
      <w:r>
        <w:t xml:space="preserve"> represent the construction hierarchy. The dashed lines to </w:t>
      </w:r>
      <w:r>
        <w:rPr>
          <w:rFonts w:ascii="Consolas" w:hAnsi="Consolas" w:eastAsia="Microsoft YaHei"/>
          <w:color w:val="1F4D78"/>
          <w:sz w:val="19"/>
          <w:shd w:fill="EEF2F6"/>
        </w:rPr>
        <w:t>state_dict</w:t>
      </w:r>
      <w:r>
        <w:t>, the quantization configuration, and the registry represent the different runtime responsibilities carried by the same name.</w:t>
      </w:r>
    </w:p>
    <w:p>
      <w:pPr/>
      <w:r>
        <w:t>A minimal naming tree can be written as:</w:t>
      </w:r>
    </w:p>
    <w:p>
      <w:pPr/>
      <w:r>
        <w:t>```text</w:t>
      </w:r>
    </w:p>
    <w:p>
      <w:pPr/>
      <w:r>
        <w:t>model</w:t>
      </w:r>
    </w:p>
    <w:p>
      <w:pPr/>
      <w:r>
        <w:t>└── model.layers.0</w:t>
      </w:r>
    </w:p>
    <w:p>
      <w:pPr/>
      <w:r>
        <w:t>├── model.layers.0.self_attn</w:t>
      </w:r>
    </w:p>
    <w:p>
      <w:pPr/>
      <w:r>
        <w:t>└── model.layers.0.mlp</w:t>
      </w:r>
    </w:p>
    <w:p>
      <w:pPr/>
      <w:r>
        <w:t>```</w:t>
      </w:r>
    </w:p>
    <w:p>
      <w:pPr/>
      <w:r>
        <w:t xml:space="preserve">If layer 0 and layer 1 incorrectly share </w:t>
      </w:r>
      <w:r>
        <w:rPr>
          <w:rFonts w:ascii="Consolas" w:hAnsi="Consolas" w:eastAsia="Microsoft YaHei"/>
          <w:color w:val="1F4D78"/>
          <w:sz w:val="19"/>
          <w:shd w:fill="EEF2F6"/>
        </w:rPr>
        <w:t>model.self_attn</w:t>
      </w:r>
      <w:r>
        <w:t xml:space="preserve">, two different </w:t>
      </w:r>
      <w:r>
        <w:rPr>
          <w:rFonts w:ascii="Consolas" w:hAnsi="Consolas" w:eastAsia="Microsoft YaHei"/>
          <w:color w:val="1F4D78"/>
          <w:sz w:val="19"/>
          <w:shd w:fill="EEF2F6"/>
        </w:rPr>
        <w:t>Attention</w:t>
      </w:r>
      <w:r>
        <w:t xml:space="preserve"> modules will receive the same registration name. The correct approach is to preserve the actual hierarchy:</w:t>
      </w:r>
    </w:p>
    <w:p>
      <w:pPr/>
      <w:r>
        <w:t>```text</w:t>
      </w:r>
    </w:p>
    <w:p>
      <w:pPr/>
      <w:r>
        <w:t>model.layers.0.self_attn</w:t>
      </w:r>
    </w:p>
    <w:p>
      <w:pPr/>
      <w:r>
        <w:t>model.layers.1.self_attn</w:t>
      </w:r>
    </w:p>
    <w:p>
      <w:pPr/>
      <w:r>
        <w:t>```</w:t>
      </w:r>
    </w:p>
    <w:p>
      <w:pPr/>
      <w:r>
        <w:t>Another possible issue is a divergence between the runtime naming tree and the checkpoint weight tree:</w:t>
      </w:r>
    </w:p>
    <w:p>
      <w:pPr/>
      <w:r>
        <w:t>```text</w:t>
      </w:r>
    </w:p>
    <w:p>
      <w:pPr/>
      <w:r>
        <w:t>Runtime:    model.layers.0.self_attn</w:t>
      </w:r>
    </w:p>
    <w:p>
      <w:pPr/>
      <w:r>
        <w:t>Checkpoint: model.decoder.layers.0.self_attn</w:t>
      </w:r>
    </w:p>
    <w:p>
      <w:pPr/>
      <w:r>
        <w:t>```</w:t>
      </w:r>
    </w:p>
    <w:p>
      <w:pPr/>
      <w:r>
        <w:t>The two may refer to similar structures, but their fully qualified names are inconsistent, creating ambiguity in weight mapping and quantization configuration matching.</w:t>
      </w:r>
    </w:p>
    <w:p>
      <w:pPr/>
      <w:r>
        <w:t xml:space="preserve">The constructor code in the source material only demonstrates name propagation. It does not fully show how some </w:t>
      </w:r>
      <w:r>
        <w:rPr>
          <w:rFonts w:ascii="Consolas" w:hAnsi="Consolas" w:eastAsia="Microsoft YaHei"/>
          <w:color w:val="1F4D78"/>
          <w:sz w:val="19"/>
          <w:shd w:fill="EEF2F6"/>
        </w:rPr>
        <w:t>vllm_config</w:t>
      </w:r>
      <w:r>
        <w:t xml:space="preserve"> values are passed, and concatenating an empty </w:t>
      </w:r>
      <w:r>
        <w:rPr>
          <w:rFonts w:ascii="Consolas" w:hAnsi="Consolas" w:eastAsia="Microsoft YaHei"/>
          <w:color w:val="1F4D78"/>
          <w:sz w:val="19"/>
          <w:shd w:fill="EEF2F6"/>
        </w:rPr>
        <w:t>prefix</w:t>
      </w:r>
      <w:r>
        <w:t xml:space="preserve"> may introduce a leading period. The specific helper functions and constructor signatures must be verified against the target version.</w:t>
      </w:r>
    </w:p>
    <w:p>
      <w:pPr>
        <w:pStyle w:val="Heading2"/>
      </w:pPr>
      <w:r>
        <w:t>From Two-Dimensional Batches to a Flattened Token Stream</w:t>
      </w:r>
    </w:p>
    <w:p>
      <w:pPr/>
      <w:r>
        <w:t>The naming tree solves “how the runtime identifies modules,” while the input interface solves “how scheduling results enter the model.”</w:t>
      </w:r>
    </w:p>
    <w:p>
      <w:pPr/>
      <w:r>
        <w:t xml:space="preserve">The following comparison diagram presents three confirmed changes together: adding an embedding entry point, flattening token and position inputs, and removing training paths while calling vLLL </w:t>
      </w:r>
      <w:r>
        <w:rPr>
          <w:rFonts w:ascii="Consolas" w:hAnsi="Consolas" w:eastAsia="Microsoft YaHei"/>
          <w:color w:val="1F4D78"/>
          <w:sz w:val="19"/>
          <w:shd w:fill="EEF2F6"/>
        </w:rPr>
        <w:t>Attention</w:t>
      </w:r>
      <w:r>
        <w:t>.</w:t>
      </w:r>
    </w:p>
    <w:p>
      <w:pPr>
        <w:keepNext/>
        <w:keepLines/>
        <w:spacing w:before="120" w:after="0"/>
        <w:jc w:val="center"/>
      </w:pPr>
      <w:r>
        <w:drawing>
          <wp:inline xmlns:a="http://schemas.openxmlformats.org/drawingml/2006/main" xmlns:pic="http://schemas.openxmlformats.org/drawingml/2006/picture">
            <wp:extent cx="5943600" cy="3342114"/>
            <wp:docPr id="4" name="Picture 4" descr="PPT page 8: Rewriting forward and adding embed_input_ids" title="PPT page 8: Rewriting forward and adding embed_input_ids"/>
            <wp:cNvGraphicFramePr>
              <a:graphicFrameLocks noChangeAspect="1"/>
            </wp:cNvGraphicFramePr>
            <a:graphic>
              <a:graphicData uri="http://schemas.openxmlformats.org/drawingml/2006/picture">
                <pic:pic>
                  <pic:nvPicPr>
                    <pic:cNvPr id="0" name="slide-08.png"/>
                    <pic:cNvPicPr/>
                  </pic:nvPicPr>
                  <pic:blipFill>
                    <a:blip r:embed="rId16"/>
                    <a:stretch>
                      <a:fillRect/>
                    </a:stretch>
                  </pic:blipFill>
                  <pic:spPr>
                    <a:xfrm>
                      <a:off x="0" y="0"/>
                      <a:ext cx="5943600" cy="3342114"/>
                    </a:xfrm>
                    <a:prstGeom prst="rect"/>
                  </pic:spPr>
                </pic:pic>
              </a:graphicData>
            </a:graphic>
          </wp:inline>
        </w:drawing>
      </w:r>
    </w:p>
    <w:p>
      <w:pPr/>
      <w:r>
        <w:rPr>
          <w:i/>
        </w:rPr>
        <w:t>Figure 4: Changes to the Hugging Face and vLLM model entry points. Source: PPT page 8.</w:t>
      </w:r>
    </w:p>
    <w:p>
      <w:pPr/>
      <w:r>
        <w:t xml:space="preserve">The left side shows the common two-dimensional batch entry point in Hugging Face, while the right side shows vLLM’s flattened token entry point for scheduler output. </w:t>
      </w:r>
      <w:r>
        <w:rPr>
          <w:rFonts w:ascii="Consolas" w:hAnsi="Consolas" w:eastAsia="Microsoft YaHei"/>
          <w:color w:val="1F4D78"/>
          <w:sz w:val="19"/>
          <w:shd w:fill="EEF2F6"/>
        </w:rPr>
        <w:t>embed_input_ids</w:t>
      </w:r>
      <w:r>
        <w:t xml:space="preserve"> converts </w:t>
      </w:r>
      <w:r>
        <w:rPr>
          <w:rFonts w:ascii="Consolas" w:hAnsi="Consolas" w:eastAsia="Microsoft YaHei"/>
          <w:color w:val="1F4D78"/>
          <w:sz w:val="19"/>
          <w:shd w:fill="EEF2F6"/>
        </w:rPr>
        <w:t>input_ids</w:t>
      </w:r>
      <w:r>
        <w:t xml:space="preserve"> into text embeddings, after which execution continues through </w:t>
      </w:r>
      <w:r>
        <w:rPr>
          <w:rFonts w:ascii="Consolas" w:hAnsi="Consolas" w:eastAsia="Microsoft YaHei"/>
          <w:color w:val="1F4D78"/>
          <w:sz w:val="19"/>
          <w:shd w:fill="EEF2F6"/>
        </w:rPr>
        <w:t>forward</w:t>
      </w:r>
      <w:r>
        <w:t xml:space="preserve"> and vLLM </w:t>
      </w:r>
      <w:r>
        <w:rPr>
          <w:rFonts w:ascii="Consolas" w:hAnsi="Consolas" w:eastAsia="Microsoft YaHei"/>
          <w:color w:val="1F4D78"/>
          <w:sz w:val="19"/>
          <w:shd w:fill="EEF2F6"/>
        </w:rPr>
        <w:t>Attention</w:t>
      </w:r>
      <w:r>
        <w:t>.</w:t>
      </w:r>
    </w:p>
    <w:p>
      <w:pPr/>
      <w:r>
        <w:t>The interface changes explicitly supported by the source material are as follows:</w:t>
      </w:r>
    </w:p>
    <w:tbl>
      <w:tblPr>
        <w:tblStyle w:val="TableGrid"/>
        <w:tblW w:type="dxa" w:w="9360"/>
        <w:jc w:val="left"/>
        <w:tblLayout w:type="fixed"/>
        <w:tblLook w:firstColumn="1" w:firstRow="1" w:lastColumn="0" w:lastRow="0" w:noHBand="0" w:noVBand="1" w:val="04A0"/>
        <w:tblInd w:w="120" w:type="dxa"/>
      </w:tblPr>
      <w:tblGrid>
        <w:gridCol w:w="1966"/>
        <w:gridCol w:w="3697"/>
        <w:gridCol w:w="3697"/>
      </w:tblGrid>
      <w:tr>
        <w:trPr>
          <w:tblHeader w:val="true"/>
        </w:trPr>
        <w:tc>
          <w:tcPr>
            <w:tcW w:type="dxa" w:w="196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Interface</w:t>
            </w:r>
          </w:p>
        </w:tc>
        <w:tc>
          <w:tcPr>
            <w:tcW w:type="dxa" w:w="369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Common Hugging Face form</w:t>
            </w:r>
          </w:p>
        </w:tc>
        <w:tc>
          <w:tcPr>
            <w:tcW w:type="dxa" w:w="369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vLLM integration form</w:t>
            </w:r>
          </w:p>
        </w:tc>
      </w:tr>
      <w:tr>
        <w:tc>
          <w:tcPr>
            <w:tcW w:type="dxa" w:w="1966"/>
            <w:vAlign w:val="center"/>
            <w:tcMar>
              <w:top w:w="80" w:type="dxa"/>
              <w:start w:w="120" w:type="dxa"/>
              <w:bottom w:w="80" w:type="dxa"/>
              <w:end w:w="120" w:type="dxa"/>
            </w:tcMar>
          </w:tcPr>
          <w:p>
            <w:pPr>
              <w:spacing w:before="0" w:after="0" w:line="259" w:lineRule="auto"/>
            </w:pPr>
            <w:r>
              <w:rPr>
                <w:rFonts w:ascii="Calibri" w:hAnsi="Calibri" w:eastAsia="Microsoft YaHei"/>
                <w:sz w:val="18"/>
              </w:rPr>
              <w:t>Token input</w:t>
            </w:r>
          </w:p>
        </w:tc>
        <w:tc>
          <w:tcPr>
            <w:tcW w:type="dxa" w:w="3697"/>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(batch, seq_len)</w:t>
            </w:r>
          </w:p>
        </w:tc>
        <w:tc>
          <w:tcPr>
            <w:tcW w:type="dxa" w:w="3697"/>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(total_tokens,)</w:t>
            </w:r>
          </w:p>
        </w:tc>
      </w:tr>
      <w:tr>
        <w:tc>
          <w:tcPr>
            <w:tcW w:type="dxa" w:w="1966"/>
            <w:vAlign w:val="center"/>
            <w:tcMar>
              <w:top w:w="80" w:type="dxa"/>
              <w:start w:w="120" w:type="dxa"/>
              <w:bottom w:w="80" w:type="dxa"/>
              <w:end w:w="120" w:type="dxa"/>
            </w:tcMar>
          </w:tcPr>
          <w:p>
            <w:pPr>
              <w:spacing w:before="0" w:after="0" w:line="259" w:lineRule="auto"/>
            </w:pPr>
            <w:r>
              <w:rPr>
                <w:rFonts w:ascii="Calibri" w:hAnsi="Calibri" w:eastAsia="Microsoft YaHei"/>
                <w:sz w:val="18"/>
              </w:rPr>
              <w:t>Position input</w:t>
            </w:r>
          </w:p>
        </w:tc>
        <w:tc>
          <w:tcPr>
            <w:tcW w:type="dxa" w:w="3697"/>
            <w:vAlign w:val="center"/>
            <w:tcMar>
              <w:top w:w="80" w:type="dxa"/>
              <w:start w:w="120" w:type="dxa"/>
              <w:bottom w:w="80" w:type="dxa"/>
              <w:end w:w="120" w:type="dxa"/>
            </w:tcMar>
          </w:tcPr>
          <w:p>
            <w:pPr>
              <w:spacing w:before="0" w:after="0" w:line="259" w:lineRule="auto"/>
            </w:pPr>
            <w:r>
              <w:rPr>
                <w:rFonts w:ascii="Calibri" w:hAnsi="Calibri" w:eastAsia="Microsoft YaHei"/>
                <w:sz w:val="18"/>
              </w:rPr>
              <w:t>Organized by batch and sequence</w:t>
            </w:r>
          </w:p>
        </w:tc>
        <w:tc>
          <w:tcPr>
            <w:tcW w:type="dxa" w:w="3697"/>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positions</w:t>
            </w:r>
            <w:r>
              <w:rPr>
                <w:rFonts w:ascii="Calibri" w:hAnsi="Calibri" w:eastAsia="Microsoft YaHei"/>
                <w:sz w:val="18"/>
              </w:rPr>
              <w:t xml:space="preserve"> corresponding to flattened tokens</w:t>
            </w:r>
          </w:p>
        </w:tc>
      </w:tr>
      <w:tr>
        <w:tc>
          <w:tcPr>
            <w:tcW w:type="dxa" w:w="1966"/>
            <w:vAlign w:val="center"/>
            <w:tcMar>
              <w:top w:w="80" w:type="dxa"/>
              <w:start w:w="120" w:type="dxa"/>
              <w:bottom w:w="80" w:type="dxa"/>
              <w:end w:w="120" w:type="dxa"/>
            </w:tcMar>
          </w:tcPr>
          <w:p>
            <w:pPr>
              <w:spacing w:before="0" w:after="0" w:line="259" w:lineRule="auto"/>
            </w:pPr>
            <w:r>
              <w:rPr>
                <w:rFonts w:ascii="Calibri" w:hAnsi="Calibri" w:eastAsia="Microsoft YaHei"/>
                <w:sz w:val="18"/>
              </w:rPr>
              <w:t>Text embedding</w:t>
            </w:r>
          </w:p>
        </w:tc>
        <w:tc>
          <w:tcPr>
            <w:tcW w:type="dxa" w:w="3697"/>
            <w:vAlign w:val="center"/>
            <w:tcMar>
              <w:top w:w="80" w:type="dxa"/>
              <w:start w:w="120" w:type="dxa"/>
              <w:bottom w:w="80" w:type="dxa"/>
              <w:end w:w="120" w:type="dxa"/>
            </w:tcMar>
          </w:tcPr>
          <w:p>
            <w:pPr>
              <w:spacing w:before="0" w:after="0" w:line="259" w:lineRule="auto"/>
            </w:pPr>
            <w:r>
              <w:rPr>
                <w:rFonts w:ascii="Calibri" w:hAnsi="Calibri" w:eastAsia="Microsoft YaHei"/>
                <w:sz w:val="18"/>
              </w:rPr>
              <w:t>May call the internal embedding layer directly</w:t>
            </w:r>
          </w:p>
        </w:tc>
        <w:tc>
          <w:tcPr>
            <w:tcW w:type="dxa" w:w="3697"/>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Provides </w:t>
            </w:r>
            <w:r>
              <w:rPr>
                <w:rFonts w:ascii="Consolas" w:hAnsi="Consolas" w:eastAsia="Microsoft YaHei"/>
                <w:color w:val="1F4D78"/>
                <w:sz w:val="19"/>
                <w:shd w:fill="EEF2F6"/>
              </w:rPr>
              <w:t>embed_input_ids</w:t>
            </w:r>
          </w:p>
        </w:tc>
      </w:tr>
      <w:tr>
        <w:tc>
          <w:tcPr>
            <w:tcW w:type="dxa" w:w="1966"/>
            <w:vAlign w:val="center"/>
            <w:tcMar>
              <w:top w:w="80" w:type="dxa"/>
              <w:start w:w="120" w:type="dxa"/>
              <w:bottom w:w="80" w:type="dxa"/>
              <w:end w:w="120" w:type="dxa"/>
            </w:tcMar>
          </w:tcPr>
          <w:p>
            <w:pPr>
              <w:spacing w:before="0" w:after="0" w:line="259" w:lineRule="auto"/>
            </w:pPr>
            <w:r>
              <w:rPr>
                <w:rFonts w:ascii="Calibri" w:hAnsi="Calibri" w:eastAsia="Microsoft YaHei"/>
                <w:sz w:val="18"/>
              </w:rPr>
              <w:t>Attention</w:t>
            </w:r>
          </w:p>
        </w:tc>
        <w:tc>
          <w:tcPr>
            <w:tcW w:type="dxa" w:w="3697"/>
            <w:vAlign w:val="center"/>
            <w:tcMar>
              <w:top w:w="80" w:type="dxa"/>
              <w:start w:w="120" w:type="dxa"/>
              <w:bottom w:w="80" w:type="dxa"/>
              <w:end w:w="120" w:type="dxa"/>
            </w:tcMar>
          </w:tcPr>
          <w:p>
            <w:pPr>
              <w:spacing w:before="0" w:after="0" w:line="259" w:lineRule="auto"/>
            </w:pPr>
            <w:r>
              <w:rPr>
                <w:rFonts w:ascii="Calibri" w:hAnsi="Calibri" w:eastAsia="Microsoft YaHei"/>
                <w:sz w:val="18"/>
              </w:rPr>
              <w:t>The model’s own implementation</w:t>
            </w:r>
          </w:p>
        </w:tc>
        <w:tc>
          <w:tcPr>
            <w:tcW w:type="dxa" w:w="369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 xml:space="preserve">vLLM </w:t>
            </w:r>
            <w:r>
              <w:rPr>
                <w:rFonts w:ascii="Consolas" w:hAnsi="Consolas" w:eastAsia="Microsoft YaHei"/>
                <w:color w:val="1F4D78"/>
                <w:sz w:val="19"/>
                <w:shd w:fill="EEF2F6"/>
              </w:rPr>
              <w:t>Attention</w:t>
            </w:r>
          </w:p>
        </w:tc>
      </w:tr>
      <w:tr>
        <w:tc>
          <w:tcPr>
            <w:tcW w:type="dxa" w:w="1966"/>
            <w:vAlign w:val="center"/>
            <w:tcMar>
              <w:top w:w="80" w:type="dxa"/>
              <w:start w:w="120" w:type="dxa"/>
              <w:bottom w:w="80" w:type="dxa"/>
              <w:end w:w="120" w:type="dxa"/>
            </w:tcMar>
          </w:tcPr>
          <w:p>
            <w:pPr>
              <w:spacing w:before="0" w:after="0" w:line="259" w:lineRule="auto"/>
            </w:pPr>
            <w:r>
              <w:rPr>
                <w:rFonts w:ascii="Calibri" w:hAnsi="Calibri" w:eastAsia="Microsoft YaHei"/>
                <w:sz w:val="18"/>
              </w:rPr>
              <w:t>Training logic</w:t>
            </w:r>
          </w:p>
        </w:tc>
        <w:tc>
          <w:tcPr>
            <w:tcW w:type="dxa" w:w="3697"/>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May include </w:t>
            </w:r>
            <w:r>
              <w:rPr>
                <w:rFonts w:ascii="Consolas" w:hAnsi="Consolas" w:eastAsia="Microsoft YaHei"/>
                <w:color w:val="1F4D78"/>
                <w:sz w:val="19"/>
                <w:shd w:fill="EEF2F6"/>
              </w:rPr>
              <w:t>labels</w:t>
            </w:r>
            <w:r>
              <w:rPr>
                <w:rFonts w:ascii="Calibri" w:hAnsi="Calibri" w:eastAsia="Microsoft YaHei"/>
                <w:sz w:val="18"/>
              </w:rPr>
              <w:t xml:space="preserve"> and loss</w:t>
            </w:r>
          </w:p>
        </w:tc>
        <w:tc>
          <w:tcPr>
            <w:tcW w:type="dxa" w:w="3697"/>
            <w:vAlign w:val="center"/>
            <w:tcMar>
              <w:top w:w="80" w:type="dxa"/>
              <w:start w:w="120" w:type="dxa"/>
              <w:bottom w:w="80" w:type="dxa"/>
              <w:end w:w="120" w:type="dxa"/>
            </w:tcMar>
          </w:tcPr>
          <w:p>
            <w:pPr>
              <w:spacing w:before="0" w:after="0" w:line="259" w:lineRule="auto"/>
            </w:pPr>
            <w:r>
              <w:rPr>
                <w:rFonts w:ascii="Calibri" w:hAnsi="Calibri" w:eastAsia="Microsoft YaHei"/>
                <w:sz w:val="18"/>
              </w:rPr>
              <w:t>Remove branches unnecessary for inference</w:t>
            </w:r>
          </w:p>
        </w:tc>
      </w:tr>
    </w:tbl>
    <w:p>
      <w:pPr>
        <w:spacing w:after="40"/>
      </w:pPr>
    </w:p>
    <w:p>
      <w:pPr/>
      <w:r>
        <w:t xml:space="preserve">Flattening does not mean that request boundaries or length constraints disappear. It only means that this information is no longer represented through an explicit </w:t>
      </w:r>
      <w:r>
        <w:rPr>
          <w:rFonts w:ascii="Consolas" w:hAnsi="Consolas" w:eastAsia="Microsoft YaHei"/>
          <w:color w:val="1F4D78"/>
          <w:sz w:val="19"/>
          <w:shd w:fill="EEF2F6"/>
        </w:rPr>
        <w:t>batch × max_seq</w:t>
      </w:r>
      <w:r>
        <w:t xml:space="preserve"> input dimension.</w:t>
      </w:r>
    </w:p>
    <w:p>
      <w:pPr/>
      <w:r>
        <w:t>The source material does not elaborate on request-boundary metadata or provide complete shapes for all optional inputs and outputs. Therefore, the one-dimensional entry-point convention cannot be extrapolated to every tensor in the model.</w:t>
      </w:r>
    </w:p>
    <w:p>
      <w:pPr/>
      <w:r>
        <w:t xml:space="preserve">The completion criteria for this section are that names propagate through the actual module tree, </w:t>
      </w:r>
      <w:r>
        <w:rPr>
          <w:rFonts w:ascii="Consolas" w:hAnsi="Consolas" w:eastAsia="Microsoft YaHei"/>
          <w:color w:val="1F4D78"/>
          <w:sz w:val="19"/>
          <w:shd w:fill="EEF2F6"/>
        </w:rPr>
        <w:t>Attention</w:t>
      </w:r>
      <w:r>
        <w:t xml:space="preserve"> registration names do not conflict, weight paths can be cross-checked, and the model can accept flattened token inputs. Tensor parallelism can then be introduced so that the new variables are primarily limited to sharding and communication.</w:t>
      </w:r>
    </w:p>
    <w:p>
      <w:pPr>
        <w:pStyle w:val="Heading1"/>
      </w:pPr>
      <w:r>
        <w:t>3. Scaling from One GPU to Multiple GPUs: Selecting Parallel Layers by Data Layout</w:t>
      </w:r>
    </w:p>
    <w:p>
      <w:pPr/>
      <w:r>
        <w:t>Tensor Parallelism (TP) addresses scenarios in which model weights cannot fit on a single GPU. It shards parameters along the input, output, or vocabulary dimension of the weights, allowing multiple GPUs to jointly execute a forward pass.</w:t>
      </w:r>
    </w:p>
    <w:p>
      <w:pPr/>
      <w:r>
        <w:t xml:space="preserve">When selecting a parallel layer, it is not enough to check whether the original layer is a </w:t>
      </w:r>
      <w:r>
        <w:rPr>
          <w:rFonts w:ascii="Consolas" w:hAnsi="Consolas" w:eastAsia="Microsoft YaHei"/>
          <w:color w:val="1F4D78"/>
          <w:sz w:val="19"/>
          <w:shd w:fill="EEF2F6"/>
        </w:rPr>
        <w:t>Linear</w:t>
      </w:r>
      <w:r>
        <w:t>. Four factors must also be tracked:</w:t>
      </w:r>
    </w:p>
    <w:p>
      <w:pPr>
        <w:spacing w:after="80" w:line="290" w:lineRule="auto"/>
        <w:numPr>
          <w:ilvl w:val="0"/>
          <w:numId w:val="10"/>
        </w:numPr>
      </w:pPr>
      <w:r>
        <w:t>Along which dimension the weight is sharded;</w:t>
      </w:r>
    </w:p>
    <w:p>
      <w:pPr>
        <w:spacing w:after="80" w:line="290" w:lineRule="auto"/>
        <w:numPr>
          <w:ilvl w:val="0"/>
          <w:numId w:val="10"/>
        </w:numPr>
      </w:pPr>
      <w:r>
        <w:t>Whether the current device produces the complete output or a local shard;</w:t>
      </w:r>
    </w:p>
    <w:p>
      <w:pPr>
        <w:spacing w:after="80" w:line="290" w:lineRule="auto"/>
        <w:numPr>
          <w:ilvl w:val="0"/>
          <w:numId w:val="10"/>
        </w:numPr>
      </w:pPr>
      <w:r>
        <w:t>Whether the next layer can directly consume that layout;</w:t>
      </w:r>
    </w:p>
    <w:p>
      <w:pPr>
        <w:spacing w:after="80" w:line="290" w:lineRule="auto"/>
        <w:numPr>
          <w:ilvl w:val="0"/>
          <w:numId w:val="10"/>
        </w:numPr>
      </w:pPr>
      <w:r>
        <w:t>Where cross-GPU synchronization is required.</w:t>
      </w:r>
    </w:p>
    <w:p>
      <w:pPr/>
      <w:r>
        <w:t>The following table serves as an index for this section. Parameter organization, communication behavior, and use cases are presented together to prevent implementations from being replaced mechanically based only on layer names.</w:t>
      </w:r>
    </w:p>
    <w:tbl>
      <w:tblPr>
        <w:tblStyle w:val="TableGrid"/>
        <w:tblW w:type="dxa" w:w="9360"/>
        <w:jc w:val="left"/>
        <w:tblLayout w:type="fixed"/>
        <w:tblLook w:firstColumn="1" w:firstRow="1" w:lastColumn="0" w:lastRow="0" w:noHBand="0" w:noVBand="1" w:val="04A0"/>
        <w:tblInd w:w="120" w:type="dxa"/>
      </w:tblPr>
      <w:tblGrid>
        <w:gridCol w:w="1948"/>
        <w:gridCol w:w="2471"/>
        <w:gridCol w:w="2471"/>
        <w:gridCol w:w="2470"/>
      </w:tblGrid>
      <w:tr>
        <w:trPr>
          <w:tblHeader w:val="true"/>
        </w:trPr>
        <w:tc>
          <w:tcPr>
            <w:tcW w:type="dxa" w:w="194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Parallel layer</w:t>
            </w:r>
          </w:p>
        </w:tc>
        <w:tc>
          <w:tcPr>
            <w:tcW w:type="dxa" w:w="247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Confirmed parameter organization</w:t>
            </w:r>
          </w:p>
        </w:tc>
        <w:tc>
          <w:tcPr>
            <w:tcW w:type="dxa" w:w="247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Confirmed communication behavior</w:t>
            </w:r>
          </w:p>
        </w:tc>
        <w:tc>
          <w:tcPr>
            <w:tcW w:type="dxa" w:w="247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Typical use</w:t>
            </w:r>
          </w:p>
        </w:tc>
      </w:tr>
      <w:tr>
        <w:tc>
          <w:tcPr>
            <w:tcW w:type="dxa" w:w="1948"/>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ColumnParallelLinear</w:t>
            </w:r>
          </w:p>
        </w:tc>
        <w:tc>
          <w:tcPr>
            <w:tcW w:type="dxa" w:w="2471"/>
            <w:vAlign w:val="center"/>
            <w:tcMar>
              <w:top w:w="80" w:type="dxa"/>
              <w:start w:w="120" w:type="dxa"/>
              <w:bottom w:w="80" w:type="dxa"/>
              <w:end w:w="120" w:type="dxa"/>
            </w:tcMar>
          </w:tcPr>
          <w:p>
            <w:pPr>
              <w:spacing w:before="0" w:after="0" w:line="259" w:lineRule="auto"/>
            </w:pPr>
            <w:r>
              <w:rPr>
                <w:rFonts w:ascii="Calibri" w:hAnsi="Calibri" w:eastAsia="Microsoft YaHei"/>
                <w:sz w:val="18"/>
              </w:rPr>
              <w:t>Sharded along the output dimension</w:t>
            </w:r>
          </w:p>
        </w:tc>
        <w:tc>
          <w:tcPr>
            <w:tcW w:type="dxa" w:w="2471"/>
            <w:vAlign w:val="center"/>
            <w:tcMar>
              <w:top w:w="80" w:type="dxa"/>
              <w:start w:w="120" w:type="dxa"/>
              <w:bottom w:w="80" w:type="dxa"/>
              <w:end w:w="120" w:type="dxa"/>
            </w:tcMar>
          </w:tcPr>
          <w:p>
            <w:pPr>
              <w:spacing w:before="0" w:after="0" w:line="259" w:lineRule="auto"/>
            </w:pPr>
            <w:r>
              <w:rPr>
                <w:rFonts w:ascii="Calibri" w:hAnsi="Calibri" w:eastAsia="Microsoft YaHei"/>
                <w:sz w:val="18"/>
              </w:rPr>
              <w:t>The current layer retains column-distributed output</w:t>
            </w:r>
          </w:p>
        </w:tc>
        <w:tc>
          <w:tcPr>
            <w:tcW w:type="dxa" w:w="2470"/>
            <w:vAlign w:val="center"/>
            <w:tcMar>
              <w:top w:w="80" w:type="dxa"/>
              <w:start w:w="120" w:type="dxa"/>
              <w:bottom w:w="80" w:type="dxa"/>
              <w:end w:w="120" w:type="dxa"/>
            </w:tcMar>
          </w:tcPr>
          <w:p>
            <w:pPr>
              <w:spacing w:before="0" w:after="0" w:line="259" w:lineRule="auto"/>
            </w:pPr>
            <w:r>
              <w:rPr>
                <w:rFonts w:ascii="Calibri" w:hAnsi="Calibri" w:eastAsia="Microsoft YaHei"/>
                <w:sz w:val="18"/>
              </w:rPr>
              <w:t>Projections that must be sharded along the output dimension</w:t>
            </w:r>
          </w:p>
        </w:tc>
      </w:tr>
      <w:tr>
        <w:tc>
          <w:tcPr>
            <w:tcW w:type="dxa" w:w="1948"/>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RowParallelLinear</w:t>
            </w:r>
          </w:p>
        </w:tc>
        <w:tc>
          <w:tcPr>
            <w:tcW w:type="dxa" w:w="2471"/>
            <w:vAlign w:val="center"/>
            <w:tcMar>
              <w:top w:w="80" w:type="dxa"/>
              <w:start w:w="120" w:type="dxa"/>
              <w:bottom w:w="80" w:type="dxa"/>
              <w:end w:w="120" w:type="dxa"/>
            </w:tcMar>
          </w:tcPr>
          <w:p>
            <w:pPr>
              <w:spacing w:before="0" w:after="0" w:line="259" w:lineRule="auto"/>
            </w:pPr>
            <w:r>
              <w:rPr>
                <w:rFonts w:ascii="Calibri" w:hAnsi="Calibri" w:eastAsia="Microsoft YaHei"/>
                <w:sz w:val="18"/>
              </w:rPr>
              <w:t>Sharded along the input dimension</w:t>
            </w:r>
          </w:p>
        </w:tc>
        <w:tc>
          <w:tcPr>
            <w:tcW w:type="dxa" w:w="2471"/>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Executes </w:t>
            </w:r>
            <w:r>
              <w:rPr>
                <w:rFonts w:ascii="Consolas" w:hAnsi="Consolas" w:eastAsia="Microsoft YaHei"/>
                <w:color w:val="1F4D78"/>
                <w:sz w:val="19"/>
                <w:shd w:fill="EEF2F6"/>
              </w:rPr>
              <w:t>all-reduce</w:t>
            </w:r>
            <w:r>
              <w:rPr>
                <w:rFonts w:ascii="Calibri" w:hAnsi="Calibri" w:eastAsia="Microsoft YaHei"/>
                <w:sz w:val="18"/>
              </w:rPr>
              <w:t xml:space="preserve"> after computation</w:t>
            </w:r>
          </w:p>
        </w:tc>
        <w:tc>
          <w:tcPr>
            <w:tcW w:type="dxa" w:w="2470"/>
            <w:vAlign w:val="center"/>
            <w:tcMar>
              <w:top w:w="80" w:type="dxa"/>
              <w:start w:w="120" w:type="dxa"/>
              <w:bottom w:w="80" w:type="dxa"/>
              <w:end w:w="120" w:type="dxa"/>
            </w:tcMar>
          </w:tcPr>
          <w:p>
            <w:pPr>
              <w:spacing w:before="0" w:after="0" w:line="259" w:lineRule="auto"/>
            </w:pPr>
            <w:r>
              <w:rPr>
                <w:rFonts w:ascii="Calibri" w:hAnsi="Calibri" w:eastAsia="Microsoft YaHei"/>
                <w:sz w:val="18"/>
              </w:rPr>
              <w:t>The second FFN layer and O-Proj</w:t>
            </w:r>
          </w:p>
        </w:tc>
      </w:tr>
      <w:tr>
        <w:tc>
          <w:tcPr>
            <w:tcW w:type="dxa" w:w="1948"/>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MergedColumnParallelLinear</w:t>
            </w:r>
          </w:p>
        </w:tc>
        <w:tc>
          <w:tcPr>
            <w:tcW w:type="dxa" w:w="2471"/>
            <w:vAlign w:val="center"/>
            <w:tcMar>
              <w:top w:w="80" w:type="dxa"/>
              <w:start w:w="120" w:type="dxa"/>
              <w:bottom w:w="80" w:type="dxa"/>
              <w:end w:w="120" w:type="dxa"/>
            </w:tcMar>
          </w:tcPr>
          <w:p>
            <w:pPr>
              <w:spacing w:before="0" w:after="0" w:line="259" w:lineRule="auto"/>
            </w:pPr>
            <w:r>
              <w:rPr>
                <w:rFonts w:ascii="Calibri" w:hAnsi="Calibri" w:eastAsia="Microsoft YaHei"/>
                <w:sz w:val="18"/>
              </w:rPr>
              <w:t>Merges multiple column-parallel projections</w:t>
            </w:r>
          </w:p>
        </w:tc>
        <w:tc>
          <w:tcPr>
            <w:tcW w:type="dxa" w:w="2471"/>
            <w:vAlign w:val="center"/>
            <w:tcMar>
              <w:top w:w="80" w:type="dxa"/>
              <w:start w:w="120" w:type="dxa"/>
              <w:bottom w:w="80" w:type="dxa"/>
              <w:end w:w="120" w:type="dxa"/>
            </w:tcMar>
          </w:tcPr>
          <w:p>
            <w:pPr>
              <w:spacing w:before="0" w:after="0" w:line="259" w:lineRule="auto"/>
            </w:pPr>
            <w:r>
              <w:rPr>
                <w:rFonts w:ascii="Calibri" w:hAnsi="Calibri" w:eastAsia="Microsoft YaHei"/>
                <w:sz w:val="18"/>
              </w:rPr>
              <w:t>The current layer does not synchronize immediately</w:t>
            </w:r>
          </w:p>
        </w:tc>
        <w:tc>
          <w:tcPr>
            <w:tcW w:type="dxa" w:w="2470"/>
            <w:vAlign w:val="center"/>
            <w:tcMar>
              <w:top w:w="80" w:type="dxa"/>
              <w:start w:w="120" w:type="dxa"/>
              <w:bottom w:w="80" w:type="dxa"/>
              <w:end w:w="120" w:type="dxa"/>
            </w:tcMar>
          </w:tcPr>
          <w:p>
            <w:pPr>
              <w:spacing w:before="0" w:after="0" w:line="259" w:lineRule="auto"/>
            </w:pPr>
            <w:r>
              <w:rPr>
                <w:rFonts w:ascii="Calibri" w:hAnsi="Calibri" w:eastAsia="Microsoft YaHei"/>
                <w:sz w:val="18"/>
              </w:rPr>
              <w:t>Structurally compatible SwiGLU gate and up projections</w:t>
            </w:r>
          </w:p>
        </w:tc>
      </w:tr>
      <w:tr>
        <w:tc>
          <w:tcPr>
            <w:tcW w:type="dxa" w:w="1948"/>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QKVParallelLinear</w:t>
            </w:r>
          </w:p>
        </w:tc>
        <w:tc>
          <w:tcPr>
            <w:tcW w:type="dxa" w:w="2471"/>
            <w:vAlign w:val="center"/>
            <w:tcMar>
              <w:top w:w="80" w:type="dxa"/>
              <w:start w:w="120" w:type="dxa"/>
              <w:bottom w:w="80" w:type="dxa"/>
              <w:end w:w="120" w:type="dxa"/>
            </w:tcMar>
          </w:tcPr>
          <w:p>
            <w:pPr>
              <w:spacing w:before="0" w:after="0" w:line="259" w:lineRule="auto"/>
            </w:pPr>
            <w:r>
              <w:rPr>
                <w:rFonts w:ascii="Calibri" w:hAnsi="Calibri" w:eastAsia="Microsoft YaHei"/>
                <w:sz w:val="18"/>
              </w:rPr>
              <w:t>Merges Q, K, and V before parallel sharding</w:t>
            </w:r>
          </w:p>
        </w:tc>
        <w:tc>
          <w:tcPr>
            <w:tcW w:type="dxa" w:w="2471"/>
            <w:vAlign w:val="center"/>
            <w:tcMar>
              <w:top w:w="80" w:type="dxa"/>
              <w:start w:w="120" w:type="dxa"/>
              <w:bottom w:w="80" w:type="dxa"/>
              <w:end w:w="120" w:type="dxa"/>
            </w:tcMar>
          </w:tcPr>
          <w:p>
            <w:pPr>
              <w:spacing w:before="0" w:after="0" w:line="259" w:lineRule="auto"/>
            </w:pPr>
            <w:r>
              <w:rPr>
                <w:rFonts w:ascii="Calibri" w:hAnsi="Calibri" w:eastAsia="Microsoft YaHei"/>
                <w:sz w:val="18"/>
              </w:rPr>
              <w:t>The current layer does not synchronize immediately; KV-head replication may be involved</w:t>
            </w:r>
          </w:p>
        </w:tc>
        <w:tc>
          <w:tcPr>
            <w:tcW w:type="dxa" w:w="247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Q/K/V projections</w:t>
            </w:r>
          </w:p>
        </w:tc>
      </w:tr>
      <w:tr>
        <w:tc>
          <w:tcPr>
            <w:tcW w:type="dxa" w:w="1948"/>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VocabParallelEmbedding</w:t>
            </w:r>
          </w:p>
        </w:tc>
        <w:tc>
          <w:tcPr>
            <w:tcW w:type="dxa" w:w="2471"/>
            <w:vAlign w:val="center"/>
            <w:tcMar>
              <w:top w:w="80" w:type="dxa"/>
              <w:start w:w="120" w:type="dxa"/>
              <w:bottom w:w="80" w:type="dxa"/>
              <w:end w:w="120" w:type="dxa"/>
            </w:tcMar>
          </w:tcPr>
          <w:p>
            <w:pPr>
              <w:spacing w:before="0" w:after="0" w:line="259" w:lineRule="auto"/>
            </w:pPr>
            <w:r>
              <w:rPr>
                <w:rFonts w:ascii="Calibri" w:hAnsi="Calibri" w:eastAsia="Microsoft YaHei"/>
                <w:sz w:val="18"/>
              </w:rPr>
              <w:t>Sharded along the vocabulary dimension</w:t>
            </w:r>
          </w:p>
        </w:tc>
        <w:tc>
          <w:tcPr>
            <w:tcW w:type="dxa" w:w="2471"/>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Executes </w:t>
            </w:r>
            <w:r>
              <w:rPr>
                <w:rFonts w:ascii="Consolas" w:hAnsi="Consolas" w:eastAsia="Microsoft YaHei"/>
                <w:color w:val="1F4D78"/>
                <w:sz w:val="19"/>
                <w:shd w:fill="EEF2F6"/>
              </w:rPr>
              <w:t>all-reduce</w:t>
            </w:r>
          </w:p>
        </w:tc>
        <w:tc>
          <w:tcPr>
            <w:tcW w:type="dxa" w:w="247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Input Embedding</w:t>
            </w:r>
          </w:p>
        </w:tc>
      </w:tr>
      <w:tr>
        <w:tc>
          <w:tcPr>
            <w:tcW w:type="dxa" w:w="1948"/>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ParallelLMHead</w:t>
            </w:r>
          </w:p>
        </w:tc>
        <w:tc>
          <w:tcPr>
            <w:tcW w:type="dxa" w:w="2471"/>
            <w:vAlign w:val="center"/>
            <w:tcMar>
              <w:top w:w="80" w:type="dxa"/>
              <w:start w:w="120" w:type="dxa"/>
              <w:bottom w:w="80" w:type="dxa"/>
              <w:end w:w="120" w:type="dxa"/>
            </w:tcMar>
          </w:tcPr>
          <w:p>
            <w:pPr>
              <w:spacing w:before="0" w:after="0" w:line="259" w:lineRule="auto"/>
            </w:pPr>
            <w:r>
              <w:rPr>
                <w:rFonts w:ascii="Calibri" w:hAnsi="Calibri" w:eastAsia="Microsoft YaHei"/>
                <w:sz w:val="18"/>
              </w:rPr>
              <w:t>Replaces the LM Head</w:t>
            </w:r>
          </w:p>
        </w:tc>
        <w:tc>
          <w:tcPr>
            <w:tcW w:type="dxa" w:w="2471"/>
            <w:vAlign w:val="center"/>
            <w:tcMar>
              <w:top w:w="80" w:type="dxa"/>
              <w:start w:w="120" w:type="dxa"/>
              <w:bottom w:w="80" w:type="dxa"/>
              <w:end w:w="120" w:type="dxa"/>
            </w:tcMar>
          </w:tcPr>
          <w:p>
            <w:pPr>
              <w:spacing w:before="0" w:after="0" w:line="259" w:lineRule="auto"/>
            </w:pPr>
            <w:r>
              <w:rPr>
                <w:rFonts w:ascii="Calibri" w:hAnsi="Calibri" w:eastAsia="Microsoft YaHei"/>
                <w:sz w:val="18"/>
              </w:rPr>
              <w:t>The specific layout and communication behavior are not confirmed in the fact ledger</w:t>
            </w:r>
          </w:p>
        </w:tc>
        <w:tc>
          <w:tcPr>
            <w:tcW w:type="dxa" w:w="247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Output projection</w:t>
            </w:r>
          </w:p>
        </w:tc>
      </w:tr>
    </w:tbl>
    <w:p>
      <w:pPr>
        <w:spacing w:after="40"/>
      </w:pPr>
    </w:p>
    <w:p>
      <w:pPr/>
      <w:r>
        <w:rPr>
          <w:i/>
        </w:rPr>
        <w:t>Table 1: Sharding, communication, and uses of parallel layers. Reconstructed from PPT page 10.</w:t>
      </w:r>
    </w:p>
    <w:p>
      <w:pPr/>
      <w:r>
        <w:t xml:space="preserve">“Does not synchronize immediately” in the table means only that the current layer retains distributed output. It does not imply that the subsequent inference path performs no communication. The source material also does not explain the specific distributed layout of </w:t>
      </w:r>
      <w:r>
        <w:rPr>
          <w:rFonts w:ascii="Consolas" w:hAnsi="Consolas" w:eastAsia="Microsoft YaHei"/>
          <w:color w:val="1F4D78"/>
          <w:sz w:val="19"/>
          <w:shd w:fill="EEF2F6"/>
        </w:rPr>
        <w:t>ParallelLMHead</w:t>
      </w:r>
      <w:r>
        <w:t>, so it cannot be inferred from other vocabulary-parallel components.</w:t>
      </w:r>
    </w:p>
    <w:p>
      <w:pPr>
        <w:pStyle w:val="Heading2"/>
      </w:pPr>
      <w:r>
        <w:t>Why Column Parallelism and Row Parallelism Are Often Adjacent</w:t>
      </w:r>
    </w:p>
    <w:p>
      <w:pPr/>
      <w:r>
        <w:t>Let a linear layer be:</w:t>
      </w:r>
    </w:p>
    <w:p>
      <w:pPr/>
      <w:r>
        <w:rPr>
          <w:rFonts w:ascii="Consolas" w:hAnsi="Consolas" w:eastAsia="Microsoft YaHei"/>
          <w:color w:val="1F4D78"/>
          <w:sz w:val="19"/>
          <w:shd w:fill="EEF2F6"/>
        </w:rPr>
        <w:t>Y = XW</w:t>
      </w:r>
    </w:p>
    <w:p>
      <w:pPr/>
      <w:r>
        <w:t xml:space="preserve">where the input dimension of </w:t>
      </w:r>
      <w:r>
        <w:rPr>
          <w:rFonts w:ascii="Consolas" w:hAnsi="Consolas" w:eastAsia="Microsoft YaHei"/>
          <w:color w:val="1F4D78"/>
          <w:sz w:val="19"/>
          <w:shd w:fill="EEF2F6"/>
        </w:rPr>
        <w:t>W</w:t>
      </w:r>
      <w:r>
        <w:t xml:space="preserve"> is </w:t>
      </w:r>
      <w:r>
        <w:rPr>
          <w:rFonts w:ascii="Consolas" w:hAnsi="Consolas" w:eastAsia="Microsoft YaHei"/>
          <w:color w:val="1F4D78"/>
          <w:sz w:val="19"/>
          <w:shd w:fill="EEF2F6"/>
        </w:rPr>
        <w:t>d_in</w:t>
      </w:r>
      <w:r>
        <w:t xml:space="preserve"> and its output dimension is </w:t>
      </w:r>
      <w:r>
        <w:rPr>
          <w:rFonts w:ascii="Consolas" w:hAnsi="Consolas" w:eastAsia="Microsoft YaHei"/>
          <w:color w:val="1F4D78"/>
          <w:sz w:val="19"/>
          <w:shd w:fill="EEF2F6"/>
        </w:rPr>
        <w:t>d_out</w:t>
      </w:r>
      <w:r>
        <w:t>.</w:t>
      </w:r>
    </w:p>
    <w:p>
      <w:pPr/>
      <w:r>
        <w:t xml:space="preserve">If two GPUs shard </w:t>
      </w:r>
      <w:r>
        <w:rPr>
          <w:rFonts w:ascii="Consolas" w:hAnsi="Consolas" w:eastAsia="Microsoft YaHei"/>
          <w:color w:val="1F4D78"/>
          <w:sz w:val="19"/>
          <w:shd w:fill="EEF2F6"/>
        </w:rPr>
        <w:t>W</w:t>
      </w:r>
      <w:r>
        <w:t xml:space="preserve"> along the output dimension, the weight can be represented as:</w:t>
      </w:r>
    </w:p>
    <w:p>
      <w:pPr/>
      <w:r>
        <w:rPr>
          <w:rFonts w:ascii="Consolas" w:hAnsi="Consolas" w:eastAsia="Microsoft YaHei"/>
          <w:color w:val="1F4D78"/>
          <w:sz w:val="19"/>
          <w:shd w:fill="EEF2F6"/>
        </w:rPr>
        <w:t>W = [W₀ W₁]</w:t>
      </w:r>
    </w:p>
    <w:p>
      <w:pPr/>
      <w:r>
        <w:t xml:space="preserve">The two GPUs produce </w:t>
      </w:r>
      <w:r>
        <w:rPr>
          <w:rFonts w:ascii="Consolas" w:hAnsi="Consolas" w:eastAsia="Microsoft YaHei"/>
          <w:color w:val="1F4D78"/>
          <w:sz w:val="19"/>
          <w:shd w:fill="EEF2F6"/>
        </w:rPr>
        <w:t>XW₀</w:t>
      </w:r>
      <w:r>
        <w:t xml:space="preserve"> and </w:t>
      </w:r>
      <w:r>
        <w:rPr>
          <w:rFonts w:ascii="Consolas" w:hAnsi="Consolas" w:eastAsia="Microsoft YaHei"/>
          <w:color w:val="1F4D78"/>
          <w:sz w:val="19"/>
          <w:shd w:fill="EEF2F6"/>
        </w:rPr>
        <w:t>XW₁</w:t>
      </w:r>
      <w:r>
        <w:t>, respectively, which together form an output distributed along the output dimension. As long as the next operation can continue consuming this sharded representation, the current layer does not need to aggregate it immediately.</w:t>
      </w:r>
    </w:p>
    <w:p>
      <w:pPr/>
      <w:r>
        <w:t>If the weight is sharded along the input dimension, the input is correspondingly divided into:</w:t>
      </w:r>
    </w:p>
    <w:p>
      <w:pPr/>
      <w:r>
        <w:rPr>
          <w:rFonts w:ascii="Consolas" w:hAnsi="Consolas" w:eastAsia="Microsoft YaHei"/>
          <w:color w:val="1F4D78"/>
          <w:sz w:val="19"/>
          <w:shd w:fill="EEF2F6"/>
        </w:rPr>
        <w:t>X = [X₀ X₁]</w:t>
      </w:r>
    </w:p>
    <w:p>
      <w:pPr/>
      <w:r>
        <w:t xml:space="preserve">The two GPUs compute </w:t>
      </w:r>
      <w:r>
        <w:rPr>
          <w:rFonts w:ascii="Consolas" w:hAnsi="Consolas" w:eastAsia="Microsoft YaHei"/>
          <w:color w:val="1F4D78"/>
          <w:sz w:val="19"/>
          <w:shd w:fill="EEF2F6"/>
        </w:rPr>
        <w:t>X₀W₀</w:t>
      </w:r>
      <w:r>
        <w:t xml:space="preserve"> and </w:t>
      </w:r>
      <w:r>
        <w:rPr>
          <w:rFonts w:ascii="Consolas" w:hAnsi="Consolas" w:eastAsia="Microsoft YaHei"/>
          <w:color w:val="1F4D78"/>
          <w:sz w:val="19"/>
          <w:shd w:fill="EEF2F6"/>
        </w:rPr>
        <w:t>X₁W₁</w:t>
      </w:r>
      <w:r>
        <w:t xml:space="preserve">, respectively. These are only partial sums of the complete result, so they must be added using </w:t>
      </w:r>
      <w:r>
        <w:rPr>
          <w:rFonts w:ascii="Consolas" w:hAnsi="Consolas" w:eastAsia="Microsoft YaHei"/>
          <w:color w:val="1F4D78"/>
          <w:sz w:val="19"/>
          <w:shd w:fill="EEF2F6"/>
        </w:rPr>
        <w:t>all-reduce</w:t>
      </w:r>
      <w:r>
        <w:t>.</w:t>
      </w:r>
    </w:p>
    <w:p>
      <w:pPr/>
      <w:r>
        <w:t>This produces a typical data flow:</w:t>
      </w:r>
    </w:p>
    <w:p>
      <w:pPr/>
      <w:r>
        <w:t>```text</w:t>
      </w:r>
    </w:p>
    <w:p>
      <w:pPr/>
      <w:r>
        <w:t>QKV or FFN up projection</w:t>
      </w:r>
    </w:p>
    <w:p>
      <w:pPr/>
      <w:r>
        <w:t>→ Produce shards along the output dimension</w:t>
      </w:r>
    </w:p>
    <w:p>
      <w:pPr/>
      <w:r>
        <w:t>→ Intermediate computation continues to consume the shards</w:t>
      </w:r>
    </w:p>
    <w:p>
      <w:pPr/>
      <w:r>
        <w:t>→ O-Proj or FFN down projection consumes shards along the input dimension</w:t>
      </w:r>
    </w:p>
    <w:p>
      <w:pPr/>
      <w:r>
        <w:t>→ all-reduce combines the partial sums</w:t>
      </w:r>
    </w:p>
    <w:p>
      <w:pPr/>
      <w:r>
        <w:t>```</w:t>
      </w:r>
    </w:p>
    <w:p>
      <w:pPr/>
      <w:r>
        <w:t>The communication point is determined by the data layout and cannot be inferred solely from the module name.</w:t>
      </w:r>
    </w:p>
    <w:p>
      <w:pPr/>
      <w:r>
        <w:rPr>
          <w:rFonts w:ascii="Consolas" w:hAnsi="Consolas" w:eastAsia="Microsoft YaHei"/>
          <w:color w:val="1F4D78"/>
          <w:sz w:val="19"/>
          <w:shd w:fill="EEF2F6"/>
        </w:rPr>
        <w:t>QKVParallelLinear</w:t>
      </w:r>
      <w:r>
        <w:t xml:space="preserve"> merges the Q, K, and V projections before sharding them. The source material notes that KV-head replication may be involved, but it does not specify the triggering conditions, the relationship between TP size and the number of KV heads, or the exact tensor shapes on each GPU.</w:t>
      </w:r>
    </w:p>
    <w:p>
      <w:pPr/>
      <w:r>
        <w:rPr>
          <w:rFonts w:ascii="Consolas" w:hAnsi="Consolas" w:eastAsia="Microsoft YaHei"/>
          <w:color w:val="1F4D78"/>
          <w:sz w:val="19"/>
          <w:shd w:fill="EEF2F6"/>
        </w:rPr>
        <w:t>MergedColumnParallelLinear</w:t>
      </w:r>
      <w:r>
        <w:t xml:space="preserve"> can merge the gate and up projections of SwiGLU, provided that the original model’s architecture and weight organization match this form. It is not a mechanical replacement for the first layer of every FFN.</w:t>
      </w:r>
    </w:p>
    <w:p>
      <w:pPr/>
      <w:r>
        <w:t xml:space="preserve">The source material also states that parallel Linear layers support </w:t>
      </w:r>
      <w:r>
        <w:rPr>
          <w:rFonts w:ascii="Consolas" w:hAnsi="Consolas" w:eastAsia="Microsoft YaHei"/>
          <w:color w:val="1F4D78"/>
          <w:sz w:val="19"/>
          <w:shd w:fill="EEF2F6"/>
        </w:rPr>
        <w:t>linear_method</w:t>
      </w:r>
      <w:r>
        <w:t>, through which a quantization scheme can be injected. This conclusion applies only to parallel Linear layers and cannot be extended to Embeddings, processors, or other model components.</w:t>
      </w:r>
    </w:p>
    <w:p>
      <w:pPr/>
      <w:r>
        <w:t xml:space="preserve">Once TP is introduced, both the names and the physical organization of model parameters change. </w:t>
      </w:r>
      <w:r>
        <w:rPr>
          <w:rFonts w:ascii="Consolas" w:hAnsi="Consolas" w:eastAsia="Microsoft YaHei"/>
          <w:color w:val="1F4D78"/>
          <w:sz w:val="19"/>
          <w:shd w:fill="EEF2F6"/>
        </w:rPr>
        <w:t>load_weights</w:t>
      </w:r>
      <w:r>
        <w:t xml:space="preserve"> must be updated accordingly; otherwise, projections stored separately in the checkpoint cannot be loaded correctly into merged parameters.</w:t>
      </w:r>
    </w:p>
    <w:p>
      <w:pPr>
        <w:pStyle w:val="Heading1"/>
      </w:pPr>
      <w:r>
        <w:t>4. Aligning the Checkpoint with Merged Parameters</w:t>
      </w:r>
    </w:p>
    <w:p>
      <w:pPr/>
      <w:r>
        <w:t xml:space="preserve">The core responsibility of </w:t>
      </w:r>
      <w:r>
        <w:rPr>
          <w:rFonts w:ascii="Consolas" w:hAnsi="Consolas" w:eastAsia="Microsoft YaHei"/>
          <w:color w:val="1F4D78"/>
          <w:sz w:val="19"/>
          <w:shd w:fill="EEF2F6"/>
        </w:rPr>
        <w:t>load_weights</w:t>
      </w:r>
      <w:r>
        <w:t xml:space="preserve"> is not to open the checkpoint but to establish an exact mapping among three elements:</w:t>
      </w:r>
    </w:p>
    <w:p>
      <w:pPr/>
      <w:r>
        <w:t>```text</w:t>
      </w:r>
    </w:p>
    <w:p>
      <w:pPr/>
      <w:r>
        <w:t>Checkpoint parameter name</w:t>
      </w:r>
    </w:p>
    <w:p>
      <w:pPr/>
      <w:r>
        <w:t>↔ Current model parameter name</w:t>
      </w:r>
    </w:p>
    <w:p>
      <w:pPr/>
      <w:r>
        <w:t>↔ Logical shard within the merged parameter</w:t>
      </w:r>
    </w:p>
    <w:p>
      <w:pPr/>
      <w:r>
        <w:t>```</w:t>
      </w:r>
    </w:p>
    <w:p>
      <w:pPr/>
      <w:r>
        <w:t>Here, a shard refers to a logical partition within the target parameter, not a checkpoint file shard on disk.</w:t>
      </w:r>
    </w:p>
    <w:p>
      <w:pPr/>
      <w:r>
        <w:t xml:space="preserve">The following three-stage diagram separates name matching from tensor writing: </w:t>
      </w:r>
      <w:r>
        <w:rPr>
          <w:rFonts w:ascii="Consolas" w:hAnsi="Consolas" w:eastAsia="Microsoft YaHei"/>
          <w:color w:val="1F4D78"/>
          <w:sz w:val="19"/>
          <w:shd w:fill="EEF2F6"/>
        </w:rPr>
        <w:t>load_weights</w:t>
      </w:r>
      <w:r>
        <w:t xml:space="preserve"> selects the first two stages, while the target parameter’s own loader executes the final stage.</w:t>
      </w:r>
    </w:p>
    <w:p>
      <w:pPr>
        <w:keepNext/>
        <w:keepLines/>
        <w:spacing w:before="120" w:after="0"/>
        <w:jc w:val="center"/>
      </w:pPr>
      <w:r>
        <w:drawing>
          <wp:inline xmlns:a="http://schemas.openxmlformats.org/drawingml/2006/main" xmlns:pic="http://schemas.openxmlformats.org/drawingml/2006/picture">
            <wp:extent cx="5943600" cy="3342114"/>
            <wp:docPr id="5" name="Picture 5" descr="PPT page 11: load_weights and stacked mapping" title="PPT page 11: load_weights and stacked mapping"/>
            <wp:cNvGraphicFramePr>
              <a:graphicFrameLocks noChangeAspect="1"/>
            </wp:cNvGraphicFramePr>
            <a:graphic>
              <a:graphicData uri="http://schemas.openxmlformats.org/drawingml/2006/picture">
                <pic:pic>
                  <pic:nvPicPr>
                    <pic:cNvPr id="0" name="slide-11.png"/>
                    <pic:cNvPicPr/>
                  </pic:nvPicPr>
                  <pic:blipFill>
                    <a:blip r:embed="rId17"/>
                    <a:stretch>
                      <a:fillRect/>
                    </a:stretch>
                  </pic:blipFill>
                  <pic:spPr>
                    <a:xfrm>
                      <a:off x="0" y="0"/>
                      <a:ext cx="5943600" cy="3342114"/>
                    </a:xfrm>
                    <a:prstGeom prst="rect"/>
                  </pic:spPr>
                </pic:pic>
              </a:graphicData>
            </a:graphic>
          </wp:inline>
        </w:drawing>
      </w:r>
    </w:p>
    <w:p>
      <w:pPr/>
      <w:r>
        <w:rPr>
          <w:i/>
        </w:rPr>
        <w:t>Figure 5: `load_weights` and stacked mapping. Source: PPT page 11.</w:t>
      </w:r>
    </w:p>
    <w:p>
      <w:pPr/>
      <w:r>
        <w:t xml:space="preserve">The three nodes on the left are the Q, K, and V weights stored separately in the checkpoint. The rules in the middle select both the target parameter name and the logical shard. The </w:t>
      </w:r>
      <w:r>
        <w:rPr>
          <w:rFonts w:ascii="Consolas" w:hAnsi="Consolas" w:eastAsia="Microsoft YaHei"/>
          <w:color w:val="1F4D78"/>
          <w:sz w:val="19"/>
          <w:shd w:fill="EEF2F6"/>
        </w:rPr>
        <w:t>weight_loader</w:t>
      </w:r>
      <w:r>
        <w:t xml:space="preserve"> on the right is then responsible for writing each tensor into the correct location.</w:t>
      </w:r>
    </w:p>
    <w:p>
      <w:pPr/>
      <w:r>
        <w:t>For example, suppose the source weight name is:</w:t>
      </w:r>
    </w:p>
    <w:p>
      <w:pPr/>
      <w:r>
        <w:t>```text</w:t>
      </w:r>
    </w:p>
    <w:p>
      <w:pPr/>
      <w:r>
        <w:t>model.layers.0.self_attn.k_proj.weight</w:t>
      </w:r>
    </w:p>
    <w:p>
      <w:pPr/>
      <w:r>
        <w:t>```</w:t>
      </w:r>
    </w:p>
    <w:p>
      <w:pPr/>
      <w:r>
        <w:t>The mapping rule converts the target name to:</w:t>
      </w:r>
    </w:p>
    <w:p>
      <w:pPr/>
      <w:r>
        <w:t>```text</w:t>
      </w:r>
    </w:p>
    <w:p>
      <w:pPr/>
      <w:r>
        <w:t>model.layers.0.self_attn.qkv_proj.weight</w:t>
      </w:r>
    </w:p>
    <w:p>
      <w:pPr/>
      <w:r>
        <w:t>```</w:t>
      </w:r>
    </w:p>
    <w:p>
      <w:pPr/>
      <w:r>
        <w:t xml:space="preserve">It then calls the target parameter’s </w:t>
      </w:r>
      <w:r>
        <w:rPr>
          <w:rFonts w:ascii="Consolas" w:hAnsi="Consolas" w:eastAsia="Microsoft YaHei"/>
          <w:color w:val="1F4D78"/>
          <w:sz w:val="19"/>
          <w:shd w:fill="EEF2F6"/>
        </w:rPr>
        <w:t>weight_loader</w:t>
      </w:r>
      <w:r>
        <w:t xml:space="preserve"> with </w:t>
      </w:r>
      <w:r>
        <w:rPr>
          <w:rFonts w:ascii="Consolas" w:hAnsi="Consolas" w:eastAsia="Microsoft YaHei"/>
          <w:color w:val="1F4D78"/>
          <w:sz w:val="19"/>
          <w:shd w:fill="EEF2F6"/>
        </w:rPr>
        <w:t>shard_id="k"</w:t>
      </w:r>
      <w:r>
        <w:t>.</w:t>
      </w:r>
    </w:p>
    <w:p>
      <w:pPr/>
      <w:r>
        <w:t>The source material does not explain the write axis, offset, target tensor layout, or multi-GPU storage method. These behaviors are encapsulated in the target loader and cannot be inferred from names alone.</w:t>
      </w:r>
    </w:p>
    <w:p>
      <w:pPr>
        <w:pStyle w:val="Heading2"/>
      </w:pPr>
      <w:r>
        <w:t>Branching Between Merged and Ordinary Parameters</w:t>
      </w:r>
    </w:p>
    <w:p>
      <w:pPr/>
      <w:r>
        <w:t xml:space="preserve">The example uses Python </w:t>
      </w:r>
      <w:r>
        <w:rPr>
          <w:rFonts w:ascii="Consolas" w:hAnsi="Consolas" w:eastAsia="Microsoft YaHei"/>
          <w:color w:val="1F4D78"/>
          <w:sz w:val="19"/>
          <w:shd w:fill="EEF2F6"/>
        </w:rPr>
        <w:t>for-else</w:t>
      </w:r>
      <w:r>
        <w:t xml:space="preserve"> to distinguish two paths. When iterating over an individual checkpoint weight, the state transitions can be summarized as:</w:t>
      </w:r>
    </w:p>
    <w:tbl>
      <w:tblPr>
        <w:tblStyle w:val="TableGrid"/>
        <w:tblW w:type="dxa" w:w="9360"/>
        <w:jc w:val="left"/>
        <w:tblLayout w:type="fixed"/>
        <w:tblLook w:firstColumn="1" w:firstRow="1" w:lastColumn="0" w:lastRow="0" w:noHBand="0" w:noVBand="1" w:val="04A0"/>
        <w:tblInd w:w="120" w:type="dxa"/>
      </w:tblPr>
      <w:tblGrid>
        <w:gridCol w:w="3275"/>
        <w:gridCol w:w="3275"/>
        <w:gridCol w:w="2810"/>
      </w:tblGrid>
      <w:tr>
        <w:trPr>
          <w:tblHeader w:val="true"/>
        </w:trPr>
        <w:tc>
          <w:tcPr>
            <w:tcW w:type="dxa" w:w="327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Decision result</w:t>
            </w:r>
          </w:p>
        </w:tc>
        <w:tc>
          <w:tcPr>
            <w:tcW w:type="dxa" w:w="327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Loading action</w:t>
            </w:r>
          </w:p>
        </w:tc>
        <w:tc>
          <w:tcPr>
            <w:tcW w:type="dxa" w:w="281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Subsequent control flow</w:t>
            </w:r>
          </w:p>
        </w:tc>
      </w:tr>
      <w:tr>
        <w:tc>
          <w:tcPr>
            <w:tcW w:type="dxa" w:w="3275"/>
            <w:vAlign w:val="center"/>
            <w:tcMar>
              <w:top w:w="80" w:type="dxa"/>
              <w:start w:w="120" w:type="dxa"/>
              <w:bottom w:w="80" w:type="dxa"/>
              <w:end w:w="120" w:type="dxa"/>
            </w:tcMar>
          </w:tcPr>
          <w:p>
            <w:pPr>
              <w:spacing w:before="0" w:after="0" w:line="259" w:lineRule="auto"/>
            </w:pPr>
            <w:r>
              <w:rPr>
                <w:rFonts w:ascii="Calibri" w:hAnsi="Calibri" w:eastAsia="Microsoft YaHei"/>
                <w:sz w:val="18"/>
              </w:rPr>
              <w:t>A stacked mapping matches</w:t>
            </w:r>
          </w:p>
        </w:tc>
        <w:tc>
          <w:tcPr>
            <w:tcW w:type="dxa" w:w="3275"/>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Convert the target name and call the target loader with </w:t>
            </w:r>
            <w:r>
              <w:rPr>
                <w:rFonts w:ascii="Consolas" w:hAnsi="Consolas" w:eastAsia="Microsoft YaHei"/>
                <w:color w:val="1F4D78"/>
                <w:sz w:val="19"/>
                <w:shd w:fill="EEF2F6"/>
              </w:rPr>
              <w:t>shard_id</w:t>
            </w:r>
          </w:p>
        </w:tc>
        <w:tc>
          <w:tcPr>
            <w:tcW w:type="dxa" w:w="2810"/>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break</w:t>
            </w:r>
            <w:r>
              <w:rPr>
                <w:rFonts w:ascii="Calibri" w:hAnsi="Calibri" w:eastAsia="Microsoft YaHei"/>
                <w:sz w:val="18"/>
              </w:rPr>
              <w:t>, skipping the ordinary path</w:t>
            </w:r>
          </w:p>
        </w:tc>
      </w:tr>
      <w:tr>
        <w:tc>
          <w:tcPr>
            <w:tcW w:type="dxa" w:w="3275"/>
            <w:vAlign w:val="center"/>
            <w:tcMar>
              <w:top w:w="80" w:type="dxa"/>
              <w:start w:w="120" w:type="dxa"/>
              <w:bottom w:w="80" w:type="dxa"/>
              <w:end w:w="120" w:type="dxa"/>
            </w:tcMar>
          </w:tcPr>
          <w:p>
            <w:pPr>
              <w:spacing w:before="0" w:after="0" w:line="259" w:lineRule="auto"/>
            </w:pPr>
            <w:r>
              <w:rPr>
                <w:rFonts w:ascii="Calibri" w:hAnsi="Calibri" w:eastAsia="Microsoft YaHei"/>
                <w:sz w:val="18"/>
              </w:rPr>
              <w:t>No mapping matches</w:t>
            </w:r>
          </w:p>
        </w:tc>
        <w:tc>
          <w:tcPr>
            <w:tcW w:type="dxa" w:w="3275"/>
            <w:vAlign w:val="center"/>
            <w:tcMar>
              <w:top w:w="80" w:type="dxa"/>
              <w:start w:w="120" w:type="dxa"/>
              <w:bottom w:w="80" w:type="dxa"/>
              <w:end w:w="120" w:type="dxa"/>
            </w:tcMar>
          </w:tcPr>
          <w:p>
            <w:pPr>
              <w:spacing w:before="0" w:after="0" w:line="259" w:lineRule="auto"/>
            </w:pPr>
            <w:r>
              <w:rPr>
                <w:rFonts w:ascii="Calibri" w:hAnsi="Calibri" w:eastAsia="Microsoft YaHei"/>
                <w:sz w:val="18"/>
              </w:rPr>
              <w:t>Look up an ordinary parameter with the same name</w:t>
            </w:r>
          </w:p>
        </w:tc>
        <w:tc>
          <w:tcPr>
            <w:tcW w:type="dxa" w:w="2810"/>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Enter the </w:t>
            </w:r>
            <w:r>
              <w:rPr>
                <w:rFonts w:ascii="Consolas" w:hAnsi="Consolas" w:eastAsia="Microsoft YaHei"/>
                <w:color w:val="1F4D78"/>
                <w:sz w:val="19"/>
                <w:shd w:fill="EEF2F6"/>
              </w:rPr>
              <w:t>else</w:t>
            </w:r>
            <w:r>
              <w:rPr>
                <w:rFonts w:ascii="Calibri" w:hAnsi="Calibri" w:eastAsia="Microsoft YaHei"/>
                <w:sz w:val="18"/>
              </w:rPr>
              <w:t xml:space="preserve"> branch of </w:t>
            </w:r>
            <w:r>
              <w:rPr>
                <w:rFonts w:ascii="Consolas" w:hAnsi="Consolas" w:eastAsia="Microsoft YaHei"/>
                <w:color w:val="1F4D78"/>
                <w:sz w:val="19"/>
                <w:shd w:fill="EEF2F6"/>
              </w:rPr>
              <w:t>for-else</w:t>
            </w:r>
          </w:p>
        </w:tc>
      </w:tr>
      <w:tr>
        <w:tc>
          <w:tcPr>
            <w:tcW w:type="dxa" w:w="3275"/>
            <w:vAlign w:val="center"/>
            <w:tcMar>
              <w:top w:w="80" w:type="dxa"/>
              <w:start w:w="120" w:type="dxa"/>
              <w:bottom w:w="80" w:type="dxa"/>
              <w:end w:w="120" w:type="dxa"/>
            </w:tcMar>
          </w:tcPr>
          <w:p>
            <w:pPr>
              <w:spacing w:before="0" w:after="0" w:line="259" w:lineRule="auto"/>
            </w:pPr>
            <w:r>
              <w:rPr>
                <w:rFonts w:ascii="Calibri" w:hAnsi="Calibri" w:eastAsia="Microsoft YaHei"/>
                <w:sz w:val="18"/>
              </w:rPr>
              <w:t>The ordinary parameter has a specialized loader</w:t>
            </w:r>
          </w:p>
        </w:tc>
        <w:tc>
          <w:tcPr>
            <w:tcW w:type="dxa" w:w="3275"/>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Call the parameter’s own </w:t>
            </w:r>
            <w:r>
              <w:rPr>
                <w:rFonts w:ascii="Consolas" w:hAnsi="Consolas" w:eastAsia="Microsoft YaHei"/>
                <w:color w:val="1F4D78"/>
                <w:sz w:val="19"/>
                <w:shd w:fill="EEF2F6"/>
              </w:rPr>
              <w:t>weight_loader</w:t>
            </w:r>
          </w:p>
        </w:tc>
        <w:tc>
          <w:tcPr>
            <w:tcW w:type="dxa" w:w="2810"/>
            <w:vAlign w:val="center"/>
            <w:tcMar>
              <w:top w:w="80" w:type="dxa"/>
              <w:start w:w="120" w:type="dxa"/>
              <w:bottom w:w="80" w:type="dxa"/>
              <w:end w:w="120" w:type="dxa"/>
            </w:tcMar>
          </w:tcPr>
          <w:p>
            <w:pPr>
              <w:spacing w:before="0" w:after="0" w:line="259" w:lineRule="auto"/>
            </w:pPr>
            <w:r>
              <w:rPr>
                <w:rFonts w:ascii="Calibri" w:hAnsi="Calibri" w:eastAsia="Microsoft YaHei"/>
                <w:sz w:val="18"/>
              </w:rPr>
              <w:t>The current weight is complete</w:t>
            </w:r>
          </w:p>
        </w:tc>
      </w:tr>
      <w:tr>
        <w:tc>
          <w:tcPr>
            <w:tcW w:type="dxa" w:w="3275"/>
            <w:vAlign w:val="center"/>
            <w:tcMar>
              <w:top w:w="80" w:type="dxa"/>
              <w:start w:w="120" w:type="dxa"/>
              <w:bottom w:w="80" w:type="dxa"/>
              <w:end w:w="120" w:type="dxa"/>
            </w:tcMar>
          </w:tcPr>
          <w:p>
            <w:pPr>
              <w:spacing w:before="0" w:after="0" w:line="259" w:lineRule="auto"/>
            </w:pPr>
            <w:r>
              <w:rPr>
                <w:rFonts w:ascii="Calibri" w:hAnsi="Calibri" w:eastAsia="Microsoft YaHei"/>
                <w:sz w:val="18"/>
              </w:rPr>
              <w:t>The ordinary parameter has no specialized loader</w:t>
            </w:r>
          </w:p>
        </w:tc>
        <w:tc>
          <w:tcPr>
            <w:tcW w:type="dxa" w:w="3275"/>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Call </w:t>
            </w:r>
            <w:r>
              <w:rPr>
                <w:rFonts w:ascii="Consolas" w:hAnsi="Consolas" w:eastAsia="Microsoft YaHei"/>
                <w:color w:val="1F4D78"/>
                <w:sz w:val="19"/>
                <w:shd w:fill="EEF2F6"/>
              </w:rPr>
              <w:t>default_weight_loader</w:t>
            </w:r>
          </w:p>
        </w:tc>
        <w:tc>
          <w:tcPr>
            <w:tcW w:type="dxa" w:w="2810"/>
            <w:vAlign w:val="center"/>
            <w:tcMar>
              <w:top w:w="80" w:type="dxa"/>
              <w:start w:w="120" w:type="dxa"/>
              <w:bottom w:w="80" w:type="dxa"/>
              <w:end w:w="120" w:type="dxa"/>
            </w:tcMar>
          </w:tcPr>
          <w:p>
            <w:pPr>
              <w:spacing w:before="0" w:after="0" w:line="259" w:lineRule="auto"/>
            </w:pPr>
            <w:r>
              <w:rPr>
                <w:rFonts w:ascii="Calibri" w:hAnsi="Calibri" w:eastAsia="Microsoft YaHei"/>
                <w:sz w:val="18"/>
              </w:rPr>
              <w:t>The current weight is complete</w:t>
            </w:r>
          </w:p>
        </w:tc>
      </w:tr>
    </w:tbl>
    <w:p>
      <w:pPr>
        <w:spacing w:after="40"/>
      </w:pPr>
    </w:p>
    <w:p>
      <w:pPr/>
      <w:r>
        <w:rPr>
          <w:rFonts w:ascii="Consolas" w:hAnsi="Consolas" w:eastAsia="Microsoft YaHei"/>
          <w:color w:val="1F4D78"/>
          <w:sz w:val="19"/>
          <w:shd w:fill="EEF2F6"/>
        </w:rPr>
        <w:t>break</w:t>
      </w:r>
      <w:r>
        <w:t xml:space="preserve"> prevents a weight from entering the ordinary path after it has already been handled by the merged path. Entering </w:t>
      </w:r>
      <w:r>
        <w:rPr>
          <w:rFonts w:ascii="Consolas" w:hAnsi="Consolas" w:eastAsia="Microsoft YaHei"/>
          <w:color w:val="1F4D78"/>
          <w:sz w:val="19"/>
          <w:shd w:fill="EEF2F6"/>
        </w:rPr>
        <w:t>else</w:t>
      </w:r>
      <w:r>
        <w:t xml:space="preserve"> does not indicate failure; it only means that the current weight does not belong to any of the listed merged projections.</w:t>
      </w:r>
    </w:p>
    <w:p>
      <w:pPr/>
      <w:r>
        <w:t xml:space="preserve">If the model uses </w:t>
      </w:r>
      <w:r>
        <w:rPr>
          <w:rFonts w:ascii="Consolas" w:hAnsi="Consolas" w:eastAsia="Microsoft YaHei"/>
          <w:color w:val="1F4D78"/>
          <w:sz w:val="19"/>
          <w:shd w:fill="EEF2F6"/>
        </w:rPr>
        <w:t>MergedColumnParallelLinear</w:t>
      </w:r>
      <w:r>
        <w:t xml:space="preserve">, </w:t>
      </w:r>
      <w:r>
        <w:rPr>
          <w:rFonts w:ascii="Consolas" w:hAnsi="Consolas" w:eastAsia="Microsoft YaHei"/>
          <w:color w:val="1F4D78"/>
          <w:sz w:val="19"/>
          <w:shd w:fill="EEF2F6"/>
        </w:rPr>
        <w:t>gate_proj</w:t>
      </w:r>
      <w:r>
        <w:t xml:space="preserve"> and </w:t>
      </w:r>
      <w:r>
        <w:rPr>
          <w:rFonts w:ascii="Consolas" w:hAnsi="Consolas" w:eastAsia="Microsoft YaHei"/>
          <w:color w:val="1F4D78"/>
          <w:sz w:val="19"/>
          <w:shd w:fill="EEF2F6"/>
        </w:rPr>
        <w:t>up_proj</w:t>
      </w:r>
      <w:r>
        <w:t xml:space="preserve"> must also be written into </w:t>
      </w:r>
      <w:r>
        <w:rPr>
          <w:rFonts w:ascii="Consolas" w:hAnsi="Consolas" w:eastAsia="Microsoft YaHei"/>
          <w:color w:val="1F4D78"/>
          <w:sz w:val="19"/>
          <w:shd w:fill="EEF2F6"/>
        </w:rPr>
        <w:t>gate_up_proj</w:t>
      </w:r>
      <w:r>
        <w:t xml:space="preserve">. The source material confirms the merge relationship, but the demonstration slide does not provide legible shard identifiers. The specific values are therefore </w:t>
      </w:r>
      <w:r>
        <w:rPr>
          <w:b/>
        </w:rPr>
        <w:t>to be verified</w:t>
      </w:r>
      <w:r>
        <w:t xml:space="preserve"> and must not be copied from the string conventions used for Q, K, and V.</w:t>
      </w:r>
    </w:p>
    <w:p>
      <w:pPr>
        <w:pStyle w:val="Heading2"/>
      </w:pPr>
      <w:r>
        <w:t>Loading Without Errors Does Not Mean Loading Is Complete</w:t>
      </w:r>
    </w:p>
    <w:p>
      <w:pPr/>
      <w:r>
        <w:t>Weight verification has at least three levels:</w:t>
      </w:r>
    </w:p>
    <w:p>
      <w:pPr>
        <w:spacing w:after="80" w:line="290" w:lineRule="auto"/>
        <w:numPr>
          <w:ilvl w:val="0"/>
          <w:numId w:val="13"/>
        </w:numPr>
      </w:pPr>
      <w:r>
        <w:t>The source name can be mapped to a parameter in the current model;</w:t>
      </w:r>
    </w:p>
    <w:p>
      <w:pPr>
        <w:spacing w:after="80" w:line="290" w:lineRule="auto"/>
        <w:numPr>
          <w:ilvl w:val="0"/>
          <w:numId w:val="13"/>
        </w:numPr>
      </w:pPr>
      <w:r>
        <w:t>The target loader accepts the tensor and completes a write;</w:t>
      </w:r>
    </w:p>
    <w:p>
      <w:pPr>
        <w:spacing w:after="80" w:line="290" w:lineRule="auto"/>
        <w:numPr>
          <w:ilvl w:val="0"/>
          <w:numId w:val="13"/>
        </w:numPr>
      </w:pPr>
      <w:r>
        <w:t>Every required parameter and internal shard is covered, with no unexpected checkpoint weights left unconsumed.</w:t>
      </w:r>
    </w:p>
    <w:p>
      <w:pPr/>
      <w:r>
        <w:t xml:space="preserve">If the QKV mapping omits </w:t>
      </w:r>
      <w:r>
        <w:rPr>
          <w:rFonts w:ascii="Consolas" w:hAnsi="Consolas" w:eastAsia="Microsoft YaHei"/>
          <w:color w:val="1F4D78"/>
          <w:sz w:val="19"/>
          <w:shd w:fill="EEF2F6"/>
        </w:rPr>
        <w:t>v_proj</w:t>
      </w:r>
      <w:r>
        <w:t>, Q and K may still be written successfully. Merely checking whether individual calls raise errors does not prove complete coverage.</w:t>
      </w:r>
    </w:p>
    <w:p>
      <w:pPr/>
      <w:r>
        <w:rPr>
          <w:b/>
        </w:rPr>
        <w:t>Maintainer experience</w:t>
      </w:r>
      <w:r>
        <w:t xml:space="preserve"> recommends tracking loaded, unloaded, and unconsumed weights and modifying </w:t>
      </w:r>
      <w:r>
        <w:rPr>
          <w:rFonts w:ascii="Consolas" w:hAnsi="Consolas" w:eastAsia="Microsoft YaHei"/>
          <w:color w:val="1F4D78"/>
          <w:sz w:val="19"/>
          <w:shd w:fill="EEF2F6"/>
        </w:rPr>
        <w:t>load_weights</w:t>
      </w:r>
      <w:r>
        <w:t xml:space="preserve"> based on an existing implementation with a similar architecture. The source material does not provide a stable checker API or return value, nor does it provide enough information to explain the MoE loading algorithm here.</w:t>
      </w:r>
    </w:p>
    <w:p>
      <w:pPr/>
      <w:r>
        <w:t>Once the architecture, interfaces, and weight paths are aligned, the model must still be made discoverable by the framework. Registration and testing come next, but an important distinction must be maintained: being found by the framework and behaving correctly are two different conclusions.</w:t>
      </w:r>
    </w:p>
    <w:p>
      <w:pPr>
        <w:pStyle w:val="Heading1"/>
      </w:pPr>
      <w:r>
        <w:t>5. Making the Framework Find the Model—and Proving Its Behavior Is Correct</w:t>
      </w:r>
    </w:p>
    <w:p>
      <w:pPr/>
      <w:r>
        <w:t>This stage involves two questions:</w:t>
      </w:r>
    </w:p>
    <w:p>
      <w:pPr>
        <w:spacing w:after="80" w:line="290" w:lineRule="auto"/>
        <w:numPr>
          <w:ilvl w:val="0"/>
          <w:numId w:val="10"/>
        </w:numPr>
      </w:pPr>
      <w:r>
        <w:t>How does vLLM locate the model class from the architecture name in the checkpoint?</w:t>
      </w:r>
    </w:p>
    <w:p>
      <w:pPr>
        <w:spacing w:after="80" w:line="290" w:lineRule="auto"/>
        <w:numPr>
          <w:ilvl w:val="0"/>
          <w:numId w:val="10"/>
        </w:numPr>
      </w:pPr>
      <w:r>
        <w:t>Once the model is found, how can its real behavior be proven correct?</w:t>
      </w:r>
    </w:p>
    <w:p>
      <w:pPr>
        <w:pStyle w:val="Heading2"/>
      </w:pPr>
      <w:r>
        <w:t>Built-in Registration and Plugin Registration</w:t>
      </w:r>
    </w:p>
    <w:p>
      <w:pPr/>
      <w:r>
        <w:t>The following dual-path diagram places the architecture name, module, class object, and lazy-loading string in the same frame of reference, making the respective responsibilities of the two registration approaches clear.</w:t>
      </w:r>
    </w:p>
    <w:p>
      <w:pPr>
        <w:keepNext/>
        <w:keepLines/>
        <w:spacing w:before="120" w:after="0"/>
        <w:jc w:val="center"/>
      </w:pPr>
      <w:r>
        <w:drawing>
          <wp:inline xmlns:a="http://schemas.openxmlformats.org/drawingml/2006/main" xmlns:pic="http://schemas.openxmlformats.org/drawingml/2006/picture">
            <wp:extent cx="5943600" cy="3342114"/>
            <wp:docPr id="6" name="Picture 6" descr="PPT page 13: Built-in and plugin registration" title="PPT page 13: Built-in and plugin registration"/>
            <wp:cNvGraphicFramePr>
              <a:graphicFrameLocks noChangeAspect="1"/>
            </wp:cNvGraphicFramePr>
            <a:graphic>
              <a:graphicData uri="http://schemas.openxmlformats.org/drawingml/2006/picture">
                <pic:pic>
                  <pic:nvPicPr>
                    <pic:cNvPr id="0" name="slide-13.png"/>
                    <pic:cNvPicPr/>
                  </pic:nvPicPr>
                  <pic:blipFill>
                    <a:blip r:embed="rId18"/>
                    <a:stretch>
                      <a:fillRect/>
                    </a:stretch>
                  </pic:blipFill>
                  <pic:spPr>
                    <a:xfrm>
                      <a:off x="0" y="0"/>
                      <a:ext cx="5943600" cy="3342114"/>
                    </a:xfrm>
                    <a:prstGeom prst="rect"/>
                  </pic:spPr>
                </pic:pic>
              </a:graphicData>
            </a:graphic>
          </wp:inline>
        </w:drawing>
      </w:r>
    </w:p>
    <w:p>
      <w:pPr/>
      <w:r>
        <w:rPr>
          <w:i/>
        </w:rPr>
        <w:t>Figure 6: Built-in and plugin registration. Source: PPT page 13.</w:t>
      </w:r>
    </w:p>
    <w:p>
      <w:pPr/>
      <w:r>
        <w:t xml:space="preserve">The built-in path begins with the checkpoint architecture name, enters </w:t>
      </w:r>
      <w:r>
        <w:rPr>
          <w:rFonts w:ascii="Consolas" w:hAnsi="Consolas" w:eastAsia="Microsoft YaHei"/>
          <w:color w:val="1F4D78"/>
          <w:sz w:val="19"/>
          <w:shd w:fill="EEF2F6"/>
        </w:rPr>
        <w:t>_VLLM_MODELS</w:t>
      </w:r>
      <w:r>
        <w:t xml:space="preserve">, and then resolves the module file and model class. The implementation resides in </w:t>
      </w:r>
      <w:r>
        <w:rPr>
          <w:rFonts w:ascii="Consolas" w:hAnsi="Consolas" w:eastAsia="Microsoft YaHei"/>
          <w:color w:val="1F4D78"/>
          <w:sz w:val="19"/>
          <w:shd w:fill="EEF2F6"/>
        </w:rPr>
        <w:t>vllm/model_executor/models/</w:t>
      </w:r>
      <w:r>
        <w:t>. Registration entries are maintained in alphabetical order, and the supported-model documentation must also be updated.</w:t>
      </w:r>
    </w:p>
    <w:p>
      <w:pPr/>
      <w:r>
        <w:t xml:space="preserve">The plugin path calls </w:t>
      </w:r>
      <w:r>
        <w:rPr>
          <w:rFonts w:ascii="Consolas" w:hAnsi="Consolas" w:eastAsia="Microsoft YaHei"/>
          <w:color w:val="1F4D78"/>
          <w:sz w:val="19"/>
          <w:shd w:fill="EEF2F6"/>
        </w:rPr>
        <w:t>ModelRegistry.register_model</w:t>
      </w:r>
      <w:r>
        <w:t xml:space="preserve"> without modifying vLLM’s core code. It can either pass the model class directly or pass a </w:t>
      </w:r>
      <w:r>
        <w:rPr>
          <w:rFonts w:ascii="Consolas" w:hAnsi="Consolas" w:eastAsia="Microsoft YaHei"/>
          <w:color w:val="1F4D78"/>
          <w:sz w:val="19"/>
          <w:shd w:fill="EEF2F6"/>
        </w:rPr>
        <w:t>"module:class_name"</w:t>
      </w:r>
      <w:r>
        <w:t xml:space="preserve"> string.</w:t>
      </w:r>
    </w:p>
    <w:p>
      <w:pPr/>
      <w:r>
        <w:t>If importing the model class triggers CUDA initialization, the string form can defer loading and avoid CUDA reinitialization conflicts in forked child processes. This form addresses a specific import risk and is not mandatory for all plugin registrations.</w:t>
      </w:r>
    </w:p>
    <w:p>
      <w:pPr/>
      <w:r>
        <w:t>Regardless of the path used, registration proves only that the architecture name can be resolved. It does not prove that the configuration, weight mapping, or computation is correct.</w:t>
      </w:r>
    </w:p>
    <w:p>
      <w:pPr>
        <w:pStyle w:val="Heading2"/>
      </w:pPr>
      <w:r>
        <w:t>Test Evidence Must Be Layered</w:t>
      </w:r>
    </w:p>
    <w:p>
      <w:pPr/>
      <w:r>
        <w:t>The following matrix distinguishes the evidence provided by three categories of tests. This separation matters because successful initialization, agreement on real numerical behavior, and correctness of specialized paths cannot substitute for one another.</w:t>
      </w:r>
    </w:p>
    <w:tbl>
      <w:tblPr>
        <w:tblStyle w:val="TableGrid"/>
        <w:tblW w:type="dxa" w:w="9360"/>
        <w:jc w:val="left"/>
        <w:tblLayout w:type="fixed"/>
        <w:tblLook w:firstColumn="1" w:firstRow="1" w:lastColumn="0" w:lastRow="0" w:noHBand="0" w:noVBand="1" w:val="04A0"/>
        <w:tblInd w:w="120" w:type="dxa"/>
      </w:tblPr>
      <w:tblGrid>
        <w:gridCol w:w="1498"/>
        <w:gridCol w:w="2621"/>
        <w:gridCol w:w="2621"/>
        <w:gridCol w:w="2620"/>
      </w:tblGrid>
      <w:tr>
        <w:trPr>
          <w:tblHeader w:val="true"/>
        </w:trPr>
        <w:tc>
          <w:tcPr>
            <w:tcW w:type="dxa" w:w="149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Level</w:t>
            </w:r>
          </w:p>
        </w:tc>
        <w:tc>
          <w:tcPr>
            <w:tcW w:type="dxa" w:w="262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Verification target</w:t>
            </w:r>
          </w:p>
        </w:tc>
        <w:tc>
          <w:tcPr>
            <w:tcW w:type="dxa" w:w="262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What it can prove</w:t>
            </w:r>
          </w:p>
        </w:tc>
        <w:tc>
          <w:tcPr>
            <w:tcW w:type="dxa" w:w="262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What it cannot prove</w:t>
            </w:r>
          </w:p>
        </w:tc>
      </w:tr>
      <w:tr>
        <w:tc>
          <w:tcPr>
            <w:tcW w:type="dxa" w:w="1498"/>
            <w:vAlign w:val="center"/>
            <w:tcMar>
              <w:top w:w="80" w:type="dxa"/>
              <w:start w:w="120" w:type="dxa"/>
              <w:bottom w:w="80" w:type="dxa"/>
              <w:end w:w="120" w:type="dxa"/>
            </w:tcMar>
          </w:tcPr>
          <w:p>
            <w:pPr>
              <w:spacing w:before="0" w:after="0" w:line="259" w:lineRule="auto"/>
            </w:pPr>
            <w:r>
              <w:rPr>
                <w:rFonts w:ascii="Calibri" w:hAnsi="Calibri" w:eastAsia="Microsoft YaHei"/>
                <w:sz w:val="18"/>
              </w:rPr>
              <w:t>REQUIRED</w:t>
            </w:r>
          </w:p>
        </w:tc>
        <w:tc>
          <w:tcPr>
            <w:tcW w:type="dxa" w:w="2621"/>
            <w:vAlign w:val="center"/>
            <w:tcMar>
              <w:top w:w="80" w:type="dxa"/>
              <w:start w:w="120" w:type="dxa"/>
              <w:bottom w:w="80" w:type="dxa"/>
              <w:end w:w="120" w:type="dxa"/>
            </w:tcMar>
          </w:tcPr>
          <w:p>
            <w:pPr>
              <w:spacing w:before="0" w:after="0" w:line="259" w:lineRule="auto"/>
            </w:pPr>
            <w:r>
              <w:rPr>
                <w:rFonts w:ascii="Calibri" w:hAnsi="Calibri" w:eastAsia="Microsoft YaHei"/>
                <w:sz w:val="18"/>
              </w:rPr>
              <w:t>Registry example and dummy weights</w:t>
            </w:r>
          </w:p>
        </w:tc>
        <w:tc>
          <w:tcPr>
            <w:tcW w:type="dxa" w:w="2621"/>
            <w:vAlign w:val="center"/>
            <w:tcMar>
              <w:top w:w="80" w:type="dxa"/>
              <w:start w:w="120" w:type="dxa"/>
              <w:bottom w:w="80" w:type="dxa"/>
              <w:end w:w="120" w:type="dxa"/>
            </w:tcMar>
          </w:tcPr>
          <w:p>
            <w:pPr>
              <w:spacing w:before="0" w:after="0" w:line="259" w:lineRule="auto"/>
            </w:pPr>
            <w:r>
              <w:rPr>
                <w:rFonts w:ascii="Calibri" w:hAnsi="Calibri" w:eastAsia="Microsoft YaHei"/>
                <w:sz w:val="18"/>
              </w:rPr>
              <w:t>The architecture can be resolved, and the initialization or basic loading path can execute</w:t>
            </w:r>
          </w:p>
        </w:tc>
        <w:tc>
          <w:tcPr>
            <w:tcW w:type="dxa" w:w="2620"/>
            <w:vAlign w:val="center"/>
            <w:tcMar>
              <w:top w:w="80" w:type="dxa"/>
              <w:start w:w="120" w:type="dxa"/>
              <w:bottom w:w="80" w:type="dxa"/>
              <w:end w:w="120" w:type="dxa"/>
            </w:tcMar>
          </w:tcPr>
          <w:p>
            <w:pPr>
              <w:spacing w:before="0" w:after="0" w:line="259" w:lineRule="auto"/>
            </w:pPr>
            <w:r>
              <w:rPr>
                <w:rFonts w:ascii="Calibri" w:hAnsi="Calibri" w:eastAsia="Microsoft YaHei"/>
                <w:sz w:val="18"/>
              </w:rPr>
              <w:t>Real weights and outputs are correct</w:t>
            </w:r>
          </w:p>
        </w:tc>
      </w:tr>
      <w:tr>
        <w:tc>
          <w:tcPr>
            <w:tcW w:type="dxa" w:w="1498"/>
            <w:vAlign w:val="center"/>
            <w:tcMar>
              <w:top w:w="80" w:type="dxa"/>
              <w:start w:w="120" w:type="dxa"/>
              <w:bottom w:w="80" w:type="dxa"/>
              <w:end w:w="120" w:type="dxa"/>
            </w:tcMar>
          </w:tcPr>
          <w:p>
            <w:pPr>
              <w:spacing w:before="0" w:after="0" w:line="259" w:lineRule="auto"/>
            </w:pPr>
            <w:r>
              <w:rPr>
                <w:rFonts w:ascii="Calibri" w:hAnsi="Calibri" w:eastAsia="Microsoft YaHei"/>
                <w:sz w:val="18"/>
              </w:rPr>
              <w:t>RECOMMENDED</w:t>
            </w:r>
          </w:p>
        </w:tc>
        <w:tc>
          <w:tcPr>
            <w:tcW w:type="dxa" w:w="2621"/>
            <w:vAlign w:val="center"/>
            <w:tcMar>
              <w:top w:w="80" w:type="dxa"/>
              <w:start w:w="120" w:type="dxa"/>
              <w:bottom w:w="80" w:type="dxa"/>
              <w:end w:w="120" w:type="dxa"/>
            </w:tcMar>
          </w:tcPr>
          <w:p>
            <w:pPr>
              <w:spacing w:before="0" w:after="0" w:line="259" w:lineRule="auto"/>
            </w:pPr>
            <w:r>
              <w:rPr>
                <w:rFonts w:ascii="Calibri" w:hAnsi="Calibri" w:eastAsia="Microsoft YaHei"/>
                <w:sz w:val="18"/>
              </w:rPr>
              <w:t>Comparison of real generation, logprobs, or Pooling</w:t>
            </w:r>
          </w:p>
        </w:tc>
        <w:tc>
          <w:tcPr>
            <w:tcW w:type="dxa" w:w="2621"/>
            <w:vAlign w:val="center"/>
            <w:tcMar>
              <w:top w:w="80" w:type="dxa"/>
              <w:start w:w="120" w:type="dxa"/>
              <w:bottom w:w="80" w:type="dxa"/>
              <w:end w:w="120" w:type="dxa"/>
            </w:tcMar>
          </w:tcPr>
          <w:p>
            <w:pPr>
              <w:spacing w:before="0" w:after="0" w:line="259" w:lineRule="auto"/>
            </w:pPr>
            <w:r>
              <w:rPr>
                <w:rFonts w:ascii="Calibri" w:hAnsi="Calibri" w:eastAsia="Microsoft YaHei"/>
                <w:sz w:val="18"/>
              </w:rPr>
              <w:t>Covered behavior matches or approximates the reference implementation</w:t>
            </w:r>
          </w:p>
        </w:tc>
        <w:tc>
          <w:tcPr>
            <w:tcW w:type="dxa" w:w="2620"/>
            <w:vAlign w:val="center"/>
            <w:tcMar>
              <w:top w:w="80" w:type="dxa"/>
              <w:start w:w="120" w:type="dxa"/>
              <w:bottom w:w="80" w:type="dxa"/>
              <w:end w:w="120" w:type="dxa"/>
            </w:tcMar>
          </w:tcPr>
          <w:p>
            <w:pPr>
              <w:spacing w:before="0" w:after="0" w:line="259" w:lineRule="auto"/>
            </w:pPr>
            <w:r>
              <w:rPr>
                <w:rFonts w:ascii="Calibri" w:hAnsi="Calibri" w:eastAsia="Microsoft YaHei"/>
                <w:sz w:val="18"/>
              </w:rPr>
              <w:t>Uncovered inputs and edge cases are correct</w:t>
            </w:r>
          </w:p>
        </w:tc>
      </w:tr>
      <w:tr>
        <w:tc>
          <w:tcPr>
            <w:tcW w:type="dxa" w:w="1498"/>
            <w:vAlign w:val="center"/>
            <w:tcMar>
              <w:top w:w="80" w:type="dxa"/>
              <w:start w:w="120" w:type="dxa"/>
              <w:bottom w:w="80" w:type="dxa"/>
              <w:end w:w="120" w:type="dxa"/>
            </w:tcMar>
          </w:tcPr>
          <w:p>
            <w:pPr>
              <w:spacing w:before="0" w:after="0" w:line="259" w:lineRule="auto"/>
            </w:pPr>
            <w:r>
              <w:rPr>
                <w:rFonts w:ascii="Calibri" w:hAnsi="Calibri" w:eastAsia="Microsoft YaHei"/>
                <w:sz w:val="18"/>
              </w:rPr>
              <w:t>OPTIONAL</w:t>
            </w:r>
          </w:p>
        </w:tc>
        <w:tc>
          <w:tcPr>
            <w:tcW w:type="dxa" w:w="2621"/>
            <w:vAlign w:val="center"/>
            <w:tcMar>
              <w:top w:w="80" w:type="dxa"/>
              <w:start w:w="120" w:type="dxa"/>
              <w:bottom w:w="80" w:type="dxa"/>
              <w:end w:w="120" w:type="dxa"/>
            </w:tcMar>
          </w:tcPr>
          <w:p>
            <w:pPr>
              <w:spacing w:before="0" w:after="0" w:line="259" w:lineRule="auto"/>
            </w:pPr>
            <w:r>
              <w:rPr>
                <w:rFonts w:ascii="Calibri" w:hAnsi="Calibri" w:eastAsia="Microsoft YaHei"/>
                <w:sz w:val="18"/>
              </w:rPr>
              <w:t>Common multimodal processing and model-specific behavior</w:t>
            </w:r>
          </w:p>
        </w:tc>
        <w:tc>
          <w:tcPr>
            <w:tcW w:type="dxa" w:w="2621"/>
            <w:vAlign w:val="center"/>
            <w:tcMar>
              <w:top w:w="80" w:type="dxa"/>
              <w:start w:w="120" w:type="dxa"/>
              <w:bottom w:w="80" w:type="dxa"/>
              <w:end w:w="120" w:type="dxa"/>
            </w:tcMar>
          </w:tcPr>
          <w:p>
            <w:pPr>
              <w:spacing w:before="0" w:after="0" w:line="259" w:lineRule="auto"/>
            </w:pPr>
            <w:r>
              <w:rPr>
                <w:rFonts w:ascii="Calibri" w:hAnsi="Calibri" w:eastAsia="Microsoft YaHei"/>
                <w:sz w:val="18"/>
              </w:rPr>
              <w:t>The corresponding processor or specialized path is covered</w:t>
            </w:r>
          </w:p>
        </w:tc>
        <w:tc>
          <w:tcPr>
            <w:tcW w:type="dxa" w:w="2620"/>
            <w:vAlign w:val="center"/>
            <w:tcMar>
              <w:top w:w="80" w:type="dxa"/>
              <w:start w:w="120" w:type="dxa"/>
              <w:bottom w:w="80" w:type="dxa"/>
              <w:end w:w="120" w:type="dxa"/>
            </w:tcMar>
          </w:tcPr>
          <w:p>
            <w:pPr>
              <w:spacing w:before="0" w:after="0" w:line="259" w:lineRule="auto"/>
            </w:pPr>
            <w:r>
              <w:rPr>
                <w:rFonts w:ascii="Calibri" w:hAnsi="Calibri" w:eastAsia="Microsoft YaHei"/>
                <w:sz w:val="18"/>
              </w:rPr>
              <w:t>Every multimodal combination is correct</w:t>
            </w:r>
          </w:p>
        </w:tc>
      </w:tr>
    </w:tbl>
    <w:p>
      <w:pPr>
        <w:spacing w:after="40"/>
      </w:pPr>
    </w:p>
    <w:p>
      <w:pPr/>
      <w:r>
        <w:rPr>
          <w:i/>
        </w:rPr>
        <w:t>Table 2: Evidence levels for model registration and correctness testing. Reconstructed from PPT page 18.</w:t>
      </w:r>
    </w:p>
    <w:p>
      <w:pPr/>
      <w:r>
        <w:t xml:space="preserve">The minimum test required by the main repository is to add a Hugging Face repository example to </w:t>
      </w:r>
      <w:r>
        <w:rPr>
          <w:rFonts w:ascii="Consolas" w:hAnsi="Consolas" w:eastAsia="Microsoft YaHei"/>
          <w:color w:val="1F4D78"/>
          <w:sz w:val="19"/>
          <w:shd w:fill="EEF2F6"/>
        </w:rPr>
        <w:t>tests/models/registry.py</w:t>
      </w:r>
      <w:r>
        <w:t>, after which CI uses dummy weights to verify the initialization or loading path.</w:t>
      </w:r>
    </w:p>
    <w:p>
      <w:pPr/>
      <w:r>
        <w:t>Dummy weights have no real numerical semantics for the model. The following sequence is therefore entirely possible:</w:t>
      </w:r>
    </w:p>
    <w:p>
      <w:pPr/>
      <w:r>
        <w:t>```text</w:t>
      </w:r>
    </w:p>
    <w:p>
      <w:pPr/>
      <w:r>
        <w:t>Architecture name resolves successfully</w:t>
      </w:r>
    </w:p>
    <w:p>
      <w:pPr/>
      <w:r>
        <w:t>→ Dummy-weight initialization succeeds</w:t>
      </w:r>
    </w:p>
    <w:p>
      <w:pPr/>
      <w:r>
        <w:t>→ Real weights are written without errors</w:t>
      </w:r>
    </w:p>
    <w:p>
      <w:pPr/>
      <w:r>
        <w:t>→ Output does not match the reference implementation</w:t>
      </w:r>
    </w:p>
    <w:p>
      <w:pPr/>
      <w:r>
        <w:t>```</w:t>
      </w:r>
    </w:p>
    <w:p>
      <w:pPr/>
      <w:r>
        <w:t>Real behavior must be verified according to model type:</w:t>
      </w:r>
    </w:p>
    <w:p>
      <w:pPr>
        <w:spacing w:after="80" w:line="290" w:lineRule="auto"/>
        <w:numPr>
          <w:ilvl w:val="0"/>
          <w:numId w:val="10"/>
        </w:numPr>
      </w:pPr>
      <w:r>
        <w:t xml:space="preserve">Generative models can use </w:t>
      </w:r>
      <w:r>
        <w:rPr>
          <w:rFonts w:ascii="Consolas" w:hAnsi="Consolas" w:eastAsia="Microsoft YaHei"/>
          <w:color w:val="1F4D78"/>
          <w:sz w:val="19"/>
          <w:shd w:fill="EEF2F6"/>
        </w:rPr>
        <w:t>check_outputs_equal</w:t>
      </w:r>
      <w:r>
        <w:t xml:space="preserve"> to compare generated text;</w:t>
      </w:r>
    </w:p>
    <w:p>
      <w:pPr>
        <w:spacing w:after="80" w:line="290" w:lineRule="auto"/>
        <w:numPr>
          <w:ilvl w:val="0"/>
          <w:numId w:val="10"/>
        </w:numPr>
      </w:pPr>
      <w:r>
        <w:t xml:space="preserve">Probabilistic behavior can use </w:t>
      </w:r>
      <w:r>
        <w:rPr>
          <w:rFonts w:ascii="Consolas" w:hAnsi="Consolas" w:eastAsia="Microsoft YaHei"/>
          <w:color w:val="1F4D78"/>
          <w:sz w:val="19"/>
          <w:shd w:fill="EEF2F6"/>
        </w:rPr>
        <w:t>check_logprobs_close</w:t>
      </w:r>
      <w:r>
        <w:t xml:space="preserve"> to inspect Top-K logprobs;</w:t>
      </w:r>
    </w:p>
    <w:p>
      <w:pPr>
        <w:spacing w:after="80" w:line="290" w:lineRule="auto"/>
        <w:numPr>
          <w:ilvl w:val="0"/>
          <w:numId w:val="10"/>
        </w:numPr>
      </w:pPr>
      <w:r>
        <w:t>Pooling models can compare outputs using cosine similarity;</w:t>
      </w:r>
    </w:p>
    <w:p>
      <w:pPr>
        <w:spacing w:after="80" w:line="290" w:lineRule="auto"/>
        <w:numPr>
          <w:ilvl w:val="0"/>
          <w:numId w:val="10"/>
        </w:numPr>
      </w:pPr>
      <w:r>
        <w:t xml:space="preserve">Common multimodal processing can be covered in </w:t>
      </w:r>
      <w:r>
        <w:rPr>
          <w:rFonts w:ascii="Consolas" w:hAnsi="Consolas" w:eastAsia="Microsoft YaHei"/>
          <w:color w:val="1F4D78"/>
          <w:sz w:val="19"/>
          <w:shd w:fill="EEF2F6"/>
        </w:rPr>
        <w:t>tests/models/multimodal/processing/test_common.py</w:t>
      </w:r>
      <w:r>
        <w:t>;</w:t>
      </w:r>
    </w:p>
    <w:p>
      <w:pPr>
        <w:spacing w:after="80" w:line="290" w:lineRule="auto"/>
        <w:numPr>
          <w:ilvl w:val="0"/>
          <w:numId w:val="10"/>
        </w:numPr>
      </w:pPr>
      <w:r>
        <w:t>Model-specific behavior should receive corresponding dedicated tests.</w:t>
      </w:r>
    </w:p>
    <w:p>
      <w:pPr/>
      <w:r>
        <w:t>The source material does not specify K, the logprobs tolerance, or the cosine-similarity threshold.</w:t>
      </w:r>
    </w:p>
    <w:p>
      <w:pPr/>
      <w:r>
        <w:rPr>
          <w:b/>
        </w:rPr>
        <w:t>Maintainer experience</w:t>
      </w:r>
      <w:r>
        <w:t xml:space="preserve"> also recommends covering end-to-end execution and documenting the execution method and results in the PR. Local unit tests can verify components, but they cannot independently prove that the model has run through the real serving path.</w:t>
      </w:r>
    </w:p>
    <w:p>
      <w:pPr/>
      <w:r>
        <w:t>At this point, a text model forms a basic closed loop. A multimodal model introduces another chain that must also be closed: model computation, placeholder expansion, and resource planning must all use the same input upper bound.</w:t>
      </w:r>
    </w:p>
    <w:p>
      <w:pPr>
        <w:pStyle w:val="Heading1"/>
      </w:pPr>
      <w:r>
        <w:t>6. Multimodal Integration: Using the Same Boundary for Embeddings and Resource Planning</w:t>
      </w:r>
    </w:p>
    <w:p>
      <w:pPr/>
      <w:r>
        <w:t>Multimodal integration is not simply a matter of adding a vision tower. The model layer, processor layer, and resource planner must agree on the same question: how many content units and embeddings will ultimately be produced by one non-text input?</w:t>
      </w:r>
    </w:p>
    <w:p>
      <w:pPr>
        <w:pStyle w:val="Heading2"/>
      </w:pPr>
      <w:r>
        <w:t>Model Layer: Producing Multimodal Embeddings from Image Input</w:t>
      </w:r>
    </w:p>
    <w:p>
      <w:pPr/>
      <w:r>
        <w:t xml:space="preserve">A multimodal model first implements </w:t>
      </w:r>
      <w:r>
        <w:rPr>
          <w:rFonts w:ascii="Consolas" w:hAnsi="Consolas" w:eastAsia="Microsoft YaHei"/>
          <w:color w:val="1F4D78"/>
          <w:sz w:val="19"/>
          <w:shd w:fill="EEF2F6"/>
        </w:rPr>
        <w:t>SupportsMultiModal</w:t>
      </w:r>
      <w:r>
        <w:t xml:space="preserve">, the interface that declares support for multimodal input. The vision encoding and projection logic from the original Hugging Face </w:t>
      </w:r>
      <w:r>
        <w:rPr>
          <w:rFonts w:ascii="Consolas" w:hAnsi="Consolas" w:eastAsia="Microsoft YaHei"/>
          <w:color w:val="1F4D78"/>
          <w:sz w:val="19"/>
          <w:shd w:fill="EEF2F6"/>
        </w:rPr>
        <w:t>forward</w:t>
      </w:r>
      <w:r>
        <w:t xml:space="preserve"> should be moved into </w:t>
      </w:r>
      <w:r>
        <w:rPr>
          <w:rFonts w:ascii="Consolas" w:hAnsi="Consolas" w:eastAsia="Microsoft YaHei"/>
          <w:color w:val="1F4D78"/>
          <w:sz w:val="19"/>
          <w:shd w:fill="EEF2F6"/>
        </w:rPr>
        <w:t>embed_multimodal</w:t>
      </w:r>
      <w:r>
        <w:t>.</w:t>
      </w:r>
    </w:p>
    <w:p>
      <w:pPr/>
      <w:r>
        <w:t>The model-layer data flow below defines the boundaries among visual computation, text embeddings, and the language model, preventing processor responsibilities from being mixed into the model’s forward pass.</w:t>
      </w:r>
    </w:p>
    <w:p>
      <w:pPr>
        <w:keepNext/>
        <w:keepLines/>
        <w:spacing w:before="120" w:after="0"/>
        <w:jc w:val="center"/>
      </w:pPr>
      <w:r>
        <w:drawing>
          <wp:inline xmlns:a="http://schemas.openxmlformats.org/drawingml/2006/main" xmlns:pic="http://schemas.openxmlformats.org/drawingml/2006/picture">
            <wp:extent cx="5943600" cy="3342114"/>
            <wp:docPr id="7" name="Picture 7" descr="PPT page 15: embed_multimodal and component annotations" title="PPT page 15: embed_multimodal and component annotations"/>
            <wp:cNvGraphicFramePr>
              <a:graphicFrameLocks noChangeAspect="1"/>
            </wp:cNvGraphicFramePr>
            <a:graphic>
              <a:graphicData uri="http://schemas.openxmlformats.org/drawingml/2006/picture">
                <pic:pic>
                  <pic:nvPicPr>
                    <pic:cNvPr id="0" name="slide-15.png"/>
                    <pic:cNvPicPr/>
                  </pic:nvPicPr>
                  <pic:blipFill>
                    <a:blip r:embed="rId19"/>
                    <a:stretch>
                      <a:fillRect/>
                    </a:stretch>
                  </pic:blipFill>
                  <pic:spPr>
                    <a:xfrm>
                      <a:off x="0" y="0"/>
                      <a:ext cx="5943600" cy="3342114"/>
                    </a:xfrm>
                    <a:prstGeom prst="rect"/>
                  </pic:spPr>
                </pic:pic>
              </a:graphicData>
            </a:graphic>
          </wp:inline>
        </w:drawing>
      </w:r>
    </w:p>
    <w:p>
      <w:pPr/>
      <w:r>
        <w:rPr>
          <w:i/>
        </w:rPr>
        <w:t>Figure 7: `embed_multimodal` and component annotations. Source: PPT page 15.</w:t>
      </w:r>
    </w:p>
    <w:p>
      <w:pPr/>
      <w:r>
        <w:t xml:space="preserve">The solid lines represent data transformations: the image undergoes validation and visual encoding, then </w:t>
      </w:r>
      <w:r>
        <w:rPr>
          <w:rFonts w:ascii="Consolas" w:hAnsi="Consolas" w:eastAsia="Microsoft YaHei"/>
          <w:color w:val="1F4D78"/>
          <w:sz w:val="19"/>
          <w:shd w:fill="EEF2F6"/>
        </w:rPr>
        <w:t>multi_modal_projector</w:t>
      </w:r>
      <w:r>
        <w:t xml:space="preserve"> converts it into </w:t>
      </w:r>
      <w:r>
        <w:rPr>
          <w:rFonts w:ascii="Consolas" w:hAnsi="Consolas" w:eastAsia="Microsoft YaHei"/>
          <w:color w:val="1F4D78"/>
          <w:sz w:val="19"/>
          <w:shd w:fill="EEF2F6"/>
        </w:rPr>
        <w:t>MultiModalEmbeddings</w:t>
      </w:r>
      <w:r>
        <w:t xml:space="preserve"> that the language model can consume. The other solid path into the language model begins at </w:t>
      </w:r>
      <w:r>
        <w:rPr>
          <w:rFonts w:ascii="Consolas" w:hAnsi="Consolas" w:eastAsia="Microsoft YaHei"/>
          <w:color w:val="1F4D78"/>
          <w:sz w:val="19"/>
          <w:shd w:fill="EEF2F6"/>
        </w:rPr>
        <w:t>embed_input_ids</w:t>
      </w:r>
      <w:r>
        <w:t>, indicating that text embeddings are subsequently merged with the multimodal embeddings.</w:t>
      </w:r>
    </w:p>
    <w:p>
      <w:pPr/>
      <w:r>
        <w:t xml:space="preserve">The dashed lines represent component roles or initialization relationships, not forward-computation steps. The diagram points </w:t>
      </w:r>
      <w:r>
        <w:rPr>
          <w:rFonts w:ascii="Consolas" w:hAnsi="Consolas" w:eastAsia="Microsoft YaHei"/>
          <w:color w:val="1F4D78"/>
          <w:sz w:val="19"/>
          <w:shd w:fill="EEF2F6"/>
        </w:rPr>
        <w:t>_mark_tower_model</w:t>
      </w:r>
      <w:r>
        <w:t xml:space="preserve"> only to the vision tower as a whole and does not assume that the projector accepts the same annotation. The exact annotation boundary between the vision tower and projector must be verified against the target implementation.</w:t>
      </w:r>
    </w:p>
    <w:p>
      <w:pPr/>
      <w:r>
        <w:t xml:space="preserve">The language tower is marked by </w:t>
      </w:r>
      <w:r>
        <w:rPr>
          <w:rFonts w:ascii="Consolas" w:hAnsi="Consolas" w:eastAsia="Microsoft YaHei"/>
          <w:color w:val="1F4D78"/>
          <w:sz w:val="19"/>
          <w:shd w:fill="EEF2F6"/>
        </w:rPr>
        <w:t>_mark_language_model</w:t>
      </w:r>
      <w:r>
        <w:t xml:space="preserve"> and initialized through </w:t>
      </w:r>
      <w:r>
        <w:rPr>
          <w:rFonts w:ascii="Consolas" w:hAnsi="Consolas" w:eastAsia="Microsoft YaHei"/>
          <w:color w:val="1F4D78"/>
          <w:sz w:val="19"/>
          <w:shd w:fill="EEF2F6"/>
        </w:rPr>
        <w:t>init_vllm_registered_model</w:t>
      </w:r>
      <w:r>
        <w:t>. The source material confirms that text embedding and the merging of text and multimodal embeddings can be handled by vLLM’s default implementation. This does not mean that field selection and prompt updates are also handled automatically.</w:t>
      </w:r>
    </w:p>
    <w:p>
      <w:pPr/>
      <w:r>
        <w:t xml:space="preserve">The source material does not provide a fixed image size, data type, empty-input return form, or the complete tensor shape of </w:t>
      </w:r>
      <w:r>
        <w:rPr>
          <w:rFonts w:ascii="Consolas" w:hAnsi="Consolas" w:eastAsia="Microsoft YaHei"/>
          <w:color w:val="1F4D78"/>
          <w:sz w:val="19"/>
          <w:shd w:fill="EEF2F6"/>
        </w:rPr>
        <w:t>MultiModalEmbeddings</w:t>
      </w:r>
      <w:r>
        <w:t>.</w:t>
      </w:r>
    </w:p>
    <w:p>
      <w:pPr>
        <w:pStyle w:val="Heading2"/>
      </w:pPr>
      <w:r>
        <w:t>Processor Layer: Propagating Input Limits into Resource Planning</w:t>
      </w:r>
    </w:p>
    <w:p>
      <w:pPr/>
      <w:r>
        <w:t>The processor side contains three distinct roles. The responsibility diagram below is useful because these components separately describe input limits, worst-case inputs, and actual prompt updates, yet ultimately must converge on the same resource upper bound.</w:t>
      </w:r>
    </w:p>
    <w:p>
      <w:pPr>
        <w:keepNext/>
        <w:keepLines/>
        <w:spacing w:before="120" w:after="0"/>
        <w:jc w:val="center"/>
      </w:pPr>
      <w:r>
        <w:drawing>
          <wp:inline xmlns:a="http://schemas.openxmlformats.org/drawingml/2006/main" xmlns:pic="http://schemas.openxmlformats.org/drawingml/2006/picture">
            <wp:extent cx="5943600" cy="3342114"/>
            <wp:docPr id="8" name="Picture 8" descr="PPT page 16: Placeholder replacement and field configuration" title="PPT page 16: Placeholder replacement and field configuration"/>
            <wp:cNvGraphicFramePr>
              <a:graphicFrameLocks noChangeAspect="1"/>
            </wp:cNvGraphicFramePr>
            <a:graphic>
              <a:graphicData uri="http://schemas.openxmlformats.org/drawingml/2006/picture">
                <pic:pic>
                  <pic:nvPicPr>
                    <pic:cNvPr id="0" name="slide-16.png"/>
                    <pic:cNvPicPr/>
                  </pic:nvPicPr>
                  <pic:blipFill>
                    <a:blip r:embed="rId20"/>
                    <a:stretch>
                      <a:fillRect/>
                    </a:stretch>
                  </pic:blipFill>
                  <pic:spPr>
                    <a:xfrm>
                      <a:off x="0" y="0"/>
                      <a:ext cx="5943600" cy="3342114"/>
                    </a:xfrm>
                    <a:prstGeom prst="rect"/>
                  </pic:spPr>
                </pic:pic>
              </a:graphicData>
            </a:graphic>
          </wp:inline>
        </w:drawing>
      </w:r>
    </w:p>
    <w:p>
      <w:pPr/>
      <w:r>
        <w:rPr>
          <w:i/>
        </w:rPr>
        <w:t>Figure 8: Placeholder replacement and field configuration. Source: PPT page 16.</w:t>
      </w:r>
    </w:p>
    <w:p>
      <w:pPr/>
      <w:r>
        <w:t>The three upstream paths in the diagram have distinct responsibilities:</w:t>
      </w:r>
    </w:p>
    <w:p>
      <w:pPr>
        <w:spacing w:after="80" w:line="290" w:lineRule="auto"/>
        <w:numPr>
          <w:ilvl w:val="0"/>
          <w:numId w:val="10"/>
        </w:numPr>
      </w:pPr>
      <w:r>
        <w:rPr>
          <w:rFonts w:ascii="Consolas" w:hAnsi="Consolas" w:eastAsia="Microsoft YaHei"/>
          <w:color w:val="1F4D78"/>
          <w:sz w:val="19"/>
          <w:shd w:fill="EEF2F6"/>
        </w:rPr>
        <w:t>BaseProcessingInfo</w:t>
      </w:r>
      <w:r>
        <w:t xml:space="preserve"> declares the maximum number of inputs for each modality;</w:t>
      </w:r>
    </w:p>
    <w:p>
      <w:pPr>
        <w:spacing w:after="80" w:line="290" w:lineRule="auto"/>
        <w:numPr>
          <w:ilvl w:val="0"/>
          <w:numId w:val="10"/>
        </w:numPr>
      </w:pPr>
      <w:r>
        <w:rPr>
          <w:rFonts w:ascii="Consolas" w:hAnsi="Consolas" w:eastAsia="Microsoft YaHei"/>
          <w:color w:val="1F4D78"/>
          <w:sz w:val="19"/>
          <w:shd w:fill="EEF2F6"/>
        </w:rPr>
        <w:t>BaseDummyInputsBuilder</w:t>
      </w:r>
      <w:r>
        <w:t xml:space="preserve"> constructs worst-case inputs for GPU memory estimation;</w:t>
      </w:r>
    </w:p>
    <w:p>
      <w:pPr>
        <w:spacing w:after="80" w:line="290" w:lineRule="auto"/>
        <w:numPr>
          <w:ilvl w:val="0"/>
          <w:numId w:val="10"/>
        </w:numPr>
      </w:pPr>
      <w:r>
        <w:rPr>
          <w:rFonts w:ascii="Consolas" w:hAnsi="Consolas" w:eastAsia="Microsoft YaHei"/>
          <w:color w:val="1F4D78"/>
          <w:sz w:val="19"/>
          <w:shd w:fill="EEF2F6"/>
        </w:rPr>
        <w:t>BaseMultiModalProcessor</w:t>
      </w:r>
      <w:r>
        <w:t xml:space="preserve"> describes multimodal fields and placeholder-update rules.</w:t>
      </w:r>
    </w:p>
    <w:p>
      <w:pPr/>
      <w:r>
        <w:t>All three must be bound to the corresponding model. The arrows on the right from maximum embeddings to GPU memory estimation and KV Cache planning indicate that processor declarations affect how many resources the runtime can reserve.</w:t>
      </w:r>
    </w:p>
    <w:p>
      <w:pPr/>
      <w:r>
        <w:rPr>
          <w:rFonts w:ascii="Consolas" w:hAnsi="Consolas" w:eastAsia="Microsoft YaHei"/>
          <w:color w:val="1F4D78"/>
          <w:sz w:val="19"/>
          <w:shd w:fill="EEF2F6"/>
        </w:rPr>
        <w:t>_get_mm_fields_config()</w:t>
      </w:r>
      <w:r>
        <w:t xml:space="preserve"> describes multimodal input fields or tensor configurations. The transcript also notes that it may participate in shape validation, filter out training fields, and handle batch dimensions that differ between Hugging Face outputs and vLLM expectations. These behaviors are model-specific and cannot be stated as uniform API guarantees.</w:t>
      </w:r>
    </w:p>
    <w:p>
      <w:pPr/>
      <w:r>
        <w:rPr>
          <w:rFonts w:ascii="Consolas" w:hAnsi="Consolas" w:eastAsia="Microsoft YaHei"/>
          <w:color w:val="1F4D78"/>
          <w:sz w:val="19"/>
          <w:shd w:fill="EEF2F6"/>
        </w:rPr>
        <w:t>_get_prompt_updates()</w:t>
      </w:r>
      <w:r>
        <w:t xml:space="preserve"> can return two kinds of updates:</w:t>
      </w:r>
    </w:p>
    <w:p>
      <w:pPr>
        <w:spacing w:after="80" w:line="290" w:lineRule="auto"/>
        <w:numPr>
          <w:ilvl w:val="0"/>
          <w:numId w:val="10"/>
        </w:numPr>
      </w:pPr>
      <w:r>
        <w:rPr>
          <w:rFonts w:ascii="Consolas" w:hAnsi="Consolas" w:eastAsia="Microsoft YaHei"/>
          <w:color w:val="1F4D78"/>
          <w:sz w:val="19"/>
          <w:shd w:fill="EEF2F6"/>
        </w:rPr>
        <w:t>PromptReplacement</w:t>
      </w:r>
      <w:r>
        <w:t>: replaces the target placeholder with multimodal content;</w:t>
      </w:r>
    </w:p>
    <w:p>
      <w:pPr>
        <w:spacing w:after="80" w:line="290" w:lineRule="auto"/>
        <w:numPr>
          <w:ilvl w:val="0"/>
          <w:numId w:val="10"/>
        </w:numPr>
      </w:pPr>
      <w:r>
        <w:rPr>
          <w:rFonts w:ascii="Consolas" w:hAnsi="Consolas" w:eastAsia="Microsoft YaHei"/>
          <w:color w:val="1F4D78"/>
          <w:sz w:val="19"/>
          <w:shd w:fill="EEF2F6"/>
        </w:rPr>
        <w:t>PromptInsertion</w:t>
      </w:r>
      <w:r>
        <w:t>: retains the original content and inserts multimodal content at a specified position.</w:t>
      </w:r>
    </w:p>
    <w:p>
      <w:pPr/>
      <w:r>
        <w:t>If the original prompt is:</w:t>
      </w:r>
    </w:p>
    <w:p>
      <w:pPr/>
      <w:r>
        <w:t>```text</w:t>
      </w:r>
    </w:p>
    <w:p>
      <w:pPr/>
      <w:r>
        <w:t>[text_before, image_token_id, text_after]</w:t>
      </w:r>
    </w:p>
    <w:p>
      <w:pPr/>
      <w:r>
        <w:t>```</w:t>
      </w:r>
    </w:p>
    <w:p>
      <w:pPr/>
      <w:r>
        <w:t xml:space="preserve">and one image corresponds to </w:t>
      </w:r>
      <w:r>
        <w:rPr>
          <w:rFonts w:ascii="Consolas" w:hAnsi="Consolas" w:eastAsia="Microsoft YaHei"/>
          <w:color w:val="1F4D78"/>
          <w:sz w:val="19"/>
          <w:shd w:fill="EEF2F6"/>
        </w:rPr>
        <w:t>N</w:t>
      </w:r>
      <w:r>
        <w:t xml:space="preserve"> content units, the replacement result is:</w:t>
      </w:r>
    </w:p>
    <w:p>
      <w:pPr/>
      <w:r>
        <w:t>```text</w:t>
      </w:r>
    </w:p>
    <w:p>
      <w:pPr/>
      <w:r>
        <w:t>[text_before, u₁, u₂, …, uₙ, text_after]</w:t>
      </w:r>
    </w:p>
    <w:p>
      <w:pPr/>
      <w:r>
        <w:t>```</w:t>
      </w:r>
    </w:p>
    <w:p>
      <w:pPr/>
      <w:r>
        <w:t xml:space="preserve">The insertion approach retains </w:t>
      </w:r>
      <w:r>
        <w:rPr>
          <w:rFonts w:ascii="Consolas" w:hAnsi="Consolas" w:eastAsia="Microsoft YaHei"/>
          <w:color w:val="1F4D78"/>
          <w:sz w:val="19"/>
          <w:shd w:fill="EEF2F6"/>
        </w:rPr>
        <w:t>image_token_id</w:t>
      </w:r>
      <w:r>
        <w:t xml:space="preserve">. If the original length is </w:t>
      </w:r>
      <w:r>
        <w:rPr>
          <w:rFonts w:ascii="Consolas" w:hAnsi="Consolas" w:eastAsia="Microsoft YaHei"/>
          <w:color w:val="1F4D78"/>
          <w:sz w:val="19"/>
          <w:shd w:fill="EEF2F6"/>
        </w:rPr>
        <w:t>L</w:t>
      </w:r>
      <w:r>
        <w:t>, the two approaches yield the following length relationships:</w:t>
      </w:r>
    </w:p>
    <w:p>
      <w:pPr/>
      <w:r>
        <w:t>```text</w:t>
      </w:r>
    </w:p>
    <w:p>
      <w:pPr/>
      <w:r>
        <w:t>replacement_length = L - 1 + N</w:t>
      </w:r>
    </w:p>
    <w:p>
      <w:pPr/>
      <w:r>
        <w:t>insertion_length   = L + N</w:t>
      </w:r>
    </w:p>
    <w:p>
      <w:pPr/>
      <w:r>
        <w:t>```</w:t>
      </w:r>
    </w:p>
    <w:p>
      <w:pPr/>
      <w:r>
        <w:t xml:space="preserve">The source material does not provide </w:t>
      </w:r>
      <w:r>
        <w:rPr>
          <w:rFonts w:ascii="Consolas" w:hAnsi="Consolas" w:eastAsia="Microsoft YaHei"/>
          <w:color w:val="1F4D78"/>
          <w:sz w:val="19"/>
          <w:shd w:fill="EEF2F6"/>
        </w:rPr>
        <w:t>N</w:t>
      </w:r>
      <w:r>
        <w:t>, so no fixed image size, patch count, or token count can be added.</w:t>
      </w:r>
    </w:p>
    <w:p>
      <w:pPr/>
      <w:r>
        <w:t>The key causal chain can be summarized as:</w:t>
      </w:r>
    </w:p>
    <w:p>
      <w:pPr/>
      <w:r>
        <w:t>```text</w:t>
      </w:r>
    </w:p>
    <w:p>
      <w:pPr/>
      <w:r>
        <w:t>Modality input limit</w:t>
      </w:r>
    </w:p>
    <w:p>
      <w:pPr/>
      <w:r>
        <w:t>→ Maximum amount of content produced by placeholders</w:t>
      </w:r>
    </w:p>
    <w:p>
      <w:pPr/>
      <w:r>
        <w:t>→ Longest multimodal embedding</w:t>
      </w:r>
    </w:p>
    <w:p>
      <w:pPr/>
      <w:r>
        <w:t>→ Dummy inputs must cover this upper bound</w:t>
      </w:r>
    </w:p>
    <w:p>
      <w:pPr/>
      <w:r>
        <w:t>→ Multimodal GPU memory estimation</w:t>
      </w:r>
    </w:p>
    <w:p>
      <w:pPr/>
      <w:r>
        <w:t>→ Remaining KV Cache planning</w:t>
      </w:r>
    </w:p>
    <w:p>
      <w:pPr/>
      <w:r>
        <w:t>```</w:t>
      </w:r>
    </w:p>
    <w:p>
      <w:pPr/>
      <w:r>
        <w:t>The PPT supports using dummy inputs to estimate the maximum multimodal GPU memory consumption. The transcript further notes that underestimation may make KV Cache planning overly optimistic and trigger an OOM at runtime; field or count mismatches may also cause shape errors. The latter two are descriptions of engineering risks and are not accompanied by experiments or numerical results.</w:t>
      </w:r>
    </w:p>
    <w:p>
      <w:pPr/>
      <w:r>
        <w:t>Therefore, the completion criterion for multimodal integration is not that the vision encoder can run independently, but that model inputs, prompt updates, and worst-case resource estimates use the same boundary.</w:t>
      </w:r>
    </w:p>
    <w:p>
      <w:pPr>
        <w:pStyle w:val="Heading1"/>
      </w:pPr>
      <w:r>
        <w:t>7. Branch Capabilities: ASR, Interleaved Windows, and Mamba</w:t>
      </w:r>
    </w:p>
    <w:p>
      <w:pPr/>
      <w:r>
        <w:t>ASR, interleaved sliding windows, and Mamba all build on the basic integration pipeline, but they modify different contracts.</w:t>
      </w:r>
    </w:p>
    <w:p>
      <w:pPr>
        <w:pStyle w:val="Heading2"/>
      </w:pPr>
      <w:r>
        <w:t>ASR: Declaring Languages, Tasks, and Prompt Protocols</w:t>
      </w:r>
    </w:p>
    <w:p>
      <w:pPr/>
      <w:r>
        <w:t xml:space="preserve">In this article, ASR (Automatic Speech Recognition) refers to converting input speech into text or subtitles. Relevant models must implement </w:t>
      </w:r>
      <w:r>
        <w:rPr>
          <w:rFonts w:ascii="Consolas" w:hAnsi="Consolas" w:eastAsia="Microsoft YaHei"/>
          <w:color w:val="1F4D78"/>
          <w:sz w:val="19"/>
          <w:shd w:fill="EEF2F6"/>
        </w:rPr>
        <w:t>SupportsTranscription</w:t>
      </w:r>
      <w:r>
        <w:t>, with the following primary contracts:</w:t>
      </w:r>
    </w:p>
    <w:tbl>
      <w:tblPr>
        <w:tblStyle w:val="TableGrid"/>
        <w:tblW w:type="dxa" w:w="9360"/>
        <w:jc w:val="left"/>
        <w:tblLayout w:type="fixed"/>
        <w:tblLook w:firstColumn="1" w:firstRow="1" w:lastColumn="0" w:lastRow="0" w:noHBand="0" w:noVBand="1" w:val="04A0"/>
        <w:tblInd w:w="120" w:type="dxa"/>
      </w:tblPr>
      <w:tblGrid>
        <w:gridCol w:w="2574"/>
        <w:gridCol w:w="3393"/>
        <w:gridCol w:w="3393"/>
      </w:tblGrid>
      <w:tr>
        <w:trPr>
          <w:tblHeader w:val="true"/>
        </w:trPr>
        <w:tc>
          <w:tcPr>
            <w:tcW w:type="dxa" w:w="257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Member</w:t>
            </w:r>
          </w:p>
        </w:tc>
        <w:tc>
          <w:tcPr>
            <w:tcW w:type="dxa" w:w="339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Responsibility</w:t>
            </w:r>
          </w:p>
        </w:tc>
        <w:tc>
          <w:tcPr>
            <w:tcW w:type="dxa" w:w="339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Boundary</w:t>
            </w:r>
          </w:p>
        </w:tc>
      </w:tr>
      <w:tr>
        <w:tc>
          <w:tcPr>
            <w:tcW w:type="dxa" w:w="2574"/>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supported_languages</w:t>
            </w:r>
          </w:p>
        </w:tc>
        <w:tc>
          <w:tcPr>
            <w:tcW w:type="dxa" w:w="3393"/>
            <w:vAlign w:val="center"/>
            <w:tcMar>
              <w:top w:w="80" w:type="dxa"/>
              <w:start w:w="120" w:type="dxa"/>
              <w:bottom w:w="80" w:type="dxa"/>
              <w:end w:w="120" w:type="dxa"/>
            </w:tcMar>
          </w:tcPr>
          <w:p>
            <w:pPr>
              <w:spacing w:before="0" w:after="0" w:line="259" w:lineRule="auto"/>
            </w:pPr>
            <w:r>
              <w:rPr>
                <w:rFonts w:ascii="Calibri" w:hAnsi="Calibri" w:eastAsia="Microsoft YaHei"/>
                <w:sz w:val="18"/>
              </w:rPr>
              <w:t>Maps ISO 639-1 language codes to names</w:t>
            </w:r>
          </w:p>
        </w:tc>
        <w:tc>
          <w:tcPr>
            <w:tcW w:type="dxa" w:w="3393"/>
            <w:vAlign w:val="center"/>
            <w:tcMar>
              <w:top w:w="80" w:type="dxa"/>
              <w:start w:w="120" w:type="dxa"/>
              <w:bottom w:w="80" w:type="dxa"/>
              <w:end w:w="120" w:type="dxa"/>
            </w:tcMar>
          </w:tcPr>
          <w:p>
            <w:pPr>
              <w:spacing w:before="0" w:after="0" w:line="259" w:lineRule="auto"/>
            </w:pPr>
            <w:r>
              <w:rPr>
                <w:rFonts w:ascii="Calibri" w:hAnsi="Calibri" w:eastAsia="Microsoft YaHei"/>
                <w:sz w:val="18"/>
              </w:rPr>
              <w:t>The complete range is determined by the model</w:t>
            </w:r>
          </w:p>
        </w:tc>
      </w:tr>
      <w:tr>
        <w:tc>
          <w:tcPr>
            <w:tcW w:type="dxa" w:w="2574"/>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supports_transcription_only</w:t>
            </w:r>
          </w:p>
        </w:tc>
        <w:tc>
          <w:tcPr>
            <w:tcW w:type="dxa" w:w="3393"/>
            <w:vAlign w:val="center"/>
            <w:tcMar>
              <w:top w:w="80" w:type="dxa"/>
              <w:start w:w="120" w:type="dxa"/>
              <w:bottom w:w="80" w:type="dxa"/>
              <w:end w:w="120" w:type="dxa"/>
            </w:tcMar>
          </w:tcPr>
          <w:p>
            <w:pPr>
              <w:spacing w:before="0" w:after="0" w:line="259" w:lineRule="auto"/>
            </w:pPr>
            <w:r>
              <w:rPr>
                <w:rFonts w:ascii="Calibri" w:hAnsi="Calibri" w:eastAsia="Microsoft YaHei"/>
                <w:sz w:val="18"/>
              </w:rPr>
              <w:t>Declares whether only transcription is supported</w:t>
            </w:r>
          </w:p>
        </w:tc>
        <w:tc>
          <w:tcPr>
            <w:tcW w:type="dxa" w:w="3393"/>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True</w:t>
            </w:r>
            <w:r>
              <w:rPr>
                <w:rFonts w:ascii="Calibri" w:hAnsi="Calibri" w:eastAsia="Microsoft YaHei"/>
                <w:sz w:val="18"/>
              </w:rPr>
              <w:t xml:space="preserve"> is only the example value from the source material</w:t>
            </w:r>
          </w:p>
        </w:tc>
      </w:tr>
      <w:tr>
        <w:tc>
          <w:tcPr>
            <w:tcW w:type="dxa" w:w="2574"/>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get_speech_to_text_config</w:t>
            </w:r>
          </w:p>
        </w:tc>
        <w:tc>
          <w:tcPr>
            <w:tcW w:type="dxa" w:w="3393"/>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Returns </w:t>
            </w:r>
            <w:r>
              <w:rPr>
                <w:rFonts w:ascii="Consolas" w:hAnsi="Consolas" w:eastAsia="Microsoft YaHei"/>
                <w:color w:val="1F4D78"/>
                <w:sz w:val="19"/>
                <w:shd w:fill="EEF2F6"/>
              </w:rPr>
              <w:t>SpeechToTextConfig</w:t>
            </w:r>
          </w:p>
        </w:tc>
        <w:tc>
          <w:tcPr>
            <w:tcW w:type="dxa" w:w="3393"/>
            <w:vAlign w:val="center"/>
            <w:tcMar>
              <w:top w:w="80" w:type="dxa"/>
              <w:start w:w="120" w:type="dxa"/>
              <w:bottom w:w="80" w:type="dxa"/>
              <w:end w:w="120" w:type="dxa"/>
            </w:tcMar>
          </w:tcPr>
          <w:p>
            <w:pPr>
              <w:spacing w:before="0" w:after="0" w:line="259" w:lineRule="auto"/>
            </w:pPr>
            <w:r>
              <w:rPr>
                <w:rFonts w:ascii="Calibri" w:hAnsi="Calibri" w:eastAsia="Microsoft YaHei"/>
                <w:sz w:val="18"/>
              </w:rPr>
              <w:t>May describe the sample rate, maximum segment length, and energy-based segmentation window</w:t>
            </w:r>
          </w:p>
        </w:tc>
      </w:tr>
      <w:tr>
        <w:tc>
          <w:tcPr>
            <w:tcW w:type="dxa" w:w="2574"/>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get_generation_prompt</w:t>
            </w:r>
          </w:p>
        </w:tc>
        <w:tc>
          <w:tcPr>
            <w:tcW w:type="dxa" w:w="3393"/>
            <w:vAlign w:val="center"/>
            <w:tcMar>
              <w:top w:w="80" w:type="dxa"/>
              <w:start w:w="120" w:type="dxa"/>
              <w:bottom w:w="80" w:type="dxa"/>
              <w:end w:w="120" w:type="dxa"/>
            </w:tcMar>
          </w:tcPr>
          <w:p>
            <w:pPr>
              <w:spacing w:before="0" w:after="0" w:line="259" w:lineRule="auto"/>
            </w:pPr>
            <w:r>
              <w:rPr>
                <w:rFonts w:ascii="Calibri" w:hAnsi="Calibri" w:eastAsia="Microsoft YaHei"/>
                <w:sz w:val="18"/>
              </w:rPr>
              <w:t>Constructs a generation prompt from transcription parameters</w:t>
            </w:r>
          </w:p>
        </w:tc>
        <w:tc>
          <w:tcPr>
            <w:tcW w:type="dxa" w:w="3393"/>
            <w:vAlign w:val="center"/>
            <w:tcMar>
              <w:top w:w="80" w:type="dxa"/>
              <w:start w:w="120" w:type="dxa"/>
              <w:bottom w:w="80" w:type="dxa"/>
              <w:end w:w="120" w:type="dxa"/>
            </w:tcMar>
          </w:tcPr>
          <w:p>
            <w:pPr>
              <w:spacing w:before="0" w:after="0" w:line="259" w:lineRule="auto"/>
            </w:pPr>
            <w:r>
              <w:rPr>
                <w:rFonts w:ascii="Calibri" w:hAnsi="Calibri" w:eastAsia="Microsoft YaHei"/>
                <w:sz w:val="18"/>
              </w:rPr>
              <w:t>The specific fields and tokens are not fully shown</w:t>
            </w:r>
          </w:p>
        </w:tc>
      </w:tr>
    </w:tbl>
    <w:p>
      <w:pPr>
        <w:spacing w:after="40"/>
      </w:pPr>
    </w:p>
    <w:p>
      <w:pPr/>
      <w:r>
        <w:rPr>
          <w:rFonts w:ascii="Consolas" w:hAnsi="Consolas" w:eastAsia="Microsoft YaHei"/>
          <w:color w:val="1F4D78"/>
          <w:sz w:val="19"/>
          <w:shd w:fill="EEF2F6"/>
        </w:rPr>
        <w:t>SpeechToTextConfig</w:t>
      </w:r>
      <w:r>
        <w:t xml:space="preserve"> centralizes audio input constraints, but the source material does not provide a specific sample rate, maximum duration, or window value.</w:t>
      </w:r>
    </w:p>
    <w:p>
      <w:pPr/>
      <w:r>
        <w:rPr>
          <w:rFonts w:ascii="Consolas" w:hAnsi="Consolas" w:eastAsia="Microsoft YaHei"/>
          <w:color w:val="1F4D78"/>
          <w:sz w:val="19"/>
          <w:shd w:fill="EEF2F6"/>
        </w:rPr>
        <w:t>get_generation_prompt</w:t>
      </w:r>
      <w:r>
        <w:t xml:space="preserve"> can construct either a multimodal prompt or an encoder/decoder-style prompt. The exact dictionary structure must likewise be verified for the model.</w:t>
      </w:r>
    </w:p>
    <w:p>
      <w:pPr/>
      <w:r>
        <w:t>The new requirement introduced by ASR is not merely an additional audio tensor, but the connection among the supported languages, task capabilities, audio constraints, and prompt protocol.</w:t>
      </w:r>
    </w:p>
    <w:p>
      <w:pPr>
        <w:pStyle w:val="Heading2"/>
      </w:pPr>
      <w:r>
        <w:t>Interleaved Windows and Mamba: Branching by Architecture</w:t>
      </w:r>
    </w:p>
    <w:p>
      <w:pPr/>
      <w:r>
        <w:t>The following decision tree distinguishes interleaved sliding windows from three Mamba paths. This branching relationship should be examined first because the former is a per-layer Attention configuration, while the latter concerns architecture type and runtime state management. They cannot use the same extension template.</w:t>
      </w:r>
    </w:p>
    <w:p>
      <w:pPr>
        <w:keepNext/>
        <w:keepLines/>
        <w:spacing w:before="120" w:after="0"/>
        <w:jc w:val="center"/>
      </w:pPr>
      <w:r>
        <w:drawing>
          <wp:inline xmlns:a="http://schemas.openxmlformats.org/drawingml/2006/main" xmlns:pic="http://schemas.openxmlformats.org/drawingml/2006/picture">
            <wp:extent cx="5943600" cy="3342114"/>
            <wp:docPr id="9" name="Picture 9" descr="PPT page 19: Sliding-window and Mamba integration paths" title="PPT page 19: Sliding-window and Mamba integration paths"/>
            <wp:cNvGraphicFramePr>
              <a:graphicFrameLocks noChangeAspect="1"/>
            </wp:cNvGraphicFramePr>
            <a:graphic>
              <a:graphicData uri="http://schemas.openxmlformats.org/drawingml/2006/picture">
                <pic:pic>
                  <pic:nvPicPr>
                    <pic:cNvPr id="0" name="slide-19.png"/>
                    <pic:cNvPicPr/>
                  </pic:nvPicPr>
                  <pic:blipFill>
                    <a:blip r:embed="rId21"/>
                    <a:stretch>
                      <a:fillRect/>
                    </a:stretch>
                  </pic:blipFill>
                  <pic:spPr>
                    <a:xfrm>
                      <a:off x="0" y="0"/>
                      <a:ext cx="5943600" cy="3342114"/>
                    </a:xfrm>
                    <a:prstGeom prst="rect"/>
                  </pic:spPr>
                </pic:pic>
              </a:graphicData>
            </a:graphic>
          </wp:inline>
        </w:drawing>
      </w:r>
    </w:p>
    <w:p>
      <w:pPr/>
      <w:r>
        <w:rPr>
          <w:i/>
        </w:rPr>
        <w:t>Figure 9: Sliding-window and Mamba integration paths. Source: PPT page 19.</w:t>
      </w:r>
    </w:p>
    <w:p>
      <w:pPr/>
      <w:r>
        <w:t xml:space="preserve">The left side of the decision tree handles per-layer windows: read </w:t>
      </w:r>
      <w:r>
        <w:rPr>
          <w:rFonts w:ascii="Consolas" w:hAnsi="Consolas" w:eastAsia="Microsoft YaHei"/>
          <w:color w:val="1F4D78"/>
          <w:sz w:val="19"/>
          <w:shd w:fill="EEF2F6"/>
        </w:rPr>
        <w:t>layer_types</w:t>
      </w:r>
      <w:r>
        <w:t xml:space="preserve"> from </w:t>
      </w:r>
      <w:r>
        <w:rPr>
          <w:rFonts w:ascii="Consolas" w:hAnsi="Consolas" w:eastAsia="Microsoft YaHei"/>
          <w:color w:val="1F4D78"/>
          <w:sz w:val="19"/>
          <w:shd w:fill="EEF2F6"/>
        </w:rPr>
        <w:t>config.json</w:t>
      </w:r>
      <w:r>
        <w:t xml:space="preserve">, resolve the window corresponding to layer </w:t>
      </w:r>
      <w:r>
        <w:rPr>
          <w:rFonts w:ascii="Consolas" w:hAnsi="Consolas" w:eastAsia="Microsoft YaHei"/>
          <w:color w:val="1F4D78"/>
          <w:sz w:val="19"/>
          <w:shd w:fill="EEF2F6"/>
        </w:rPr>
        <w:t>i</w:t>
      </w:r>
      <w:r>
        <w:t xml:space="preserve">, and pass the result to that layer’s </w:t>
      </w:r>
      <w:r>
        <w:rPr>
          <w:rFonts w:ascii="Consolas" w:hAnsi="Consolas" w:eastAsia="Microsoft YaHei"/>
          <w:color w:val="1F4D78"/>
          <w:sz w:val="19"/>
          <w:shd w:fill="EEF2F6"/>
        </w:rPr>
        <w:t>Attention</w:t>
      </w:r>
      <w:r>
        <w:t xml:space="preserve"> through </w:t>
      </w:r>
      <w:r>
        <w:rPr>
          <w:rFonts w:ascii="Consolas" w:hAnsi="Consolas" w:eastAsia="Microsoft YaHei"/>
          <w:color w:val="1F4D78"/>
          <w:sz w:val="19"/>
          <w:shd w:fill="EEF2F6"/>
        </w:rPr>
        <w:t>per_layer_sliding_window</w:t>
      </w:r>
      <w:r>
        <w:t>.</w:t>
      </w:r>
    </w:p>
    <w:p>
      <w:pPr/>
      <w:r>
        <w:t xml:space="preserve">If only one global window is read, differences between layers will be lost during model construction. The source material does not provide the specific structure of </w:t>
      </w:r>
      <w:r>
        <w:rPr>
          <w:rFonts w:ascii="Consolas" w:hAnsi="Consolas" w:eastAsia="Microsoft YaHei"/>
          <w:color w:val="1F4D78"/>
          <w:sz w:val="19"/>
          <w:shd w:fill="EEF2F6"/>
        </w:rPr>
        <w:t>layer_types</w:t>
      </w:r>
      <w:r>
        <w:t>, the window unit, or the parsing algorithm.</w:t>
      </w:r>
    </w:p>
    <w:p>
      <w:pPr/>
      <w:r>
        <w:t>The right side divides Mamba integration paths by architectural characteristics:</w:t>
      </w:r>
    </w:p>
    <w:p>
      <w:pPr>
        <w:spacing w:after="80" w:line="290" w:lineRule="auto"/>
        <w:numPr>
          <w:ilvl w:val="0"/>
          <w:numId w:val="10"/>
        </w:numPr>
      </w:pPr>
      <w:r>
        <w:t xml:space="preserve">Pure Mamba models inherit </w:t>
      </w:r>
      <w:r>
        <w:rPr>
          <w:rFonts w:ascii="Consolas" w:hAnsi="Consolas" w:eastAsia="Microsoft YaHei"/>
          <w:color w:val="1F4D78"/>
          <w:sz w:val="19"/>
          <w:shd w:fill="EEF2F6"/>
        </w:rPr>
        <w:t>IsAttentionFree</w:t>
      </w:r>
      <w:r>
        <w:t xml:space="preserve">, and the implementation must verify whether to use </w:t>
      </w:r>
      <w:r>
        <w:rPr>
          <w:rFonts w:ascii="Consolas" w:hAnsi="Consolas" w:eastAsia="Microsoft YaHei"/>
          <w:color w:val="1F4D78"/>
          <w:sz w:val="19"/>
          <w:shd w:fill="EEF2F6"/>
        </w:rPr>
        <w:t>MambaMixer</w:t>
      </w:r>
      <w:r>
        <w:t xml:space="preserve"> or </w:t>
      </w:r>
      <w:r>
        <w:rPr>
          <w:rFonts w:ascii="Consolas" w:hAnsi="Consolas" w:eastAsia="Microsoft YaHei"/>
          <w:color w:val="1F4D78"/>
          <w:sz w:val="19"/>
          <w:shd w:fill="EEF2F6"/>
        </w:rPr>
        <w:t>MambaMixer2</w:t>
      </w:r>
      <w:r>
        <w:t>;</w:t>
      </w:r>
    </w:p>
    <w:p>
      <w:pPr>
        <w:spacing w:after="80" w:line="290" w:lineRule="auto"/>
        <w:numPr>
          <w:ilvl w:val="0"/>
          <w:numId w:val="10"/>
        </w:numPr>
      </w:pPr>
      <w:r>
        <w:t xml:space="preserve">Hybrid Mamba and Attention models inherit </w:t>
      </w:r>
      <w:r>
        <w:rPr>
          <w:rFonts w:ascii="Consolas" w:hAnsi="Consolas" w:eastAsia="Microsoft YaHei"/>
          <w:color w:val="1F4D78"/>
          <w:sz w:val="19"/>
          <w:shd w:fill="EEF2F6"/>
        </w:rPr>
        <w:t>IsHybrid</w:t>
      </w:r>
      <w:r>
        <w:t xml:space="preserve"> and implement the corresponding state interfaces;</w:t>
      </w:r>
    </w:p>
    <w:p>
      <w:pPr>
        <w:spacing w:after="80" w:line="290" w:lineRule="auto"/>
        <w:numPr>
          <w:ilvl w:val="0"/>
          <w:numId w:val="10"/>
        </w:numPr>
      </w:pPr>
      <w:r>
        <w:t xml:space="preserve">Mamba-like implementations that cannot directly reuse a standard Mixer inherit </w:t>
      </w:r>
      <w:r>
        <w:rPr>
          <w:rFonts w:ascii="Consolas" w:hAnsi="Consolas" w:eastAsia="Microsoft YaHei"/>
          <w:color w:val="1F4D78"/>
          <w:sz w:val="19"/>
          <w:shd w:fill="EEF2F6"/>
        </w:rPr>
        <w:t>MambaBase</w:t>
      </w:r>
      <w:r>
        <w:t xml:space="preserve"> after verification, declare state types, shapes, and the attention backend, and register a </w:t>
      </w:r>
      <w:r>
        <w:rPr>
          <w:rFonts w:ascii="Consolas" w:hAnsi="Consolas" w:eastAsia="Microsoft YaHei"/>
          <w:color w:val="1F4D78"/>
          <w:sz w:val="19"/>
          <w:shd w:fill="EEF2F6"/>
        </w:rPr>
        <w:t>custom op</w:t>
      </w:r>
      <w:r>
        <w:t xml:space="preserve"> when necessary.</w:t>
      </w:r>
    </w:p>
    <w:p>
      <w:pPr/>
      <w:r>
        <w:t xml:space="preserve">The source material does not provide a complete list of the </w:t>
      </w:r>
      <w:r>
        <w:rPr>
          <w:rFonts w:ascii="Consolas" w:hAnsi="Consolas" w:eastAsia="Microsoft YaHei"/>
          <w:color w:val="1F4D78"/>
          <w:sz w:val="19"/>
          <w:shd w:fill="EEF2F6"/>
        </w:rPr>
        <w:t>get_mamba_state_*</w:t>
      </w:r>
      <w:r>
        <w:t xml:space="preserve"> method names, nor does it specify state layouts, update timing, or interface signatures. The third path also requires an attention backend to be declared, so not every </w:t>
      </w:r>
      <w:r>
        <w:rPr>
          <w:rFonts w:ascii="Consolas" w:hAnsi="Consolas" w:eastAsia="Microsoft YaHei"/>
          <w:color w:val="1F4D78"/>
          <w:sz w:val="19"/>
          <w:shd w:fill="EEF2F6"/>
        </w:rPr>
        <w:t>MambaBase</w:t>
      </w:r>
      <w:r>
        <w:t xml:space="preserve"> model can be classified as attention-free.</w:t>
      </w:r>
    </w:p>
    <w:p>
      <w:pPr/>
      <w:r>
        <w:t>These capabilities are additional contracts layered on top of the basic integration pipeline, not interchangeable implementation templates. The final acceptance criteria remain the same: interfaces, parameter organization, resource planning, and behavioral tests must all form a closed loop.</w:t>
      </w:r>
    </w:p>
    <w:p>
      <w:pPr>
        <w:pStyle w:val="Heading1"/>
      </w:pPr>
      <w:r>
        <w:t>Conclusion: Integration Is Complete Only When the Evidence Forms a Closed Loop</w:t>
      </w:r>
    </w:p>
    <w:p>
      <w:pPr>
        <w:spacing w:after="80" w:line="290" w:lineRule="auto"/>
        <w:numPr>
          <w:ilvl w:val="0"/>
          <w:numId w:val="10"/>
        </w:numPr>
      </w:pPr>
      <w:r>
        <w:t xml:space="preserve">Model integration is not a matter of copying </w:t>
      </w:r>
      <w:r>
        <w:rPr>
          <w:rFonts w:ascii="Consolas" w:hAnsi="Consolas" w:eastAsia="Microsoft YaHei"/>
          <w:color w:val="1F4D78"/>
          <w:sz w:val="19"/>
          <w:shd w:fill="EEF2F6"/>
        </w:rPr>
        <w:t>modeling_*.py</w:t>
      </w:r>
      <w:r>
        <w:t>; it requires module naming, runtime inputs, parameter layouts, registration information, and test evidence to remain consistent.</w:t>
      </w:r>
    </w:p>
    <w:p>
      <w:pPr>
        <w:spacing w:after="80" w:line="290" w:lineRule="auto"/>
        <w:numPr>
          <w:ilvl w:val="0"/>
          <w:numId w:val="10"/>
        </w:numPr>
      </w:pPr>
      <w:r>
        <w:t xml:space="preserve">It is recommended to verify single-GPU weight loading and </w:t>
      </w:r>
      <w:r>
        <w:rPr>
          <w:rFonts w:ascii="Consolas" w:hAnsi="Consolas" w:eastAsia="Microsoft YaHei"/>
          <w:color w:val="1F4D78"/>
          <w:sz w:val="19"/>
          <w:shd w:fill="EEF2F6"/>
        </w:rPr>
        <w:t>forward</w:t>
      </w:r>
      <w:r>
        <w:t xml:space="preserve"> first, then introduce tensor parallelism, and finally complete registration and layered testing. This sequence reduces the number of variables during integration debugging, but it does not imply that development will not involve iterative backtracking.</w:t>
      </w:r>
    </w:p>
    <w:p>
      <w:pPr>
        <w:spacing w:after="80" w:line="290" w:lineRule="auto"/>
        <w:numPr>
          <w:ilvl w:val="0"/>
          <w:numId w:val="10"/>
        </w:numPr>
      </w:pPr>
      <w:r>
        <w:rPr>
          <w:rFonts w:ascii="Consolas" w:hAnsi="Consolas" w:eastAsia="Microsoft YaHei"/>
          <w:color w:val="1F4D78"/>
          <w:sz w:val="19"/>
          <w:shd w:fill="EEF2F6"/>
        </w:rPr>
        <w:t>prefix</w:t>
      </w:r>
      <w:r>
        <w:t xml:space="preserve"> connects the module hierarchy, fully qualified Attention registration names, and quantization configuration matching. It should propagate along the actual module tree and form coordinates that can be cross-checked against checkpoint weight paths.</w:t>
      </w:r>
    </w:p>
    <w:p>
      <w:pPr>
        <w:spacing w:after="80" w:line="290" w:lineRule="auto"/>
        <w:numPr>
          <w:ilvl w:val="0"/>
          <w:numId w:val="10"/>
        </w:numPr>
      </w:pPr>
      <w:r>
        <w:t>Parallel layers are determined by the sharding dimension, output layout, and communication boundary. Column parallelism can retain sharded outputs, while row parallelism must aggregate partial sums. Not every linear layer can be mechanically replaced by the same implementation.</w:t>
      </w:r>
    </w:p>
    <w:p>
      <w:pPr>
        <w:spacing w:after="80" w:line="290" w:lineRule="auto"/>
        <w:numPr>
          <w:ilvl w:val="0"/>
          <w:numId w:val="10"/>
        </w:numPr>
      </w:pPr>
      <w:r>
        <w:t xml:space="preserve">Merged parallel layers change parameter organization, so </w:t>
      </w:r>
      <w:r>
        <w:rPr>
          <w:rFonts w:ascii="Consolas" w:hAnsi="Consolas" w:eastAsia="Microsoft YaHei"/>
          <w:color w:val="1F4D78"/>
          <w:sz w:val="19"/>
          <w:shd w:fill="EEF2F6"/>
        </w:rPr>
        <w:t>load_weights</w:t>
      </w:r>
      <w:r>
        <w:t xml:space="preserve"> must map checkpoint names, target parameter names, and internal shards accordingly. Name matching, individual writes, and overall coverage must be verified separately.</w:t>
      </w:r>
    </w:p>
    <w:p>
      <w:pPr>
        <w:spacing w:after="80" w:line="290" w:lineRule="auto"/>
        <w:numPr>
          <w:ilvl w:val="0"/>
          <w:numId w:val="10"/>
        </w:numPr>
      </w:pPr>
      <w:r>
        <w:t>Successful registration proves only that the architecture name can be resolved, while dummy weights prove only that initialization or the basic loading path can execute. Real generation, Top-K logprobs, Pooling, and multimodal behavior still require dedicated verification.</w:t>
      </w:r>
    </w:p>
    <w:p>
      <w:pPr>
        <w:spacing w:after="80" w:line="290" w:lineRule="auto"/>
        <w:numPr>
          <w:ilvl w:val="0"/>
          <w:numId w:val="10"/>
        </w:numPr>
      </w:pPr>
      <w:r>
        <w:t>Multimodal models and ASR do more than add encoders. They also introduce fields, placeholders, worst-case resource estimation, supported languages, and task protocols.</w:t>
      </w:r>
    </w:p>
    <w:p>
      <w:pPr>
        <w:spacing w:after="80" w:line="290" w:lineRule="auto"/>
        <w:numPr>
          <w:ilvl w:val="0"/>
          <w:numId w:val="10"/>
        </w:numPr>
      </w:pPr>
      <w:r>
        <w:t>Interleaved sliding windows and Mamba should be adapted according to per-layer configurations and architectural characteristics, respectively. They cannot be treated as interchangeable templates.</w:t>
      </w:r>
    </w:p>
    <w:p>
      <w:pPr>
        <w:pStyle w:val="Heading1"/>
      </w:pPr>
      <w:r>
        <w:t>Explicit Limitations</w:t>
      </w:r>
    </w:p>
    <w:p>
      <w:pPr/>
      <w:r>
        <w:t>This article explains the integration mechanism solely on the basis of the presentation slides, transcript, and supplied fact ledger. The source material does not provide the vLLM version, model version, GPU model, batch size, degree of tensor parallelism, concurrency, precision configuration, throughput, latency, GPU memory data, or test thresholds. Therefore, no quantitative performance conclusions can be drawn from it.</w:t>
      </w:r>
    </w:p>
    <w:p>
      <w:pPr/>
      <w:r>
        <w:t xml:space="preserve">PagedAttention, KV-Cache utilization, and multi-GPU partitioning are presented only as qualitative motivations. The conditions for KV-head replication, the specific distributed layout of </w:t>
      </w:r>
      <w:r>
        <w:rPr>
          <w:rFonts w:ascii="Consolas" w:hAnsi="Consolas" w:eastAsia="Microsoft YaHei"/>
          <w:color w:val="1F4D78"/>
          <w:sz w:val="19"/>
          <w:shd w:fill="EEF2F6"/>
        </w:rPr>
        <w:t>ParallelLMHead</w:t>
      </w:r>
      <w:r>
        <w:t>, gate/up shard identifiers, the exact annotation boundary between the vision tower and projector, ASR configuration values, interleaved-window parsing details, and Mamba state interfaces and update timing must all be further verified against the target version and specific model.</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Technical Deep Dive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From Hugging Face to vLLM: A Verifiable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 w:type="paragraph" w:customStyle="1" w:styleId="Formula">
    <w:name w:val="Formula"/>
    <w:pPr>
      <w:keepLines/>
      <w:spacing w:before="100" w:after="200"/>
      <w:jc w:val="center"/>
    </w:pPr>
    <w:rPr>
      <w:rFonts w:ascii="Calibri" w:hAnsi="Calibri" w:eastAsia="Microsoft YaHei"/>
      <w:b/>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ilibili.com/video/BV1gYL965ERP" TargetMode="External"/><Relationship Id="rId12" Type="http://schemas.openxmlformats.org/officeDocument/2006/relationships/hyperlink" Target="https://drive.google.com/file/d/13Iqs2X1CkWLtCbtCUB5bSUPX_bsBZ6IF/view"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Hugging Face to vLLM: A Verifiable Model Integration Pipeline</dc:title>
  <dc:subject>A model being able to run inference in Hugging Face only proves that its original implementation works. To bring it into vLLM, module naming, runtime inputs, parallel parameters, weight loading, registration information, and test evidence must all be alig</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