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混合模型系统构建：开源语义路由器的架构演进与工程实践</w:t>
      </w:r>
    </w:p>
    <w:p>
      <w:pPr>
        <w:spacing w:after="560"/>
        <w:jc w:val="center"/>
      </w:pPr>
      <w:r>
        <w:rPr>
          <w:rFonts w:ascii="Calibri" w:hAnsi="Calibri" w:eastAsia="Microsoft YaHei"/>
          <w:color w:val="1F4D78"/>
          <w:sz w:val="28"/>
        </w:rPr>
        <w:t>从两层网关的语义盲区到信号驱动的多模型协作 (MoM) 抽象</w:t>
      </w:r>
    </w:p>
    <w:p>
      <w:pPr>
        <w:spacing w:before="840" w:after="160"/>
        <w:jc w:val="center"/>
      </w:pPr>
      <w:r>
        <w:rPr>
          <w:rFonts w:ascii="Calibri" w:hAnsi="Calibri" w:eastAsia="Microsoft YaHei"/>
          <w:i/>
          <w:color w:val="626B75"/>
          <w:sz w:val="21"/>
        </w:rPr>
        <w:t>基于技术演讲与配套材料整理</w:t>
      </w:r>
    </w:p>
    <w:p>
      <w:pPr>
        <w:spacing w:after="80"/>
        <w:jc w:val="center"/>
      </w:pPr>
      <w:r>
        <w:rPr>
          <w:rFonts w:ascii="Calibri" w:hAnsi="Calibri" w:eastAsia="Microsoft YaHei"/>
          <w:color w:val="626B75"/>
          <w:sz w:val="19"/>
        </w:rPr>
        <w:t>配套材料：vllm-sr-oss.pdf</w:t>
      </w:r>
    </w:p>
    <w:p>
      <w:pPr>
        <w:spacing w:before="680"/>
        <w:jc w:val="center"/>
      </w:pPr>
      <w:r>
        <w:rPr>
          <w:rFonts w:ascii="Calibri" w:hAnsi="Calibri" w:eastAsia="Microsoft YaHei"/>
          <w:color w:val="626B75"/>
          <w:sz w:val="20"/>
        </w:rPr>
        <w:t>2026-09-30</w:t>
      </w:r>
      <w:r>
        <w:br w:type="page"/>
      </w:r>
    </w:p>
    <w:p>
      <w:pPr>
        <w:pStyle w:val="Lead"/>
      </w:pPr>
      <w:r>
        <w:rPr>
          <w:b/>
        </w:rPr>
        <w:t>原视频</w:t>
      </w:r>
      <w:r>
        <w:t>：</w:t>
      </w:r>
      <w:hyperlink r:id="rId11">
        <w:r>
          <w:rPr>
            <w:color w:val="0563C1"/>
            <w:u w:val="single"/>
          </w:rPr>
          <w:t>vLLM 语义路由器：探索多模型系统智能的边界</w:t>
        </w:r>
      </w:hyperlink>
      <w:r>
        <w:t xml:space="preserve"> · </w:t>
      </w:r>
      <w:r>
        <w:rPr>
          <w:b/>
        </w:rPr>
        <w:t>配套资料</w:t>
      </w:r>
      <w:r>
        <w:t>：</w:t>
      </w:r>
      <w:hyperlink r:id="rId12">
        <w:r>
          <w:rPr>
            <w:color w:val="0563C1"/>
            <w:u w:val="single"/>
          </w:rPr>
          <w:t>vLLM-SR 课件</w:t>
        </w:r>
      </w:hyperlink>
    </w:p>
    <w:p>
      <w:pPr/>
      <w:r>
        <w:t>当企业同时对接数十家模型供应商、自建多套推理集群、还要兼顾边缘设备部署时，一个贯穿全栈的矛盾日益尖锐：每条用户请求都携带丰富的意图信息，但负责调度的网关只能看到 Token 计数和队列深度，对请求"想做什么"毫无感知。本文围绕 vLLM-SR（vLLM Semantic Router，语义路由器）项目，从这一工程矛盾出发，沿"碎片化诊断 → 语义层定位 → 最小可行验证 → 信号驱动架构 → 多模型协作 → 工业证据 → 虚拟化抽象"的因果链路逐层展开，梳理开源社区在语义路由方向上的架构演进与关键设计决策。</w:t>
      </w:r>
    </w:p>
    <w:p>
      <w:pPr/>
      <w:r>
        <w:rPr>
          <w:b/>
        </w:rPr>
        <w:t>适读人群</w:t>
      </w:r>
      <w:r>
        <w:t>：AI 基础设施工程师、后端架构师、大模型应用开发者及技术负责人。</w:t>
      </w:r>
    </w:p>
    <w:p>
      <w:pPr/>
      <w:r>
        <w:rPr>
          <w:b/>
        </w:rPr>
        <w:t>前置知识</w:t>
      </w:r>
      <w:r>
        <w:t>：</w:t>
      </w:r>
    </w:p>
    <w:p>
      <w:pPr>
        <w:spacing w:after="80" w:line="290" w:lineRule="auto"/>
        <w:numPr>
          <w:ilvl w:val="0"/>
          <w:numId w:val="10"/>
        </w:numPr>
      </w:pPr>
      <w:r>
        <w:t>了解大模型推理基础概念（如 KV Cache、Prefix Cache）</w:t>
      </w:r>
    </w:p>
    <w:p>
      <w:pPr>
        <w:spacing w:after="80" w:line="290" w:lineRule="auto"/>
        <w:numPr>
          <w:ilvl w:val="0"/>
          <w:numId w:val="10"/>
        </w:numPr>
      </w:pPr>
      <w:r>
        <w:t>熟悉 API 网关与负载均衡的基本原理</w:t>
      </w:r>
    </w:p>
    <w:p>
      <w:pPr>
        <w:spacing w:after="80" w:line="290" w:lineRule="auto"/>
        <w:numPr>
          <w:ilvl w:val="0"/>
          <w:numId w:val="10"/>
        </w:numPr>
      </w:pPr>
      <w:r>
        <w:t>对当前开源与闭源大模型生态的碎片化现状有初步认知</w:t>
      </w:r>
    </w:p>
    <w:p>
      <w:pPr/>
      <w:r>
        <w:rPr>
          <w:b/>
        </w:rPr>
        <w:t>阅读目标</w:t>
      </w:r>
      <w:r>
        <w:t>：</w:t>
      </w:r>
    </w:p>
    <w:p>
      <w:pPr>
        <w:spacing w:after="80" w:line="290" w:lineRule="auto"/>
        <w:numPr>
          <w:ilvl w:val="0"/>
          <w:numId w:val="12"/>
        </w:numPr>
      </w:pPr>
      <w:r>
        <w:t>理解传统两层 AI 网关在处理复杂语义请求时的结构性局限</w:t>
      </w:r>
    </w:p>
    <w:p>
      <w:pPr>
        <w:spacing w:after="80" w:line="290" w:lineRule="auto"/>
        <w:numPr>
          <w:ilvl w:val="0"/>
          <w:numId w:val="12"/>
        </w:numPr>
      </w:pPr>
      <w:r>
        <w:t>掌握 vLLM-SR 语义路由层的系统定位及其与推理引擎的职责边界</w:t>
      </w:r>
    </w:p>
    <w:p>
      <w:pPr>
        <w:spacing w:after="80" w:line="290" w:lineRule="auto"/>
        <w:numPr>
          <w:ilvl w:val="0"/>
          <w:numId w:val="12"/>
        </w:numPr>
      </w:pPr>
      <w:r>
        <w:t>解析从静态分类到六阶段信号驱动架构的演进因果</w:t>
      </w:r>
    </w:p>
    <w:p>
      <w:pPr>
        <w:spacing w:after="80" w:line="290" w:lineRule="auto"/>
        <w:numPr>
          <w:ilvl w:val="0"/>
          <w:numId w:val="12"/>
        </w:numPr>
      </w:pPr>
      <w:r>
        <w:t>理解级联、融合、工作流三种多模型协作机制的工程实现</w:t>
      </w:r>
    </w:p>
    <w:p>
      <w:pPr>
        <w:spacing w:after="80" w:line="290" w:lineRule="auto"/>
        <w:numPr>
          <w:ilvl w:val="0"/>
          <w:numId w:val="12"/>
        </w:numPr>
      </w:pPr>
      <w:r>
        <w:t>认识混合模型（MoM）虚拟化抽象在端、云、企多环境中的部署价值</w:t>
      </w:r>
    </w:p>
    <w:p>
      <w:pPr>
        <w:pStyle w:val="Heading1"/>
      </w:pPr>
      <w:r>
        <w:t>一、算力碎片化与传统网关的语义盲区</w:t>
      </w:r>
    </w:p>
    <w:p>
      <w:pPr>
        <w:pStyle w:val="Heading2"/>
      </w:pPr>
      <w:r>
        <w:t>工程矛盾：请求有语义，网关看不见</w:t>
      </w:r>
    </w:p>
    <w:p>
      <w:pPr/>
      <w:r>
        <w:t>考虑以下两条经过同一网关的请求：</w:t>
      </w:r>
    </w:p>
    <w:p>
      <w:pPr>
        <w:spacing w:after="80" w:line="290" w:lineRule="auto"/>
        <w:numPr>
          <w:ilvl w:val="0"/>
          <w:numId w:val="10"/>
        </w:numPr>
      </w:pPr>
      <w:r>
        <w:rPr>
          <w:b/>
        </w:rPr>
        <w:t>请求 A</w:t>
      </w:r>
      <w:r>
        <w:t>：</w:t>
      </w:r>
      <w:r>
        <w:rPr>
          <w:rFonts w:ascii="Consolas" w:hAnsi="Consolas" w:eastAsia="Microsoft YaHei"/>
          <w:color w:val="1F4D78"/>
          <w:sz w:val="19"/>
          <w:shd w:fill="EEF2F6"/>
        </w:rPr>
        <w:t>"你好，今天天气怎么样？"</w:t>
      </w:r>
      <w:r>
        <w:t xml:space="preserve"> —— 简单问候，任意轻量模型即可胜任。</w:t>
      </w:r>
    </w:p>
    <w:p>
      <w:pPr>
        <w:spacing w:after="80" w:line="290" w:lineRule="auto"/>
        <w:numPr>
          <w:ilvl w:val="0"/>
          <w:numId w:val="10"/>
        </w:numPr>
      </w:pPr>
      <w:r>
        <w:rPr>
          <w:b/>
        </w:rPr>
        <w:t>请求 B</w:t>
      </w:r>
      <w:r>
        <w:t>：</w:t>
      </w:r>
      <w:r>
        <w:rPr>
          <w:rFonts w:ascii="Consolas" w:hAnsi="Consolas" w:eastAsia="Microsoft YaHei"/>
          <w:color w:val="1F4D78"/>
          <w:sz w:val="19"/>
          <w:shd w:fill="EEF2F6"/>
        </w:rPr>
        <w:t>"请为以下分布式系统设计一个基于 Raft 共识的容错方案，并给出伪代码。"</w:t>
      </w:r>
      <w:r>
        <w:t xml:space="preserve"> —— 需要深度推理能力的复杂生成任务。</w:t>
      </w:r>
    </w:p>
    <w:p>
      <w:pPr/>
      <w:r>
        <w:t>两条请求的 Token 长度可能相近，鉴权与限流环节无法区分它们，负载均衡器根据队列最短或缓存亲和度将它们分配到同一高规格实例。结果：请求 A 占用了本可服务请求 B 的大模型算力，而请求 B 若被分配到小模型则可能因能力不足产出低质量结果。</w:t>
      </w:r>
      <w:r>
        <w:rPr>
          <w:b/>
        </w:rPr>
        <w:t>算力错配（Compute Mismatch）在此成为系统性问题，而非偶发事件。</w:t>
      </w:r>
    </w:p>
    <w:p>
      <w:pPr/>
      <w:r>
        <w:t>要理解这一矛盾的根源，需要先看清当前 AI 基础设施已经演变出的两层网关架构，再审视模型与算力生态正在经历的多维碎片化。</w:t>
      </w:r>
    </w:p>
    <w:p>
      <w:pPr>
        <w:pStyle w:val="Heading2"/>
      </w:pPr>
      <w:r>
        <w:t>两层 AI 网关：从传统代理到推理调度</w:t>
      </w:r>
    </w:p>
    <w:p>
      <w:pPr/>
      <w:r>
        <w:t>下图展示了社区提出的两层 AI 网关模式，也是当前大多数企业 AI 流量管理的基线架构。</w:t>
      </w:r>
    </w:p>
    <w:p>
      <w:pPr>
        <w:keepNext/>
        <w:keepLines/>
        <w:spacing w:before="120" w:after="0"/>
        <w:jc w:val="center"/>
      </w:pPr>
      <w:r>
        <w:drawing>
          <wp:inline xmlns:a="http://schemas.openxmlformats.org/drawingml/2006/main" xmlns:pic="http://schemas.openxmlformats.org/drawingml/2006/picture">
            <wp:extent cx="5943600" cy="3343275"/>
            <wp:docPr id="1" name="Picture 1" descr="两层AI网关架构示意图：Tier 1负责供应商鉴权与统一API，Tier 2负责自建集群内的负载感知与缓存亲和调度" title="两层AI网关架构示意图：Tier 1负责供应商鉴权与统一API，Tier 2负责自建集群内的负载感知与缓存亲和调度"/>
            <wp:cNvGraphicFramePr>
              <a:graphicFrameLocks noChangeAspect="1"/>
            </wp:cNvGraphicFramePr>
            <a:graphic>
              <a:graphicData uri="http://schemas.openxmlformats.org/drawingml/2006/picture">
                <pic:pic>
                  <pic:nvPicPr>
                    <pic:cNvPr id="0" name="slide-03.png"/>
                    <pic:cNvPicPr/>
                  </pic:nvPicPr>
                  <pic:blipFill>
                    <a:blip r:embed="rId13"/>
                    <a:stretch>
                      <a:fillRect/>
                    </a:stretch>
                  </pic:blipFill>
                  <pic:spPr>
                    <a:xfrm>
                      <a:off x="0" y="0"/>
                      <a:ext cx="5943600" cy="3343275"/>
                    </a:xfrm>
                    <a:prstGeom prst="rect"/>
                  </pic:spPr>
                </pic:pic>
              </a:graphicData>
            </a:graphic>
          </wp:inline>
        </w:drawing>
      </w:r>
    </w:p>
    <w:p>
      <w:pPr/>
      <w:r>
        <w:rPr>
          <w:i/>
        </w:rPr>
        <w:t>图注：两层 AI 网关模式（Two-Tier AI Gateway Pattern）的总体架构。来源：演讲 PPT 第 3 页</w:t>
      </w:r>
    </w:p>
    <w:p>
      <w:pPr/>
      <w:r>
        <w:t>图中将企业 AI 流量的管理职责拆分为两个独立层级：</w:t>
      </w:r>
    </w:p>
    <w:tbl>
      <w:tblPr>
        <w:tblStyle w:val="TableGrid"/>
        <w:tblW w:type="dxa" w:w="9360"/>
        <w:jc w:val="left"/>
        <w:tblLayout w:type="fixed"/>
        <w:tblLook w:firstColumn="1" w:firstRow="1" w:lastColumn="0" w:lastRow="0" w:noHBand="0" w:noVBand="1" w:val="04A0"/>
        <w:tblInd w:w="120" w:type="dxa"/>
      </w:tblPr>
      <w:tblGrid>
        <w:gridCol w:w="1423"/>
        <w:gridCol w:w="2340"/>
        <w:gridCol w:w="3364"/>
        <w:gridCol w:w="2233"/>
      </w:tblGrid>
      <w:tr>
        <w:trPr>
          <w:tblHeader w:val="true"/>
        </w:trPr>
        <w:tc>
          <w:tcPr>
            <w:tcW w:type="dxa" w:w="142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层级</w:t>
            </w:r>
          </w:p>
        </w:tc>
        <w:tc>
          <w:tcPr>
            <w:tcW w:type="dxa" w:w="234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名称</w:t>
            </w:r>
          </w:p>
        </w:tc>
        <w:tc>
          <w:tcPr>
            <w:tcW w:type="dxa" w:w="336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核心职责</w:t>
            </w:r>
          </w:p>
        </w:tc>
        <w:tc>
          <w:tcPr>
            <w:tcW w:type="dxa" w:w="223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典型关注指标</w:t>
            </w:r>
          </w:p>
        </w:tc>
      </w:tr>
      <w:tr>
        <w:tc>
          <w:tcPr>
            <w:tcW w:type="dxa" w:w="1423"/>
            <w:vAlign w:val="center"/>
            <w:tcMar>
              <w:top w:w="80" w:type="dxa"/>
              <w:start w:w="120" w:type="dxa"/>
              <w:bottom w:w="80" w:type="dxa"/>
              <w:end w:w="120" w:type="dxa"/>
            </w:tcMar>
          </w:tcPr>
          <w:p>
            <w:pPr>
              <w:spacing w:before="0" w:after="0" w:line="259" w:lineRule="auto"/>
            </w:pPr>
            <w:r>
              <w:rPr>
                <w:rFonts w:ascii="Calibri" w:hAnsi="Calibri" w:eastAsia="Microsoft YaHei"/>
                <w:b/>
                <w:sz w:val="18"/>
              </w:rPr>
              <w:t>Tier 1</w:t>
            </w:r>
          </w:p>
        </w:tc>
        <w:tc>
          <w:tcPr>
            <w:tcW w:type="dxa" w:w="2340"/>
            <w:vAlign w:val="center"/>
            <w:tcMar>
              <w:top w:w="80" w:type="dxa"/>
              <w:start w:w="120" w:type="dxa"/>
              <w:bottom w:w="80" w:type="dxa"/>
              <w:end w:w="120" w:type="dxa"/>
            </w:tcMar>
          </w:tcPr>
          <w:p>
            <w:pPr>
              <w:spacing w:before="0" w:after="0" w:line="259" w:lineRule="auto"/>
            </w:pPr>
            <w:r>
              <w:rPr>
                <w:rFonts w:ascii="Calibri" w:hAnsi="Calibri" w:eastAsia="Microsoft YaHei"/>
                <w:sz w:val="18"/>
              </w:rPr>
              <w:t>供应商网关（Provider Gateway）</w:t>
            </w:r>
          </w:p>
        </w:tc>
        <w:tc>
          <w:tcPr>
            <w:tcW w:type="dxa" w:w="3364"/>
            <w:vAlign w:val="center"/>
            <w:tcMar>
              <w:top w:w="80" w:type="dxa"/>
              <w:start w:w="120" w:type="dxa"/>
              <w:bottom w:w="80" w:type="dxa"/>
              <w:end w:w="120" w:type="dxa"/>
            </w:tcMar>
          </w:tcPr>
          <w:p>
            <w:pPr>
              <w:spacing w:before="0" w:after="0" w:line="259" w:lineRule="auto"/>
            </w:pPr>
            <w:r>
              <w:rPr>
                <w:rFonts w:ascii="Calibri" w:hAnsi="Calibri" w:eastAsia="Microsoft YaHei"/>
                <w:sz w:val="18"/>
              </w:rPr>
              <w:t>统一 API 接入、API Key 鉴权、Token 级限流、可观测性</w:t>
            </w:r>
          </w:p>
        </w:tc>
        <w:tc>
          <w:tcPr>
            <w:tcW w:type="dxa" w:w="223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每分钟 Token 配额、请求计数</w:t>
            </w:r>
          </w:p>
        </w:tc>
      </w:tr>
      <w:tr>
        <w:tc>
          <w:tcPr>
            <w:tcW w:type="dxa" w:w="1423"/>
            <w:vAlign w:val="center"/>
            <w:tcMar>
              <w:top w:w="80" w:type="dxa"/>
              <w:start w:w="120" w:type="dxa"/>
              <w:bottom w:w="80" w:type="dxa"/>
              <w:end w:w="120" w:type="dxa"/>
            </w:tcMar>
          </w:tcPr>
          <w:p>
            <w:pPr>
              <w:spacing w:before="0" w:after="0" w:line="259" w:lineRule="auto"/>
            </w:pPr>
            <w:r>
              <w:rPr>
                <w:rFonts w:ascii="Calibri" w:hAnsi="Calibri" w:eastAsia="Microsoft YaHei"/>
                <w:b/>
                <w:sz w:val="18"/>
              </w:rPr>
              <w:t>Tier 2</w:t>
            </w:r>
          </w:p>
        </w:tc>
        <w:tc>
          <w:tcPr>
            <w:tcW w:type="dxa" w:w="2340"/>
            <w:vAlign w:val="center"/>
            <w:tcMar>
              <w:top w:w="80" w:type="dxa"/>
              <w:start w:w="120" w:type="dxa"/>
              <w:bottom w:w="80" w:type="dxa"/>
              <w:end w:w="120" w:type="dxa"/>
            </w:tcMar>
          </w:tcPr>
          <w:p>
            <w:pPr>
              <w:spacing w:before="0" w:after="0" w:line="259" w:lineRule="auto"/>
            </w:pPr>
            <w:r>
              <w:rPr>
                <w:rFonts w:ascii="Calibri" w:hAnsi="Calibri" w:eastAsia="Microsoft YaHei"/>
                <w:sz w:val="18"/>
              </w:rPr>
              <w:t>推理网关（Inference Gateway）</w:t>
            </w:r>
          </w:p>
        </w:tc>
        <w:tc>
          <w:tcPr>
            <w:tcW w:type="dxa" w:w="3364"/>
            <w:vAlign w:val="center"/>
            <w:tcMar>
              <w:top w:w="80" w:type="dxa"/>
              <w:start w:w="120" w:type="dxa"/>
              <w:bottom w:w="80" w:type="dxa"/>
              <w:end w:w="120" w:type="dxa"/>
            </w:tcMar>
          </w:tcPr>
          <w:p>
            <w:pPr>
              <w:spacing w:before="0" w:after="0" w:line="259" w:lineRule="auto"/>
            </w:pPr>
            <w:r>
              <w:rPr>
                <w:rFonts w:ascii="Calibri" w:hAnsi="Calibri" w:eastAsia="Microsoft YaHei"/>
                <w:sz w:val="18"/>
              </w:rPr>
              <w:t>自建集群内负载感知、队列调度、前缀缓存亲和（Prefix Cache Affinity）、P/D 分离路由</w:t>
            </w:r>
          </w:p>
        </w:tc>
        <w:tc>
          <w:tcPr>
            <w:tcW w:type="dxa" w:w="2233"/>
            <w:vAlign w:val="center"/>
            <w:tcMar>
              <w:top w:w="80" w:type="dxa"/>
              <w:start w:w="120" w:type="dxa"/>
              <w:bottom w:w="80" w:type="dxa"/>
              <w:end w:w="120" w:type="dxa"/>
            </w:tcMar>
          </w:tcPr>
          <w:p>
            <w:pPr>
              <w:spacing w:before="0" w:after="0" w:line="259" w:lineRule="auto"/>
            </w:pPr>
            <w:r>
              <w:rPr>
                <w:rFonts w:ascii="Calibri" w:hAnsi="Calibri" w:eastAsia="Microsoft YaHei"/>
                <w:sz w:val="18"/>
              </w:rPr>
              <w:t>GPU 队列深度、KV Cache 使用率</w:t>
            </w:r>
          </w:p>
        </w:tc>
      </w:tr>
    </w:tbl>
    <w:p>
      <w:pPr>
        <w:spacing w:after="40"/>
      </w:pPr>
    </w:p>
    <w:p>
      <w:pPr/>
      <w:r>
        <w:t>箭头显示了流量从客户端经过云负载均衡器后的两条路径：一条流向外部供应商（如 AWS Bedrock、GCP Vertex、Azure OpenAI 等），由 Tier 1 完成鉴权与限流；另一条流向自建推理集群（如部署了 DeepSeek 等模型的 GPU Fleet），此时 Tier 2 接管，利用后端 Metrics 进行更细粒度的调度。</w:t>
      </w:r>
    </w:p>
    <w:p>
      <w:pPr/>
      <w:r>
        <w:t>这一架构的演进逻辑清晰：传统 API 网关本质上是反向代理技术（Nginx、Envoy 等）在新工作负载上的延伸——后端从普通微服务变成了 vLLM（一种高吞吐大模型推理服务引擎）、SGLang（一种推理引擎框架）等部署的模型实例，限流粒度从"每分钟请求数"细化到"Token 级速率限制"。Tier 2 的出现则是因为跨 Worker 的请求级调度策略与 Tier 1 的供应商管理逻辑截然不同，必须独立处理。</w:t>
      </w:r>
    </w:p>
    <w:p>
      <w:pPr/>
      <w:r>
        <w:rPr>
          <w:b/>
        </w:rPr>
        <w:t>然而，两层架构的盲区恰恰在于：所有调度信号——Token 配额、并发数、队列深度、缓存命中率——全部是资源侧指标，没有任何一项能反映请求本身的意图或复杂度。</w:t>
      </w:r>
    </w:p>
    <w:p>
      <w:pPr>
        <w:pStyle w:val="Heading2"/>
      </w:pPr>
      <w:r>
        <w:t>四维碎片化：网关面对的组合爆炸</w:t>
      </w:r>
    </w:p>
    <w:p>
      <w:pPr/>
      <w:r>
        <w:t>下图以引入混合模型架构之前的视角，展示了应用与底层资源之间已经形成的密集交叉连线。</w:t>
      </w:r>
    </w:p>
    <w:p>
      <w:pPr>
        <w:keepNext/>
        <w:keepLines/>
        <w:spacing w:before="120" w:after="0"/>
        <w:jc w:val="center"/>
      </w:pPr>
      <w:r>
        <w:drawing>
          <wp:inline xmlns:a="http://schemas.openxmlformats.org/drawingml/2006/main" xmlns:pic="http://schemas.openxmlformats.org/drawingml/2006/picture">
            <wp:extent cx="5943600" cy="3343275"/>
            <wp:docPr id="2" name="Picture 2" descr="四维碎片化示意图：模型、算力、位置、偏好四个维度构成多对多映射网络" title="四维碎片化示意图：模型、算力、位置、偏好四个维度构成多对多映射网络"/>
            <wp:cNvGraphicFramePr>
              <a:graphicFrameLocks noChangeAspect="1"/>
            </wp:cNvGraphicFramePr>
            <a:graphic>
              <a:graphicData uri="http://schemas.openxmlformats.org/drawingml/2006/picture">
                <pic:pic>
                  <pic:nvPicPr>
                    <pic:cNvPr id="0" name="slide-04.png"/>
                    <pic:cNvPicPr/>
                  </pic:nvPicPr>
                  <pic:blipFill>
                    <a:blip r:embed="rId14"/>
                    <a:stretch>
                      <a:fillRect/>
                    </a:stretch>
                  </pic:blipFill>
                  <pic:spPr>
                    <a:xfrm>
                      <a:off x="0" y="0"/>
                      <a:ext cx="5943600" cy="3343275"/>
                    </a:xfrm>
                    <a:prstGeom prst="rect"/>
                  </pic:spPr>
                </pic:pic>
              </a:graphicData>
            </a:graphic>
          </wp:inline>
        </w:drawing>
      </w:r>
    </w:p>
    <w:p>
      <w:pPr/>
      <w:r>
        <w:rPr>
          <w:i/>
        </w:rPr>
        <w:t>图注：碎片化改变了问题本质——应用与资源之间形成复杂的多对多映射。来源：演讲 PPT 第 4 页</w:t>
      </w:r>
    </w:p>
    <w:p>
      <w:pPr/>
      <w:r>
        <w:t>碎片化（Fragmentation）沿以下四个维度同时展开：</w:t>
      </w:r>
    </w:p>
    <w:p>
      <w:pPr>
        <w:spacing w:after="80" w:line="290" w:lineRule="auto"/>
        <w:numPr>
          <w:ilvl w:val="0"/>
          <w:numId w:val="13"/>
        </w:numPr>
      </w:pPr>
      <w:r>
        <w:rPr>
          <w:b/>
        </w:rPr>
        <w:t>模型（Model）</w:t>
      </w:r>
      <w:r>
        <w:t xml:space="preserve"> —— 大模型 / 小模型 / 混合推理 / 专用模型 / 开源 / 闭源，能力差距和架构差异持续扩大。</w:t>
      </w:r>
    </w:p>
    <w:p>
      <w:pPr>
        <w:spacing w:after="80" w:line="290" w:lineRule="auto"/>
        <w:numPr>
          <w:ilvl w:val="0"/>
          <w:numId w:val="13"/>
        </w:numPr>
      </w:pPr>
      <w:r>
        <w:rPr>
          <w:b/>
        </w:rPr>
        <w:t>算力（Compute）</w:t>
      </w:r>
      <w:r>
        <w:t xml:space="preserve"> —— CPU / GPU / NPU，不同硬件在成本、能耗和模型适配度上差异显著。</w:t>
      </w:r>
    </w:p>
    <w:p>
      <w:pPr>
        <w:spacing w:after="80" w:line="290" w:lineRule="auto"/>
        <w:numPr>
          <w:ilvl w:val="0"/>
          <w:numId w:val="13"/>
        </w:numPr>
      </w:pPr>
      <w:r>
        <w:rPr>
          <w:b/>
        </w:rPr>
        <w:t>位置（Location）</w:t>
      </w:r>
      <w:r>
        <w:t xml:space="preserve"> —— 云端 API、自建数据中心、边缘设备各有部署诉求。</w:t>
      </w:r>
    </w:p>
    <w:p>
      <w:pPr>
        <w:spacing w:after="80" w:line="290" w:lineRule="auto"/>
        <w:numPr>
          <w:ilvl w:val="0"/>
          <w:numId w:val="13"/>
        </w:numPr>
      </w:pPr>
      <w:r>
        <w:rPr>
          <w:b/>
        </w:rPr>
        <w:t>偏好（Preference）</w:t>
      </w:r>
      <w:r>
        <w:t xml:space="preserve"> —— 质量优先、延迟优先、成本优先、隐私优先，不同业务场景的优先级完全不同。</w:t>
      </w:r>
    </w:p>
    <w:p>
      <w:pPr/>
      <w:r>
        <w:t>四个维度的笛卡尔积使得"哪个请求该发往哪个模型、跑在哪块硬件上"成为一个组合爆炸问题。而两层网关的全部调度信号均无法触及请求的意图和复杂度。</w:t>
      </w:r>
    </w:p>
    <w:p>
      <w:pPr>
        <w:pStyle w:val="Heading2"/>
      </w:pPr>
      <w:r>
        <w:t>小结</w:t>
      </w:r>
    </w:p>
    <w:p>
      <w:pPr/>
      <w:r>
        <w:t>两层网关架构解决了供应商统一接入和集群内负载均衡的工程问题，但它的调度语言止步于流量指标。面对四维碎片化的生态，仅凭 Token 计数和队列深度无法完成"请求—模型—硬件"的最优匹配。</w:t>
      </w:r>
      <w:r>
        <w:rPr>
          <w:b/>
        </w:rPr>
        <w:t>网关必须进化出理解请求语义的能力</w:t>
      </w:r>
      <w:r>
        <w:t>——这意味着在现有 Tier 1 与 Tier 2 之间，需要插入一个专门的语义层，将请求的意图、复杂度和偏好转化为可供路由决策使用的结构化信号。</w:t>
      </w:r>
    </w:p>
    <w:p>
      <w:pPr>
        <w:pStyle w:val="Heading1"/>
      </w:pPr>
      <w:r>
        <w:t>二、引入语义层：vLLM-SR 的系统定位与职责边界</w:t>
      </w:r>
    </w:p>
    <w:p>
      <w:pPr>
        <w:pStyle w:val="Heading2"/>
      </w:pPr>
      <w:r>
        <w:t>新增组件是否意味着更多耦合？</w:t>
      </w:r>
    </w:p>
    <w:p>
      <w:pPr/>
      <w:r>
        <w:t>在已有推理引擎与网关之间再插入一个"语义路由器"，一个自然的工程担忧是：这是否会增加系统耦合度，甚至与推理引擎争夺调度权？</w:t>
      </w:r>
    </w:p>
    <w:p>
      <w:pPr/>
      <w:r>
        <w:t>这个问题的根源在于</w:t>
      </w:r>
      <w:r>
        <w:rPr>
          <w:b/>
        </w:rPr>
        <w:t>职责边界模糊</w:t>
      </w:r>
      <w:r>
        <w:t>。传统代理或网关往往把"选哪个模型"和"怎么调度请求"混在同一层完成。一旦混合模型池规模增长，这两类决策的输入信号完全不同——前者依赖语义（意图、领域、风险），后者依赖系统状态（队列深度、KV 缓存局部性、设备利用率）。将它们强行耦合，会使任何一端的迭代都牵动另一端。</w:t>
      </w:r>
    </w:p>
    <w:p>
      <w:pPr/>
      <w:r>
        <w:t>vLLM-SR 给出的回答是：</w:t>
      </w:r>
      <w:r>
        <w:rPr>
          <w:b/>
        </w:rPr>
        <w:t>把"选什么模型"独立为一个透明语义层（Semantic Layer），与下游推理引擎各自专注各自的问题。</w:t>
      </w:r>
    </w:p>
    <w:p>
      <w:pPr>
        <w:pStyle w:val="Heading2"/>
      </w:pPr>
      <w:r>
        <w:t>请求生命周期中的三阶段</w:t>
      </w:r>
    </w:p>
    <w:p>
      <w:pPr/>
      <w:r>
        <w:t>下图展示了一个请求从进入统一 API 到最终被执行的完整路径，明确了语义路由器在栈中的位置。</w:t>
      </w:r>
    </w:p>
    <w:p>
      <w:pPr>
        <w:keepNext/>
        <w:keepLines/>
        <w:spacing w:before="120" w:after="0"/>
        <w:jc w:val="center"/>
      </w:pPr>
      <w:r>
        <w:drawing>
          <wp:inline xmlns:a="http://schemas.openxmlformats.org/drawingml/2006/main" xmlns:pic="http://schemas.openxmlformats.org/drawingml/2006/picture">
            <wp:extent cx="5943600" cy="3343275"/>
            <wp:docPr id="3" name="Picture 3" descr="vLLM-SR 在服务栈中的位置：请求从统一 API 经过语义路由层选择逻辑模型，再交由推理引擎执行" title="vLLM-SR 在服务栈中的位置：请求从统一 API 经过语义路由层选择逻辑模型，再交由推理引擎执行"/>
            <wp:cNvGraphicFramePr>
              <a:graphicFrameLocks noChangeAspect="1"/>
            </wp:cNvGraphicFramePr>
            <a:graphic>
              <a:graphicData uri="http://schemas.openxmlformats.org/drawingml/2006/picture">
                <pic:pic>
                  <pic:nvPicPr>
                    <pic:cNvPr id="0" name="slide-07.png"/>
                    <pic:cNvPicPr/>
                  </pic:nvPicPr>
                  <pic:blipFill>
                    <a:blip r:embed="rId15"/>
                    <a:stretch>
                      <a:fillRect/>
                    </a:stretch>
                  </pic:blipFill>
                  <pic:spPr>
                    <a:xfrm>
                      <a:off x="0" y="0"/>
                      <a:ext cx="5943600" cy="3343275"/>
                    </a:xfrm>
                    <a:prstGeom prst="rect"/>
                  </pic:spPr>
                </pic:pic>
              </a:graphicData>
            </a:graphic>
          </wp:inline>
        </w:drawing>
      </w:r>
    </w:p>
    <w:p>
      <w:pPr/>
      <w:r>
        <w:rPr>
          <w:i/>
        </w:rPr>
        <w:t>图注：vLLM-SR 系统定位示意图，展示请求生命周期的三个阶段。来源：演讲 PPT 第 7 页</w:t>
      </w:r>
    </w:p>
    <w:p>
      <w:pPr/>
      <w:r>
        <w:t>图中将请求生命周期切分为三个显式阶段：</w:t>
      </w:r>
    </w:p>
    <w:tbl>
      <w:tblPr>
        <w:tblStyle w:val="TableGrid"/>
        <w:tblW w:type="dxa" w:w="9360"/>
        <w:jc w:val="left"/>
        <w:tblLayout w:type="fixed"/>
        <w:tblLook w:firstColumn="1" w:firstRow="1" w:lastColumn="0" w:lastRow="0" w:noHBand="0" w:noVBand="1" w:val="04A0"/>
        <w:tblInd w:w="120" w:type="dxa"/>
      </w:tblPr>
      <w:tblGrid>
        <w:gridCol w:w="2213"/>
        <w:gridCol w:w="1960"/>
        <w:gridCol w:w="3226"/>
        <w:gridCol w:w="1961"/>
      </w:tblGrid>
      <w:tr>
        <w:trPr>
          <w:tblHeader w:val="true"/>
        </w:trPr>
        <w:tc>
          <w:tcPr>
            <w:tcW w:type="dxa" w:w="221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阶段</w:t>
            </w:r>
          </w:p>
        </w:tc>
        <w:tc>
          <w:tcPr>
            <w:tcW w:type="dxa" w:w="196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关键问题</w:t>
            </w:r>
          </w:p>
        </w:tc>
        <w:tc>
          <w:tcPr>
            <w:tcW w:type="dxa" w:w="322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负责组件</w:t>
            </w:r>
          </w:p>
        </w:tc>
        <w:tc>
          <w:tcPr>
            <w:tcW w:type="dxa" w:w="196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决策依据</w:t>
            </w:r>
          </w:p>
        </w:tc>
      </w:tr>
      <w:tr>
        <w:tc>
          <w:tcPr>
            <w:tcW w:type="dxa" w:w="2213"/>
            <w:vAlign w:val="center"/>
            <w:tcMar>
              <w:top w:w="80" w:type="dxa"/>
              <w:start w:w="120" w:type="dxa"/>
              <w:bottom w:w="80" w:type="dxa"/>
              <w:end w:w="120" w:type="dxa"/>
            </w:tcMar>
          </w:tcPr>
          <w:p>
            <w:pPr>
              <w:spacing w:before="0" w:after="0" w:line="259" w:lineRule="auto"/>
            </w:pPr>
            <w:r>
              <w:rPr>
                <w:rFonts w:ascii="Calibri" w:hAnsi="Calibri" w:eastAsia="Microsoft YaHei"/>
                <w:b/>
                <w:sz w:val="18"/>
              </w:rPr>
              <w:t>WHAT</w:t>
            </w:r>
            <w:r>
              <w:rPr>
                <w:rFonts w:ascii="Calibri" w:hAnsi="Calibri" w:eastAsia="Microsoft YaHei"/>
                <w:sz w:val="18"/>
              </w:rPr>
              <w:t>（选什么）</w:t>
            </w:r>
          </w:p>
        </w:tc>
        <w:tc>
          <w:tcPr>
            <w:tcW w:type="dxa" w:w="196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选择逻辑模型</w:t>
            </w:r>
          </w:p>
        </w:tc>
        <w:tc>
          <w:tcPr>
            <w:tcW w:type="dxa" w:w="322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vLLM-SR</w:t>
            </w:r>
          </w:p>
        </w:tc>
        <w:tc>
          <w:tcPr>
            <w:tcW w:type="dxa" w:w="196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意图、复杂度、隐私、模态、会话偏好</w:t>
            </w:r>
          </w:p>
        </w:tc>
      </w:tr>
      <w:tr>
        <w:tc>
          <w:tcPr>
            <w:tcW w:type="dxa" w:w="2213"/>
            <w:vAlign w:val="center"/>
            <w:tcMar>
              <w:top w:w="80" w:type="dxa"/>
              <w:start w:w="120" w:type="dxa"/>
              <w:bottom w:w="80" w:type="dxa"/>
              <w:end w:w="120" w:type="dxa"/>
            </w:tcMar>
          </w:tcPr>
          <w:p>
            <w:pPr>
              <w:spacing w:before="0" w:after="0" w:line="259" w:lineRule="auto"/>
            </w:pPr>
            <w:r>
              <w:rPr>
                <w:rFonts w:ascii="Calibri" w:hAnsi="Calibri" w:eastAsia="Microsoft YaHei"/>
                <w:b/>
                <w:sz w:val="18"/>
              </w:rPr>
              <w:t>WHICH</w:t>
            </w:r>
            <w:r>
              <w:rPr>
                <w:rFonts w:ascii="Calibri" w:hAnsi="Calibri" w:eastAsia="Microsoft YaHei"/>
                <w:sz w:val="18"/>
              </w:rPr>
              <w:t>（用什么框架）</w:t>
            </w:r>
          </w:p>
        </w:tc>
        <w:tc>
          <w:tcPr>
            <w:tcW w:type="dxa" w:w="196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确定服务层</w:t>
            </w:r>
          </w:p>
        </w:tc>
        <w:tc>
          <w:tcPr>
            <w:tcW w:type="dxa" w:w="3226"/>
            <w:vAlign w:val="center"/>
            <w:tcMar>
              <w:top w:w="80" w:type="dxa"/>
              <w:start w:w="120" w:type="dxa"/>
              <w:bottom w:w="80" w:type="dxa"/>
              <w:end w:w="120" w:type="dxa"/>
            </w:tcMar>
          </w:tcPr>
          <w:p>
            <w:pPr>
              <w:spacing w:before="0" w:after="0" w:line="259" w:lineRule="auto"/>
            </w:pPr>
            <w:r>
              <w:rPr>
                <w:rFonts w:ascii="Calibri" w:hAnsi="Calibri" w:eastAsia="Microsoft YaHei"/>
                <w:sz w:val="18"/>
              </w:rPr>
              <w:t>vLLM Production Stack / llm-d / AIBrix / Dynamo</w:t>
            </w:r>
          </w:p>
        </w:tc>
        <w:tc>
          <w:tcPr>
            <w:tcW w:type="dxa" w:w="196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框架能力、模态后端匹配</w:t>
            </w:r>
          </w:p>
        </w:tc>
      </w:tr>
      <w:tr>
        <w:tc>
          <w:tcPr>
            <w:tcW w:type="dxa" w:w="2213"/>
            <w:vAlign w:val="center"/>
            <w:tcMar>
              <w:top w:w="80" w:type="dxa"/>
              <w:start w:w="120" w:type="dxa"/>
              <w:bottom w:w="80" w:type="dxa"/>
              <w:end w:w="120" w:type="dxa"/>
            </w:tcMar>
          </w:tcPr>
          <w:p>
            <w:pPr>
              <w:spacing w:before="0" w:after="0" w:line="259" w:lineRule="auto"/>
            </w:pPr>
            <w:r>
              <w:rPr>
                <w:rFonts w:ascii="Calibri" w:hAnsi="Calibri" w:eastAsia="Microsoft YaHei"/>
                <w:b/>
                <w:sz w:val="18"/>
              </w:rPr>
              <w:t>HOW + WHERE</w:t>
            </w:r>
            <w:r>
              <w:rPr>
                <w:rFonts w:ascii="Calibri" w:hAnsi="Calibri" w:eastAsia="Microsoft YaHei"/>
                <w:sz w:val="18"/>
              </w:rPr>
              <w:t>（怎么执行、在哪执行）</w:t>
            </w:r>
          </w:p>
        </w:tc>
        <w:tc>
          <w:tcPr>
            <w:tcW w:type="dxa" w:w="196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负载均衡、KV 路由、P/D 分离</w:t>
            </w:r>
          </w:p>
        </w:tc>
        <w:tc>
          <w:tcPr>
            <w:tcW w:type="dxa" w:w="3226"/>
            <w:vAlign w:val="center"/>
            <w:tcMar>
              <w:top w:w="80" w:type="dxa"/>
              <w:start w:w="120" w:type="dxa"/>
              <w:bottom w:w="80" w:type="dxa"/>
              <w:end w:w="120" w:type="dxa"/>
            </w:tcMar>
          </w:tcPr>
          <w:p>
            <w:pPr>
              <w:spacing w:before="0" w:after="0" w:line="259" w:lineRule="auto"/>
            </w:pPr>
            <w:r>
              <w:rPr>
                <w:rFonts w:ascii="Calibri" w:hAnsi="Calibri" w:eastAsia="Microsoft YaHei"/>
                <w:sz w:val="18"/>
              </w:rPr>
              <w:t>vLLM / SGLang / 外部供应商</w:t>
            </w:r>
          </w:p>
        </w:tc>
        <w:tc>
          <w:tcPr>
            <w:tcW w:type="dxa" w:w="196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队列长度、KV 局部性、设备利用率</w:t>
            </w:r>
          </w:p>
        </w:tc>
      </w:tr>
    </w:tbl>
    <w:p>
      <w:pPr>
        <w:spacing w:after="40"/>
      </w:pPr>
    </w:p>
    <w:p>
      <w:pPr/>
      <w:r>
        <w:t>箭头方向体现了关键因果关系：请求首先到达语义层，由 vLLM-SR 根据语义信号决定逻辑模型（WHAT），随后才被转发到具体的服务层与推理引擎。语义决策发生在执行之前，而非执行之中。</w:t>
      </w:r>
    </w:p>
    <w:p>
      <w:pPr>
        <w:pStyle w:val="Heading2"/>
      </w:pPr>
      <w:r>
        <w:t>透明语义层的工作逻辑</w:t>
      </w:r>
    </w:p>
    <w:p>
      <w:pPr/>
      <w:r>
        <w:t>下图进一步说明了语义层本身如何将请求意图映射为执行路径。</w:t>
      </w:r>
    </w:p>
    <w:p>
      <w:pPr>
        <w:keepNext/>
        <w:keepLines/>
        <w:spacing w:before="120" w:after="0"/>
        <w:jc w:val="center"/>
      </w:pPr>
      <w:r>
        <w:drawing>
          <wp:inline xmlns:a="http://schemas.openxmlformats.org/drawingml/2006/main" xmlns:pic="http://schemas.openxmlformats.org/drawingml/2006/picture">
            <wp:extent cx="5943600" cy="3343275"/>
            <wp:docPr id="4" name="Picture 4" descr="语义请求经过语义层转化为面向异构模型池的执行路径" title="语义请求经过语义层转化为面向异构模型池的执行路径"/>
            <wp:cNvGraphicFramePr>
              <a:graphicFrameLocks noChangeAspect="1"/>
            </wp:cNvGraphicFramePr>
            <a:graphic>
              <a:graphicData uri="http://schemas.openxmlformats.org/drawingml/2006/picture">
                <pic:pic>
                  <pic:nvPicPr>
                    <pic:cNvPr id="0" name="slide-05.png"/>
                    <pic:cNvPicPr/>
                  </pic:nvPicPr>
                  <pic:blipFill>
                    <a:blip r:embed="rId16"/>
                    <a:stretch>
                      <a:fillRect/>
                    </a:stretch>
                  </pic:blipFill>
                  <pic:spPr>
                    <a:xfrm>
                      <a:off x="0" y="0"/>
                      <a:ext cx="5943600" cy="3343275"/>
                    </a:xfrm>
                    <a:prstGeom prst="rect"/>
                  </pic:spPr>
                </pic:pic>
              </a:graphicData>
            </a:graphic>
          </wp:inline>
        </w:drawing>
      </w:r>
    </w:p>
    <w:p>
      <w:pPr/>
      <w:r>
        <w:rPr>
          <w:i/>
        </w:rPr>
        <w:t>图注：语义层将请求意图映射为执行路径的流程。来源：演讲 PPT 第 5 页</w:t>
      </w:r>
    </w:p>
    <w:p>
      <w:pPr/>
      <w:r>
        <w:t>图中左侧的</w:t>
      </w:r>
      <w:r>
        <w:rPr>
          <w:b/>
        </w:rPr>
        <w:t>语义请求（Semantic Request）</w:t>
      </w:r>
      <w:r>
        <w:t xml:space="preserve"> 携带三类信号：intent（意图）、domain（领域）、risk（风险等级）。中间的语义层将这些信号翻译为一条具体的</w:t>
      </w:r>
      <w:r>
        <w:rPr>
          <w:b/>
        </w:rPr>
        <w:t>执行路径（Execution Path）</w:t>
      </w:r>
      <w:r>
        <w:t>，指向右侧异构模型池中的某个逻辑模型。核心流程可表达为：</w:t>
      </w:r>
    </w:p>
    <w:p>
      <w:pPr/>
      <w:r>
        <w:t>```</w:t>
      </w:r>
    </w:p>
    <w:p>
      <w:pPr/>
      <w:r>
        <w:t>intent(prompt, context) → compose(model, mode, tools)</w:t>
      </w:r>
    </w:p>
    <w:p>
      <w:pPr/>
      <w:r>
        <w:t>```</w:t>
      </w:r>
    </w:p>
    <w:p>
      <w:pPr/>
      <w:r>
        <w:t>关键词是"透明（transparent）"：语义层不改变请求格式，也不持有推理状态。它在请求被执行前完成智能预分配，然后将标准格式请求原样递交给下游。对于下游 vLLM 或 SGLang 实例而言，收到的仍然是一个普通的 OpenAI 风格或 Anthropic（AI 模型供应商）风格的请求——它们无需感知上游存在语义路由。</w:t>
      </w:r>
    </w:p>
    <w:p>
      <w:pPr>
        <w:pStyle w:val="Heading2"/>
      </w:pPr>
      <w:r>
        <w:t>最小例子与扩展</w:t>
      </w:r>
    </w:p>
    <w:p>
      <w:pPr/>
      <w:r>
        <w:t>在最简单的单卡部署场景中：用户发送一条低复杂度的事实检索查询，vLLM-SR 分析意图后将请求映射到轻量逻辑模型端点，下游 vLLM 实例按自身负载策略执行。两个阶段各自独立决策。如果将来推理引擎从 vLLM 替换为 SGLang，语义层无需修改——因为它只输出"选什么模型"的结论，不关心模型由谁执行。</w:t>
      </w:r>
    </w:p>
    <w:p>
      <w:pPr/>
      <w:r>
        <w:t>当场景扩展到</w:t>
      </w:r>
      <w:r>
        <w:rPr>
          <w:b/>
        </w:rPr>
        <w:t>多卡或多节点</w:t>
      </w:r>
      <w:r>
        <w:t>时，新增变量是模型池的异构性（不同硬件、不同地域、不同供应商）。语义层增加的决策维度是隐私和模态，而负载均衡的复杂度增长完全由服务层吸收，两层的迭代节奏互不干扰。</w:t>
      </w:r>
    </w:p>
    <w:p>
      <w:pPr/>
      <w:r>
        <w:t>需要注意的是，演讲材料未给出 vLLM-SR 引入后的端到端延迟开销数据，因此语义层的"透明"程度在量化层面尚需后续基准测试验证。</w:t>
      </w:r>
    </w:p>
    <w:p>
      <w:pPr>
        <w:pStyle w:val="Heading2"/>
      </w:pPr>
      <w:r>
        <w:t>小结</w:t>
      </w:r>
    </w:p>
    <w:p>
      <w:pPr/>
      <w:r>
        <w:t>语义路由是</w:t>
      </w:r>
      <w:r>
        <w:rPr>
          <w:b/>
        </w:rPr>
        <w:t>补充而非替代</w:t>
      </w:r>
      <w:r>
        <w:t>。vLLM-SR 通过将"选什么模型"从推理引擎中剥离，形成独立的语义层，使两侧可以沿各自的技术轨道独立演进。系统定位明确后，下一步自然要问：一个具体的路由决策究竟能带来多大收益？</w:t>
      </w:r>
    </w:p>
    <w:p>
      <w:pPr>
        <w:pStyle w:val="Heading1"/>
      </w:pPr>
      <w:r>
        <w:t>三、最小可行解：基于 ModernBERT 的双分支路由</w:t>
      </w:r>
    </w:p>
    <w:p>
      <w:pPr>
        <w:pStyle w:val="Heading2"/>
      </w:pPr>
      <w:r>
        <w:t>推理能力与资源消耗的两难</w:t>
      </w:r>
    </w:p>
    <w:p>
      <w:pPr/>
      <w:r>
        <w:t>具备深度推理能力的模型往往伴随高延迟和大量 Token 开销，而轻量快速的模型在复杂任务上准确率不足。现实流量中大部分请求并不需要深度推理——简单事实查询、格式转换、基础问答占据了相当比例。如果对所有请求统一调度重型模型，资源会被严重浪费。由此引出核心问题：</w:t>
      </w:r>
      <w:r>
        <w:rPr>
          <w:b/>
        </w:rPr>
        <w:t>能否在请求到达推理引擎之前，用一个极低开销的判别器将流量分流？</w:t>
      </w:r>
    </w:p>
    <w:p>
      <w:pPr>
        <w:pStyle w:val="Heading2"/>
      </w:pPr>
      <w:r>
        <w:t>双分支架构</w:t>
      </w:r>
    </w:p>
    <w:p>
      <w:pPr/>
      <w:r>
        <w:t>下图展示了这一最小可行方案的完整流程及实验指标，它是 vLLM-SR 最早的工程原型。</w:t>
      </w:r>
    </w:p>
    <w:p>
      <w:pPr>
        <w:keepNext/>
        <w:keepLines/>
        <w:spacing w:before="120" w:after="0"/>
        <w:jc w:val="center"/>
      </w:pPr>
      <w:r>
        <w:drawing>
          <wp:inline xmlns:a="http://schemas.openxmlformats.org/drawingml/2006/main" xmlns:pic="http://schemas.openxmlformats.org/drawingml/2006/picture">
            <wp:extent cx="5943600" cy="3343275"/>
            <wp:docPr id="5" name="Picture 5" descr="双分支路由流程图：用户 Prompt 经 ModernBERT 判别后分流至快速路径或推理路径，右侧展示实验指标" title="双分支路由流程图：用户 Prompt 经 ModernBERT 判别后分流至快速路径或推理路径，右侧展示实验指标"/>
            <wp:cNvGraphicFramePr>
              <a:graphicFrameLocks noChangeAspect="1"/>
            </wp:cNvGraphicFramePr>
            <a:graphic>
              <a:graphicData uri="http://schemas.openxmlformats.org/drawingml/2006/picture">
                <pic:pic>
                  <pic:nvPicPr>
                    <pic:cNvPr id="0" name="slide-08.png"/>
                    <pic:cNvPicPr/>
                  </pic:nvPicPr>
                  <pic:blipFill>
                    <a:blip r:embed="rId17"/>
                    <a:stretch>
                      <a:fillRect/>
                    </a:stretch>
                  </pic:blipFill>
                  <pic:spPr>
                    <a:xfrm>
                      <a:off x="0" y="0"/>
                      <a:ext cx="5943600" cy="3343275"/>
                    </a:xfrm>
                    <a:prstGeom prst="rect"/>
                  </pic:spPr>
                </pic:pic>
              </a:graphicData>
            </a:graphic>
          </wp:inline>
        </w:drawing>
      </w:r>
    </w:p>
    <w:p>
      <w:pPr/>
      <w:r>
        <w:rPr>
          <w:i/>
        </w:rPr>
        <w:t>图注：双分支路由架构与实验指标。来源：演讲 PPT 第 8 页</w:t>
      </w:r>
    </w:p>
    <w:p>
      <w:pPr/>
      <w:r>
        <w:t>图中包含三个关键元素和一条核心判别逻辑：</w:t>
      </w:r>
    </w:p>
    <w:tbl>
      <w:tblPr>
        <w:tblStyle w:val="TableGrid"/>
        <w:tblW w:type="dxa" w:w="9360"/>
        <w:jc w:val="left"/>
        <w:tblLayout w:type="fixed"/>
        <w:tblLook w:firstColumn="1" w:firstRow="1" w:lastColumn="0" w:lastRow="0" w:noHBand="0" w:noVBand="1" w:val="04A0"/>
        <w:tblInd w:w="120" w:type="dxa"/>
      </w:tblPr>
      <w:tblGrid>
        <w:gridCol w:w="2514"/>
        <w:gridCol w:w="1504"/>
        <w:gridCol w:w="5342"/>
      </w:tblGrid>
      <w:tr>
        <w:trPr>
          <w:tblHeader w:val="true"/>
        </w:trPr>
        <w:tc>
          <w:tcPr>
            <w:tcW w:type="dxa" w:w="251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图中元素</w:t>
            </w:r>
          </w:p>
        </w:tc>
        <w:tc>
          <w:tcPr>
            <w:tcW w:type="dxa" w:w="150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角色</w:t>
            </w:r>
          </w:p>
        </w:tc>
        <w:tc>
          <w:tcPr>
            <w:tcW w:type="dxa" w:w="534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说明</w:t>
            </w:r>
          </w:p>
        </w:tc>
      </w:tr>
      <w:tr>
        <w:tc>
          <w:tcPr>
            <w:tcW w:type="dxa" w:w="2514"/>
            <w:vAlign w:val="center"/>
            <w:tcMar>
              <w:top w:w="80" w:type="dxa"/>
              <w:start w:w="120" w:type="dxa"/>
              <w:bottom w:w="80" w:type="dxa"/>
              <w:end w:w="120" w:type="dxa"/>
            </w:tcMar>
          </w:tcPr>
          <w:p>
            <w:pPr>
              <w:spacing w:before="0" w:after="0" w:line="259" w:lineRule="auto"/>
            </w:pPr>
            <w:r>
              <w:rPr>
                <w:rFonts w:ascii="Calibri" w:hAnsi="Calibri" w:eastAsia="Microsoft YaHei"/>
                <w:b/>
                <w:sz w:val="18"/>
              </w:rPr>
              <w:t>PROMPT</w:t>
            </w:r>
          </w:p>
        </w:tc>
        <w:tc>
          <w:tcPr>
            <w:tcW w:type="dxa" w:w="150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入口</w:t>
            </w:r>
          </w:p>
        </w:tc>
        <w:tc>
          <w:tcPr>
            <w:tcW w:type="dxa" w:w="534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用户提交的原始查询</w:t>
            </w:r>
          </w:p>
        </w:tc>
      </w:tr>
      <w:tr>
        <w:tc>
          <w:tcPr>
            <w:tcW w:type="dxa" w:w="2514"/>
            <w:vAlign w:val="center"/>
            <w:tcMar>
              <w:top w:w="80" w:type="dxa"/>
              <w:start w:w="120" w:type="dxa"/>
              <w:bottom w:w="80" w:type="dxa"/>
              <w:end w:w="120" w:type="dxa"/>
            </w:tcMar>
          </w:tcPr>
          <w:p>
            <w:pPr>
              <w:spacing w:before="0" w:after="0" w:line="259" w:lineRule="auto"/>
            </w:pPr>
            <w:r>
              <w:rPr>
                <w:rFonts w:ascii="Calibri" w:hAnsi="Calibri" w:eastAsia="Microsoft YaHei"/>
                <w:b/>
                <w:sz w:val="18"/>
              </w:rPr>
              <w:t>ModernBERT</w:t>
            </w:r>
          </w:p>
        </w:tc>
        <w:tc>
          <w:tcPr>
            <w:tcW w:type="dxa" w:w="150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判别器</w:t>
            </w:r>
          </w:p>
        </w:tc>
        <w:tc>
          <w:tcPr>
            <w:tcW w:type="dxa" w:w="5342"/>
            <w:vAlign w:val="center"/>
            <w:tcMar>
              <w:top w:w="80" w:type="dxa"/>
              <w:start w:w="120" w:type="dxa"/>
              <w:bottom w:w="80" w:type="dxa"/>
              <w:end w:w="120" w:type="dxa"/>
            </w:tcMar>
          </w:tcPr>
          <w:p>
            <w:pPr>
              <w:spacing w:before="0" w:after="0" w:line="259" w:lineRule="auto"/>
            </w:pPr>
            <w:r>
              <w:rPr>
                <w:rFonts w:ascii="Calibri" w:hAnsi="Calibri" w:eastAsia="Microsoft YaHei"/>
                <w:sz w:val="18"/>
              </w:rPr>
              <w:t>基于编码器架构（Encoder-based Model）的轻量分类模型，对 Prompt 做二分类，推理开销通常在毫秒级</w:t>
            </w:r>
          </w:p>
        </w:tc>
      </w:tr>
      <w:tr>
        <w:tc>
          <w:tcPr>
            <w:tcW w:type="dxa" w:w="2514"/>
            <w:vAlign w:val="center"/>
            <w:tcMar>
              <w:top w:w="80" w:type="dxa"/>
              <w:start w:w="120" w:type="dxa"/>
              <w:bottom w:w="80" w:type="dxa"/>
              <w:end w:w="120" w:type="dxa"/>
            </w:tcMar>
          </w:tcPr>
          <w:p>
            <w:pPr>
              <w:spacing w:before="0" w:after="0" w:line="259" w:lineRule="auto"/>
            </w:pPr>
            <w:r>
              <w:rPr>
                <w:rFonts w:ascii="Calibri" w:hAnsi="Calibri" w:eastAsia="Microsoft YaHei"/>
                <w:b/>
                <w:sz w:val="18"/>
              </w:rPr>
              <w:t>FAST PATH</w:t>
            </w:r>
          </w:p>
        </w:tc>
        <w:tc>
          <w:tcPr>
            <w:tcW w:type="dxa" w:w="150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快速分支</w:t>
            </w:r>
          </w:p>
        </w:tc>
        <w:tc>
          <w:tcPr>
            <w:tcW w:type="dxa" w:w="5342"/>
            <w:vAlign w:val="center"/>
            <w:tcMar>
              <w:top w:w="80" w:type="dxa"/>
              <w:start w:w="120" w:type="dxa"/>
              <w:bottom w:w="80" w:type="dxa"/>
              <w:end w:w="120" w:type="dxa"/>
            </w:tcMar>
          </w:tcPr>
          <w:p>
            <w:pPr>
              <w:spacing w:before="0" w:after="0" w:line="259" w:lineRule="auto"/>
            </w:pPr>
            <w:r>
              <w:rPr>
                <w:rFonts w:ascii="Calibri" w:hAnsi="Calibri" w:eastAsia="Microsoft YaHei"/>
                <w:sz w:val="18"/>
              </w:rPr>
              <w:t>标记为 simple → efficient，承接简单查询</w:t>
            </w:r>
          </w:p>
        </w:tc>
      </w:tr>
      <w:tr>
        <w:tc>
          <w:tcPr>
            <w:tcW w:type="dxa" w:w="2514"/>
            <w:vAlign w:val="center"/>
            <w:tcMar>
              <w:top w:w="80" w:type="dxa"/>
              <w:start w:w="120" w:type="dxa"/>
              <w:bottom w:w="80" w:type="dxa"/>
              <w:end w:w="120" w:type="dxa"/>
            </w:tcMar>
          </w:tcPr>
          <w:p>
            <w:pPr>
              <w:spacing w:before="0" w:after="0" w:line="259" w:lineRule="auto"/>
            </w:pPr>
            <w:r>
              <w:rPr>
                <w:rFonts w:ascii="Calibri" w:hAnsi="Calibri" w:eastAsia="Microsoft YaHei"/>
                <w:b/>
                <w:sz w:val="18"/>
              </w:rPr>
              <w:t>REASONING PATH</w:t>
            </w:r>
          </w:p>
        </w:tc>
        <w:tc>
          <w:tcPr>
            <w:tcW w:type="dxa" w:w="150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推理分支</w:t>
            </w:r>
          </w:p>
        </w:tc>
        <w:tc>
          <w:tcPr>
            <w:tcW w:type="dxa" w:w="5342"/>
            <w:vAlign w:val="center"/>
            <w:tcMar>
              <w:top w:w="80" w:type="dxa"/>
              <w:start w:w="120" w:type="dxa"/>
              <w:bottom w:w="80" w:type="dxa"/>
              <w:end w:w="120" w:type="dxa"/>
            </w:tcMar>
          </w:tcPr>
          <w:p>
            <w:pPr>
              <w:spacing w:before="0" w:after="0" w:line="259" w:lineRule="auto"/>
            </w:pPr>
            <w:r>
              <w:rPr>
                <w:rFonts w:ascii="Calibri" w:hAnsi="Calibri" w:eastAsia="Microsoft YaHei"/>
                <w:sz w:val="18"/>
              </w:rPr>
              <w:t>标记为 complex → deliberate，承接需深度思考的查询</w:t>
            </w:r>
          </w:p>
        </w:tc>
      </w:tr>
    </w:tbl>
    <w:p>
      <w:pPr>
        <w:spacing w:after="40"/>
      </w:pPr>
    </w:p>
    <w:p>
      <w:pPr/>
      <w:r>
        <w:t>箭头方向体现因果链：Prompt 首先进入 ModernBERT，由其分类结果决定下游走哪条路径。</w:t>
      </w:r>
    </w:p>
    <w:p>
      <w:pPr>
        <w:pStyle w:val="Heading2"/>
      </w:pPr>
      <w:r>
        <w:t>为什么简单分流能同时改善三个指标？</w:t>
      </w:r>
    </w:p>
    <w:p>
      <w:pPr/>
      <w:r>
        <w:t>双分支路由的收益来自一条清晰的因果链：</w:t>
      </w:r>
    </w:p>
    <w:p>
      <w:pPr>
        <w:spacing w:after="80" w:line="290" w:lineRule="auto"/>
        <w:numPr>
          <w:ilvl w:val="0"/>
          <w:numId w:val="14"/>
        </w:numPr>
      </w:pPr>
      <w:r>
        <w:rPr>
          <w:b/>
        </w:rPr>
        <w:t>减少不必要的推理深度</w:t>
      </w:r>
      <w:r>
        <w:t>：简单查询被导向快速模型，避免触发长链推理过程。</w:t>
      </w:r>
    </w:p>
    <w:p>
      <w:pPr>
        <w:spacing w:after="80" w:line="290" w:lineRule="auto"/>
        <w:numPr>
          <w:ilvl w:val="0"/>
          <w:numId w:val="14"/>
        </w:numPr>
      </w:pPr>
      <w:r>
        <w:rPr>
          <w:b/>
        </w:rPr>
        <w:t>延迟下降</w:t>
      </w:r>
      <w:r>
        <w:t>：快速模型的首 Token 响应时间和总生成时间均显著低于推理模型。</w:t>
      </w:r>
    </w:p>
    <w:p>
      <w:pPr>
        <w:spacing w:after="80" w:line="290" w:lineRule="auto"/>
        <w:numPr>
          <w:ilvl w:val="0"/>
          <w:numId w:val="14"/>
        </w:numPr>
      </w:pPr>
      <w:r>
        <w:rPr>
          <w:b/>
        </w:rPr>
        <w:t>Token 消耗减少</w:t>
      </w:r>
      <w:r>
        <w:t>：推理模型在思考过程中会产生大量中间 Token（如思维链输出），简单查询绕过后总消耗下降。</w:t>
      </w:r>
    </w:p>
    <w:p>
      <w:pPr>
        <w:spacing w:after="80" w:line="290" w:lineRule="auto"/>
        <w:numPr>
          <w:ilvl w:val="0"/>
          <w:numId w:val="14"/>
        </w:numPr>
      </w:pPr>
      <w:r>
        <w:rPr>
          <w:b/>
        </w:rPr>
        <w:t>准确率反升</w:t>
      </w:r>
      <w:r>
        <w:t>：复杂查询不再与简单查询争抢同一模型的注意力预算，推理模型得以专注处理真正需要深度思考的问题。</w:t>
      </w:r>
    </w:p>
    <w:p>
      <w:pPr/>
      <w:r>
        <w:t>本质是</w:t>
      </w:r>
      <w:r>
        <w:rPr>
          <w:b/>
        </w:rPr>
        <w:t>让路径上的模型与任务难度匹配，而非让单一模型承担所有复杂度梯度</w:t>
      </w:r>
      <w:r>
        <w:t>。</w:t>
      </w:r>
    </w:p>
    <w:p>
      <w:pPr>
        <w:pStyle w:val="Heading2"/>
      </w:pPr>
      <w:r>
        <w:t>数据锚点：受控实验中的结果</w:t>
      </w:r>
    </w:p>
    <w:p>
      <w:pPr/>
      <w:r>
        <w:t>在一项针对特定路由决策的受控实验中（以 MMLU-Pro 基准为基础），双分支路由产生了如下结果：</w:t>
      </w:r>
    </w:p>
    <w:tbl>
      <w:tblPr>
        <w:tblStyle w:val="TableGrid"/>
        <w:tblW w:type="dxa" w:w="9360"/>
        <w:jc w:val="left"/>
        <w:tblLayout w:type="fixed"/>
        <w:tblLook w:firstColumn="1" w:firstRow="1" w:lastColumn="0" w:lastRow="0" w:noHBand="0" w:noVBand="1" w:val="04A0"/>
        <w:tblInd w:w="120" w:type="dxa"/>
      </w:tblPr>
      <w:tblGrid>
        <w:gridCol w:w="5005"/>
        <w:gridCol w:w="4355"/>
      </w:tblGrid>
      <w:tr>
        <w:trPr>
          <w:tblHeader w:val="true"/>
        </w:trPr>
        <w:tc>
          <w:tcPr>
            <w:tcW w:type="dxa" w:w="500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指标</w:t>
            </w:r>
          </w:p>
        </w:tc>
        <w:tc>
          <w:tcPr>
            <w:tcW w:type="dxa" w:w="435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变化幅度</w:t>
            </w:r>
          </w:p>
        </w:tc>
      </w:tr>
      <w:tr>
        <w:tc>
          <w:tcPr>
            <w:tcW w:type="dxa" w:w="5005"/>
            <w:vAlign w:val="center"/>
            <w:tcMar>
              <w:top w:w="80" w:type="dxa"/>
              <w:start w:w="120" w:type="dxa"/>
              <w:bottom w:w="80" w:type="dxa"/>
              <w:end w:w="120" w:type="dxa"/>
            </w:tcMar>
          </w:tcPr>
          <w:p>
            <w:pPr>
              <w:spacing w:before="0" w:after="0" w:line="259" w:lineRule="auto"/>
            </w:pPr>
            <w:r>
              <w:rPr>
                <w:rFonts w:ascii="Calibri" w:hAnsi="Calibri" w:eastAsia="Microsoft YaHei"/>
                <w:sz w:val="18"/>
              </w:rPr>
              <w:t>MMLU-Pro 准确率</w:t>
            </w:r>
          </w:p>
        </w:tc>
        <w:tc>
          <w:tcPr>
            <w:tcW w:type="dxa" w:w="4355"/>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+10.2 个百分点</w:t>
            </w:r>
          </w:p>
        </w:tc>
      </w:tr>
      <w:tr>
        <w:tc>
          <w:tcPr>
            <w:tcW w:type="dxa" w:w="5005"/>
            <w:vAlign w:val="center"/>
            <w:tcMar>
              <w:top w:w="80" w:type="dxa"/>
              <w:start w:w="120" w:type="dxa"/>
              <w:bottom w:w="80" w:type="dxa"/>
              <w:end w:w="120" w:type="dxa"/>
            </w:tcMar>
          </w:tcPr>
          <w:p>
            <w:pPr>
              <w:spacing w:before="0" w:after="0" w:line="259" w:lineRule="auto"/>
            </w:pPr>
            <w:r>
              <w:rPr>
                <w:rFonts w:ascii="Calibri" w:hAnsi="Calibri" w:eastAsia="Microsoft YaHei"/>
                <w:sz w:val="18"/>
              </w:rPr>
              <w:t>延迟</w:t>
            </w:r>
          </w:p>
        </w:tc>
        <w:tc>
          <w:tcPr>
            <w:tcW w:type="dxa" w:w="4355"/>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−47.1%</w:t>
            </w:r>
          </w:p>
        </w:tc>
      </w:tr>
      <w:tr>
        <w:tc>
          <w:tcPr>
            <w:tcW w:type="dxa" w:w="5005"/>
            <w:vAlign w:val="center"/>
            <w:tcMar>
              <w:top w:w="80" w:type="dxa"/>
              <w:start w:w="120" w:type="dxa"/>
              <w:bottom w:w="80" w:type="dxa"/>
              <w:end w:w="120" w:type="dxa"/>
            </w:tcMar>
          </w:tcPr>
          <w:p>
            <w:pPr>
              <w:spacing w:before="0" w:after="0" w:line="259" w:lineRule="auto"/>
            </w:pPr>
            <w:r>
              <w:rPr>
                <w:rFonts w:ascii="Calibri" w:hAnsi="Calibri" w:eastAsia="Microsoft YaHei"/>
                <w:sz w:val="18"/>
              </w:rPr>
              <w:t>Token 消耗</w:t>
            </w:r>
          </w:p>
        </w:tc>
        <w:tc>
          <w:tcPr>
            <w:tcW w:type="dxa" w:w="4355"/>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−48.5%</w:t>
            </w:r>
          </w:p>
        </w:tc>
      </w:tr>
    </w:tbl>
    <w:p>
      <w:pPr>
        <w:spacing w:after="40"/>
      </w:pPr>
    </w:p>
    <w:p>
      <w:pPr>
        <w:spacing w:before="80" w:after="200" w:line="300" w:lineRule="auto"/>
        <w:ind w:left="317" w:right="173"/>
        <w:pBdr>
          <w:left w:val="single" w:sz="18" w:space="8" w:color="2E74B5"/>
        </w:pBdr>
        <w:shd w:fill="F4F6F9"/>
      </w:pPr>
      <w:r>
        <w:rPr>
          <w:rFonts w:ascii="Calibri" w:hAnsi="Calibri" w:eastAsia="Microsoft YaHei"/>
          <w:b/>
          <w:color w:val="203748"/>
          <w:sz w:val="23"/>
        </w:rPr>
        <w:t>MMLU-Pro</w:t>
      </w:r>
      <w:r>
        <w:rPr>
          <w:rFonts w:ascii="Calibri" w:hAnsi="Calibri" w:eastAsia="Microsoft YaHei"/>
          <w:color w:val="203748"/>
          <w:sz w:val="23"/>
        </w:rPr>
        <w:t>（Massive Multitask Language Understanding - Professional，大规模多任务语言理解专业版）是一个覆盖多学科的评测基准，此处用于衡量路由前后任务准确率的变化。</w:t>
      </w:r>
    </w:p>
    <w:p>
      <w:pPr/>
      <w:r>
        <w:rPr>
          <w:b/>
        </w:rPr>
        <w:t>必须强调的限定条件</w:t>
      </w:r>
      <w:r>
        <w:t>：这些数字来自范围狭窄的路由决策实验，原始材料明确标注为实验特定基线（Experiment-Specific）。演讲材料未给出对照模型名称、两条路径分别使用了哪些模型，以及测试集的规模与分布细节。因此，</w:t>
      </w:r>
      <w:r>
        <w:rPr>
          <w:b/>
        </w:rPr>
        <w:t>这些数字不宜直接外推到任意生产场景</w:t>
      </w:r>
      <w:r>
        <w:t>。</w:t>
      </w:r>
    </w:p>
    <w:p>
      <w:pPr>
        <w:pStyle w:val="Heading2"/>
      </w:pPr>
      <w:r>
        <w:t>局限与扩展瓶颈</w:t>
      </w:r>
    </w:p>
    <w:p>
      <w:pPr/>
      <w:r>
        <w:t>双分支路由虽然在上述受控条件下效果显著，但作为最小原型存在明确的扩展性瓶颈：</w:t>
      </w:r>
    </w:p>
    <w:p>
      <w:pPr>
        <w:spacing w:after="80" w:line="290" w:lineRule="auto"/>
        <w:numPr>
          <w:ilvl w:val="0"/>
          <w:numId w:val="10"/>
        </w:numPr>
      </w:pPr>
      <w:r>
        <w:rPr>
          <w:b/>
        </w:rPr>
        <w:t>分类粒度单一</w:t>
      </w:r>
      <w:r>
        <w:t>：仅做"简单/复杂"二分类，无法识别查询所属领域（数学、编程等），也无法判断是否包含安全风险。据演讲者描述，早期原型实际需要训练三个独立编码器分别处理领域分类、越狱检测和 Token 级标注——单一二分类器很快就不够用了。</w:t>
      </w:r>
    </w:p>
    <w:p>
      <w:pPr>
        <w:spacing w:after="80" w:line="290" w:lineRule="auto"/>
        <w:numPr>
          <w:ilvl w:val="0"/>
          <w:numId w:val="10"/>
        </w:numPr>
      </w:pPr>
      <w:r>
        <w:rPr>
          <w:b/>
        </w:rPr>
        <w:t>静态决策边界</w:t>
      </w:r>
      <w:r>
        <w:t>：分类阈值在训练时固定，无法根据实时负载或模型可用性动态调整。</w:t>
      </w:r>
    </w:p>
    <w:p>
      <w:pPr>
        <w:spacing w:after="80" w:line="290" w:lineRule="auto"/>
        <w:numPr>
          <w:ilvl w:val="0"/>
          <w:numId w:val="10"/>
        </w:numPr>
      </w:pPr>
      <w:r>
        <w:rPr>
          <w:b/>
        </w:rPr>
        <w:t>缺乏反馈闭环</w:t>
      </w:r>
      <w:r>
        <w:t>：路由决策的质量无法被下游结果回传修正，错误分流会直接导致质量劣化且无从察觉。</w:t>
      </w:r>
    </w:p>
    <w:p>
      <w:pPr>
        <w:pStyle w:val="Heading2"/>
      </w:pPr>
      <w:r>
        <w:t>小结</w:t>
      </w:r>
    </w:p>
    <w:p>
      <w:pPr/>
      <w:r>
        <w:t>基于 ModernBERT 的双分支路由验证了一个核心命题——在推理引擎前端增加一层极低开销的语义判别，足以在特定条件下同时改善准确率、延迟和成本三个通常相互矛盾的指标。但它本质上是粒度粗糙的静态分类器。面对领域识别、安全过滤、多模态等真实需求时，路由器需要向更丰富的信号处理架构演进。</w:t>
      </w:r>
    </w:p>
    <w:p>
      <w:pPr>
        <w:pStyle w:val="Heading1"/>
      </w:pPr>
      <w:r>
        <w:t>四、架构演进：突破静态瓶颈的信号驱动决策流</w:t>
      </w:r>
    </w:p>
    <w:p>
      <w:pPr>
        <w:pStyle w:val="Heading2"/>
      </w:pPr>
      <w:r>
        <w:t>静态流水线为何无法扩展</w:t>
      </w:r>
    </w:p>
    <w:p>
      <w:pPr/>
      <w:r>
        <w:t>最初的语义路由器采用一条串行流水线：越狱检测（Jailbreak Classifier）→ 隐私实体识别（PII Token-level Classifier）→ 领域分类（Domain Classifier）。三个模型前后衔接，越狱命中即拦截，PII 泄露即拒绝，剩余请求由领域分类器分发。</w:t>
      </w:r>
    </w:p>
    <w:p>
      <w:pPr/>
      <w:r>
        <w:t>然而，当路由器尝试接入模型数量急剧增多的动态环境时，串行管道暴露出根本性矛盾：</w:t>
      </w:r>
      <w:r>
        <w:rPr>
          <w:b/>
        </w:rPr>
        <w:t>可接纳的信号维度和可选择的模型数量都被管道的拓扑结构硬编码了。</w:t>
      </w:r>
      <w:r>
        <w:t xml:space="preserve"> 据演讲者描述，HuggingFace 推出 HuggingChat Omni 模式后需要在平台上动态选取模型，而当时的静态流水线无法承载——可用模型池从个位数跃升至数十甚至上百，串行三步无力覆盖。</w:t>
      </w:r>
    </w:p>
    <w:p>
      <w:pPr/>
      <w:r>
        <w:t>这一矛盾推动了架构的核心转型：从静态分类流水线走向可扩展的</w:t>
      </w:r>
      <w:r>
        <w:rPr>
          <w:b/>
        </w:rPr>
        <w:t>信号驱动决策架构（Signal-driven Decision Architecture）</w:t>
      </w:r>
      <w:r>
        <w:t>。</w:t>
      </w:r>
    </w:p>
    <w:p>
      <w:pPr>
        <w:pStyle w:val="Heading2"/>
      </w:pPr>
      <w:r>
        <w:t>异构信号的并行提取</w:t>
      </w:r>
    </w:p>
    <w:p>
      <w:pPr/>
      <w:r>
        <w:t>解决扩展问题的第一步，是重新定义路由器观察一个请求的方式。下图展示了从串行管道到并行信号提取的结构性变化。</w:t>
      </w:r>
    </w:p>
    <w:p>
      <w:pPr>
        <w:keepNext/>
        <w:keepLines/>
        <w:spacing w:before="120" w:after="0"/>
        <w:jc w:val="center"/>
      </w:pPr>
      <w:r>
        <w:drawing>
          <wp:inline xmlns:a="http://schemas.openxmlformats.org/drawingml/2006/main" xmlns:pic="http://schemas.openxmlformats.org/drawingml/2006/picture">
            <wp:extent cx="5943600" cy="3343275"/>
            <wp:docPr id="6" name="Picture 6" descr="信号驱动决策架构：从静态分类到异构信号并行提取" title="信号驱动决策架构：从静态分类到异构信号并行提取"/>
            <wp:cNvGraphicFramePr>
              <a:graphicFrameLocks noChangeAspect="1"/>
            </wp:cNvGraphicFramePr>
            <a:graphic>
              <a:graphicData uri="http://schemas.openxmlformats.org/drawingml/2006/picture">
                <pic:pic>
                  <pic:nvPicPr>
                    <pic:cNvPr id="0" name="slide-09.png"/>
                    <pic:cNvPicPr/>
                  </pic:nvPicPr>
                  <pic:blipFill>
                    <a:blip r:embed="rId18"/>
                    <a:stretch>
                      <a:fillRect/>
                    </a:stretch>
                  </pic:blipFill>
                  <pic:spPr>
                    <a:xfrm>
                      <a:off x="0" y="0"/>
                      <a:ext cx="5943600" cy="3343275"/>
                    </a:xfrm>
                    <a:prstGeom prst="rect"/>
                  </pic:spPr>
                </pic:pic>
              </a:graphicData>
            </a:graphic>
          </wp:inline>
        </w:drawing>
      </w:r>
    </w:p>
    <w:p>
      <w:pPr/>
      <w:r>
        <w:rPr>
          <w:i/>
        </w:rPr>
        <w:t>图注：请求经多个信号提取器并行处理，输出汇聚为信号结果矩阵，再经布尔逻辑生成路由决策。来源：演讲 PPT 第 9 页</w:t>
      </w:r>
    </w:p>
    <w:p>
      <w:pPr/>
      <w:r>
        <w:t>图中将一个入站请求分发给多个并行的信号提取器——包括 Keyword、Context、Authz、Domain、PII、Jailbreak、Modality、Feedback 等——输出汇入统一的</w:t>
      </w:r>
      <w:r>
        <w:rPr>
          <w:b/>
        </w:rPr>
        <w:t>信号结果矩阵（Signal Results）</w:t>
      </w:r>
      <w:r>
        <w:t>。信号被显式分为两类：</w:t>
      </w:r>
    </w:p>
    <w:tbl>
      <w:tblPr>
        <w:tblStyle w:val="TableGrid"/>
        <w:tblW w:type="dxa" w:w="9360"/>
        <w:jc w:val="left"/>
        <w:tblLayout w:type="fixed"/>
        <w:tblLook w:firstColumn="1" w:firstRow="1" w:lastColumn="0" w:lastRow="0" w:noHBand="0" w:noVBand="1" w:val="04A0"/>
        <w:tblInd w:w="120" w:type="dxa"/>
      </w:tblPr>
      <w:tblGrid>
        <w:gridCol w:w="2929"/>
        <w:gridCol w:w="2815"/>
        <w:gridCol w:w="3616"/>
      </w:tblGrid>
      <w:tr>
        <w:trPr>
          <w:tblHeader w:val="true"/>
        </w:trPr>
        <w:tc>
          <w:tcPr>
            <w:tcW w:type="dxa" w:w="292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类型</w:t>
            </w:r>
          </w:p>
        </w:tc>
        <w:tc>
          <w:tcPr>
            <w:tcW w:type="dxa" w:w="281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特征</w:t>
            </w:r>
          </w:p>
        </w:tc>
        <w:tc>
          <w:tcPr>
            <w:tcW w:type="dxa" w:w="361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典型信号</w:t>
            </w:r>
          </w:p>
        </w:tc>
      </w:tr>
      <w:tr>
        <w:tc>
          <w:tcPr>
            <w:tcW w:type="dxa" w:w="2929"/>
            <w:vAlign w:val="center"/>
            <w:tcMar>
              <w:top w:w="80" w:type="dxa"/>
              <w:start w:w="120" w:type="dxa"/>
              <w:bottom w:w="80" w:type="dxa"/>
              <w:end w:w="120" w:type="dxa"/>
            </w:tcMar>
          </w:tcPr>
          <w:p>
            <w:pPr>
              <w:spacing w:before="0" w:after="0" w:line="259" w:lineRule="auto"/>
            </w:pPr>
            <w:r>
              <w:rPr>
                <w:rFonts w:ascii="Calibri" w:hAnsi="Calibri" w:eastAsia="Microsoft YaHei"/>
                <w:b/>
                <w:sz w:val="18"/>
              </w:rPr>
              <w:t>启发式信号（Heuristic）</w:t>
            </w:r>
          </w:p>
        </w:tc>
        <w:tc>
          <w:tcPr>
            <w:tcW w:type="dxa" w:w="281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确定性 100%，无需模型推理</w:t>
            </w:r>
          </w:p>
        </w:tc>
        <w:tc>
          <w:tcPr>
            <w:tcW w:type="dxa" w:w="3616"/>
            <w:vAlign w:val="center"/>
            <w:tcMar>
              <w:top w:w="80" w:type="dxa"/>
              <w:start w:w="120" w:type="dxa"/>
              <w:bottom w:w="80" w:type="dxa"/>
              <w:end w:w="120" w:type="dxa"/>
            </w:tcMar>
          </w:tcPr>
          <w:p>
            <w:pPr>
              <w:spacing w:before="0" w:after="0" w:line="259" w:lineRule="auto"/>
            </w:pPr>
            <w:r>
              <w:rPr>
                <w:rFonts w:ascii="Calibri" w:hAnsi="Calibri" w:eastAsia="Microsoft YaHei"/>
                <w:sz w:val="18"/>
              </w:rPr>
              <w:t>关键词匹配、上下文长度、语言识别、结构化字段</w:t>
            </w:r>
          </w:p>
        </w:tc>
      </w:tr>
      <w:tr>
        <w:tc>
          <w:tcPr>
            <w:tcW w:type="dxa" w:w="2929"/>
            <w:vAlign w:val="center"/>
            <w:tcMar>
              <w:top w:w="80" w:type="dxa"/>
              <w:start w:w="120" w:type="dxa"/>
              <w:bottom w:w="80" w:type="dxa"/>
              <w:end w:w="120" w:type="dxa"/>
            </w:tcMar>
          </w:tcPr>
          <w:p>
            <w:pPr>
              <w:spacing w:before="0" w:after="0" w:line="259" w:lineRule="auto"/>
            </w:pPr>
            <w:r>
              <w:rPr>
                <w:rFonts w:ascii="Calibri" w:hAnsi="Calibri" w:eastAsia="Microsoft YaHei"/>
                <w:b/>
                <w:sz w:val="18"/>
              </w:rPr>
              <w:t>学习式信号（Learned）</w:t>
            </w:r>
          </w:p>
        </w:tc>
        <w:tc>
          <w:tcPr>
            <w:tcW w:type="dxa" w:w="281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概率输出，依赖分类器或编码器</w:t>
            </w:r>
          </w:p>
        </w:tc>
        <w:tc>
          <w:tcPr>
            <w:tcW w:type="dxa" w:w="3616"/>
            <w:vAlign w:val="center"/>
            <w:tcMar>
              <w:top w:w="80" w:type="dxa"/>
              <w:start w:w="120" w:type="dxa"/>
              <w:bottom w:w="80" w:type="dxa"/>
              <w:end w:w="120" w:type="dxa"/>
            </w:tcMar>
          </w:tcPr>
          <w:p>
            <w:pPr>
              <w:spacing w:before="0" w:after="0" w:line="259" w:lineRule="auto"/>
            </w:pPr>
            <w:r>
              <w:rPr>
                <w:rFonts w:ascii="Calibri" w:hAnsi="Calibri" w:eastAsia="Microsoft YaHei"/>
                <w:sz w:val="18"/>
              </w:rPr>
              <w:t>意图分类、越狱检测、PII 实体标注</w:t>
            </w:r>
          </w:p>
        </w:tc>
      </w:tr>
    </w:tbl>
    <w:p>
      <w:pPr>
        <w:spacing w:after="40"/>
      </w:pPr>
    </w:p>
    <w:p>
      <w:pPr/>
      <w:r>
        <w:t>关键改变在于</w:t>
      </w:r>
      <w:r>
        <w:rPr>
          <w:b/>
        </w:rPr>
        <w:t>串行变并行</w:t>
      </w:r>
      <w:r>
        <w:t>。原先越狱 → PII → 领域的串行依赖被消解：一个请求可能同时携带越狱风险、PII 信息和特定领域特征，三个维度的观测互不阻塞、各自独立产出信号值。并行化带来两个直接收益：延迟降低（总延迟取决于最慢的单个提取器，而非所有提取器之和）；维度可扩展（新增观测维度只需添加一个提取器，不影响已有管道）。</w:t>
      </w:r>
    </w:p>
    <w:p>
      <w:pPr>
        <w:pStyle w:val="Heading2"/>
      </w:pPr>
      <w:r>
        <w:t>六阶段流水线：从信号到模型</w:t>
      </w:r>
    </w:p>
    <w:p>
      <w:pPr/>
      <w:r>
        <w:t>信号提取只是第一步。完整的路由决策还需回答：观测结果意味着什么？该执行什么策略？用哪个模型？下图将路由过程分解为六个可独立迭代的阶段。</w:t>
      </w:r>
    </w:p>
    <w:p>
      <w:pPr>
        <w:keepNext/>
        <w:keepLines/>
        <w:spacing w:before="120" w:after="0"/>
        <w:jc w:val="center"/>
      </w:pPr>
      <w:r>
        <w:drawing>
          <wp:inline xmlns:a="http://schemas.openxmlformats.org/drawingml/2006/main" xmlns:pic="http://schemas.openxmlformats.org/drawingml/2006/picture">
            <wp:extent cx="5943600" cy="3343275"/>
            <wp:docPr id="7" name="Picture 7" descr="六阶段路由流水线：信号-投影-决策-算法-插件-模型" title="六阶段路由流水线：信号-投影-决策-算法-插件-模型"/>
            <wp:cNvGraphicFramePr>
              <a:graphicFrameLocks noChangeAspect="1"/>
            </wp:cNvGraphicFramePr>
            <a:graphic>
              <a:graphicData uri="http://schemas.openxmlformats.org/drawingml/2006/picture">
                <pic:pic>
                  <pic:nvPicPr>
                    <pic:cNvPr id="0" name="slide-10.png"/>
                    <pic:cNvPicPr/>
                  </pic:nvPicPr>
                  <pic:blipFill>
                    <a:blip r:embed="rId19"/>
                    <a:stretch>
                      <a:fillRect/>
                    </a:stretch>
                  </pic:blipFill>
                  <pic:spPr>
                    <a:xfrm>
                      <a:off x="0" y="0"/>
                      <a:ext cx="5943600" cy="3343275"/>
                    </a:xfrm>
                    <a:prstGeom prst="rect"/>
                  </pic:spPr>
                </pic:pic>
              </a:graphicData>
            </a:graphic>
          </wp:inline>
        </w:drawing>
      </w:r>
    </w:p>
    <w:p>
      <w:pPr/>
      <w:r>
        <w:rPr>
          <w:i/>
        </w:rPr>
        <w:t>图注：六阶段路由流水线，实现可观测、可版本化、可扩展的路由治理。来源：演讲 PPT 第 10 页</w:t>
      </w:r>
    </w:p>
    <w:tbl>
      <w:tblPr>
        <w:tblStyle w:val="TableGrid"/>
        <w:tblW w:type="dxa" w:w="9360"/>
        <w:jc w:val="left"/>
        <w:tblLayout w:type="fixed"/>
        <w:tblLook w:firstColumn="1" w:firstRow="1" w:lastColumn="0" w:lastRow="0" w:noHBand="0" w:noVBand="1" w:val="04A0"/>
        <w:tblInd w:w="120" w:type="dxa"/>
      </w:tblPr>
      <w:tblGrid>
        <w:gridCol w:w="1467"/>
        <w:gridCol w:w="2478"/>
        <w:gridCol w:w="1559"/>
        <w:gridCol w:w="3856"/>
      </w:tblGrid>
      <w:tr>
        <w:trPr>
          <w:tblHeader w:val="true"/>
        </w:trPr>
        <w:tc>
          <w:tcPr>
            <w:tcW w:type="dxa" w:w="146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阶段</w:t>
            </w:r>
          </w:p>
        </w:tc>
        <w:tc>
          <w:tcPr>
            <w:tcW w:type="dxa" w:w="247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名称</w:t>
            </w:r>
          </w:p>
        </w:tc>
        <w:tc>
          <w:tcPr>
            <w:tcW w:type="dxa" w:w="155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职责关键词</w:t>
            </w:r>
          </w:p>
        </w:tc>
        <w:tc>
          <w:tcPr>
            <w:tcW w:type="dxa" w:w="385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输入 → 输出</w:t>
            </w:r>
          </w:p>
        </w:tc>
      </w:tr>
      <w:tr>
        <w:tc>
          <w:tcPr>
            <w:tcW w:type="dxa" w:w="1467"/>
            <w:vAlign w:val="center"/>
            <w:tcMar>
              <w:top w:w="80" w:type="dxa"/>
              <w:start w:w="120" w:type="dxa"/>
              <w:bottom w:w="80" w:type="dxa"/>
              <w:end w:w="120" w:type="dxa"/>
            </w:tcMar>
          </w:tcPr>
          <w:p>
            <w:pPr>
              <w:spacing w:before="0" w:after="0" w:line="259" w:lineRule="auto"/>
            </w:pPr>
            <w:r>
              <w:rPr>
                <w:rFonts w:ascii="Calibri" w:hAnsi="Calibri" w:eastAsia="Microsoft YaHei"/>
                <w:sz w:val="18"/>
              </w:rPr>
              <w:t>①</w:t>
            </w:r>
          </w:p>
        </w:tc>
        <w:tc>
          <w:tcPr>
            <w:tcW w:type="dxa" w:w="2478"/>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信号（Signals）</w:t>
            </w:r>
          </w:p>
        </w:tc>
        <w:tc>
          <w:tcPr>
            <w:tcW w:type="dxa" w:w="155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证据</w:t>
            </w:r>
          </w:p>
        </w:tc>
        <w:tc>
          <w:tcPr>
            <w:tcW w:type="dxa" w:w="385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原始请求 → 多维信号值</w:t>
            </w:r>
          </w:p>
        </w:tc>
      </w:tr>
      <w:tr>
        <w:tc>
          <w:tcPr>
            <w:tcW w:type="dxa" w:w="1467"/>
            <w:vAlign w:val="center"/>
            <w:tcMar>
              <w:top w:w="80" w:type="dxa"/>
              <w:start w:w="120" w:type="dxa"/>
              <w:bottom w:w="80" w:type="dxa"/>
              <w:end w:w="120" w:type="dxa"/>
            </w:tcMar>
          </w:tcPr>
          <w:p>
            <w:pPr>
              <w:spacing w:before="0" w:after="0" w:line="259" w:lineRule="auto"/>
            </w:pPr>
            <w:r>
              <w:rPr>
                <w:rFonts w:ascii="Calibri" w:hAnsi="Calibri" w:eastAsia="Microsoft YaHei"/>
                <w:sz w:val="18"/>
              </w:rPr>
              <w:t>②</w:t>
            </w:r>
          </w:p>
        </w:tc>
        <w:tc>
          <w:tcPr>
            <w:tcW w:type="dxa" w:w="2478"/>
            <w:vAlign w:val="center"/>
            <w:tcMar>
              <w:top w:w="80" w:type="dxa"/>
              <w:start w:w="120" w:type="dxa"/>
              <w:bottom w:w="80" w:type="dxa"/>
              <w:end w:w="120" w:type="dxa"/>
            </w:tcMar>
          </w:tcPr>
          <w:p>
            <w:pPr>
              <w:spacing w:before="0" w:after="0" w:line="259" w:lineRule="auto"/>
            </w:pPr>
            <w:r>
              <w:rPr>
                <w:rFonts w:ascii="Calibri" w:hAnsi="Calibri" w:eastAsia="Microsoft YaHei"/>
                <w:b/>
                <w:sz w:val="18"/>
              </w:rPr>
              <w:t>投影（Projections）</w:t>
            </w:r>
          </w:p>
        </w:tc>
        <w:tc>
          <w:tcPr>
            <w:tcW w:type="dxa" w:w="155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含义</w:t>
            </w:r>
          </w:p>
        </w:tc>
        <w:tc>
          <w:tcPr>
            <w:tcW w:type="dxa" w:w="3856"/>
            <w:vAlign w:val="center"/>
            <w:tcMar>
              <w:top w:w="80" w:type="dxa"/>
              <w:start w:w="120" w:type="dxa"/>
              <w:bottom w:w="80" w:type="dxa"/>
              <w:end w:w="120" w:type="dxa"/>
            </w:tcMar>
          </w:tcPr>
          <w:p>
            <w:pPr>
              <w:spacing w:before="0" w:after="0" w:line="259" w:lineRule="auto"/>
            </w:pPr>
            <w:r>
              <w:rPr>
                <w:rFonts w:ascii="Calibri" w:hAnsi="Calibri" w:eastAsia="Microsoft YaHei"/>
                <w:sz w:val="18"/>
              </w:rPr>
              <w:t>信号值 → 语义映射（如将 token 数映射为"长/短"）</w:t>
            </w:r>
          </w:p>
        </w:tc>
      </w:tr>
      <w:tr>
        <w:tc>
          <w:tcPr>
            <w:tcW w:type="dxa" w:w="1467"/>
            <w:vAlign w:val="center"/>
            <w:tcMar>
              <w:top w:w="80" w:type="dxa"/>
              <w:start w:w="120" w:type="dxa"/>
              <w:bottom w:w="80" w:type="dxa"/>
              <w:end w:w="120" w:type="dxa"/>
            </w:tcMar>
          </w:tcPr>
          <w:p>
            <w:pPr>
              <w:spacing w:before="0" w:after="0" w:line="259" w:lineRule="auto"/>
            </w:pPr>
            <w:r>
              <w:rPr>
                <w:rFonts w:ascii="Calibri" w:hAnsi="Calibri" w:eastAsia="Microsoft YaHei"/>
                <w:sz w:val="18"/>
              </w:rPr>
              <w:t>③</w:t>
            </w:r>
          </w:p>
        </w:tc>
        <w:tc>
          <w:tcPr>
            <w:tcW w:type="dxa" w:w="2478"/>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决策（Decisions）</w:t>
            </w:r>
          </w:p>
        </w:tc>
        <w:tc>
          <w:tcPr>
            <w:tcW w:type="dxa" w:w="155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策略</w:t>
            </w:r>
          </w:p>
        </w:tc>
        <w:tc>
          <w:tcPr>
            <w:tcW w:type="dxa" w:w="385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投影结果 → 布尔组合策略</w:t>
            </w:r>
          </w:p>
        </w:tc>
      </w:tr>
      <w:tr>
        <w:tc>
          <w:tcPr>
            <w:tcW w:type="dxa" w:w="1467"/>
            <w:vAlign w:val="center"/>
            <w:tcMar>
              <w:top w:w="80" w:type="dxa"/>
              <w:start w:w="120" w:type="dxa"/>
              <w:bottom w:w="80" w:type="dxa"/>
              <w:end w:w="120" w:type="dxa"/>
            </w:tcMar>
          </w:tcPr>
          <w:p>
            <w:pPr>
              <w:spacing w:before="0" w:after="0" w:line="259" w:lineRule="auto"/>
            </w:pPr>
            <w:r>
              <w:rPr>
                <w:rFonts w:ascii="Calibri" w:hAnsi="Calibri" w:eastAsia="Microsoft YaHei"/>
                <w:sz w:val="18"/>
              </w:rPr>
              <w:t>④</w:t>
            </w:r>
          </w:p>
        </w:tc>
        <w:tc>
          <w:tcPr>
            <w:tcW w:type="dxa" w:w="2478"/>
            <w:vAlign w:val="center"/>
            <w:tcMar>
              <w:top w:w="80" w:type="dxa"/>
              <w:start w:w="120" w:type="dxa"/>
              <w:bottom w:w="80" w:type="dxa"/>
              <w:end w:w="120" w:type="dxa"/>
            </w:tcMar>
          </w:tcPr>
          <w:p>
            <w:pPr>
              <w:spacing w:before="0" w:after="0" w:line="259" w:lineRule="auto"/>
            </w:pPr>
            <w:r>
              <w:rPr>
                <w:rFonts w:ascii="Calibri" w:hAnsi="Calibri" w:eastAsia="Microsoft YaHei"/>
                <w:b/>
                <w:sz w:val="18"/>
              </w:rPr>
              <w:t>算法（Algorithms）</w:t>
            </w:r>
          </w:p>
        </w:tc>
        <w:tc>
          <w:tcPr>
            <w:tcW w:type="dxa" w:w="155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执行</w:t>
            </w:r>
          </w:p>
        </w:tc>
        <w:tc>
          <w:tcPr>
            <w:tcW w:type="dxa" w:w="385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策略 → 路由执行逻辑</w:t>
            </w:r>
          </w:p>
        </w:tc>
      </w:tr>
      <w:tr>
        <w:tc>
          <w:tcPr>
            <w:tcW w:type="dxa" w:w="1467"/>
            <w:vAlign w:val="center"/>
            <w:tcMar>
              <w:top w:w="80" w:type="dxa"/>
              <w:start w:w="120" w:type="dxa"/>
              <w:bottom w:w="80" w:type="dxa"/>
              <w:end w:w="120" w:type="dxa"/>
            </w:tcMar>
          </w:tcPr>
          <w:p>
            <w:pPr>
              <w:spacing w:before="0" w:after="0" w:line="259" w:lineRule="auto"/>
            </w:pPr>
            <w:r>
              <w:rPr>
                <w:rFonts w:ascii="Calibri" w:hAnsi="Calibri" w:eastAsia="Microsoft YaHei"/>
                <w:sz w:val="18"/>
              </w:rPr>
              <w:t>⑤</w:t>
            </w:r>
          </w:p>
        </w:tc>
        <w:tc>
          <w:tcPr>
            <w:tcW w:type="dxa" w:w="2478"/>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插件（Plugins）</w:t>
            </w:r>
          </w:p>
        </w:tc>
        <w:tc>
          <w:tcPr>
            <w:tcW w:type="dxa" w:w="155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动作</w:t>
            </w:r>
          </w:p>
        </w:tc>
        <w:tc>
          <w:tcPr>
            <w:tcW w:type="dxa" w:w="385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执行逻辑 → 具体系统调用</w:t>
            </w:r>
          </w:p>
        </w:tc>
      </w:tr>
      <w:tr>
        <w:tc>
          <w:tcPr>
            <w:tcW w:type="dxa" w:w="1467"/>
            <w:vAlign w:val="center"/>
            <w:tcMar>
              <w:top w:w="80" w:type="dxa"/>
              <w:start w:w="120" w:type="dxa"/>
              <w:bottom w:w="80" w:type="dxa"/>
              <w:end w:w="120" w:type="dxa"/>
            </w:tcMar>
          </w:tcPr>
          <w:p>
            <w:pPr>
              <w:spacing w:before="0" w:after="0" w:line="259" w:lineRule="auto"/>
            </w:pPr>
            <w:r>
              <w:rPr>
                <w:rFonts w:ascii="Calibri" w:hAnsi="Calibri" w:eastAsia="Microsoft YaHei"/>
                <w:sz w:val="18"/>
              </w:rPr>
              <w:t>⑥</w:t>
            </w:r>
          </w:p>
        </w:tc>
        <w:tc>
          <w:tcPr>
            <w:tcW w:type="dxa" w:w="2478"/>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模型（Models）</w:t>
            </w:r>
          </w:p>
        </w:tc>
        <w:tc>
          <w:tcPr>
            <w:tcW w:type="dxa" w:w="155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结果</w:t>
            </w:r>
          </w:p>
        </w:tc>
        <w:tc>
          <w:tcPr>
            <w:tcW w:type="dxa" w:w="385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系统调用 → 模型推理输出</w:t>
            </w:r>
          </w:p>
        </w:tc>
      </w:tr>
    </w:tbl>
    <w:p>
      <w:pPr>
        <w:spacing w:after="40"/>
      </w:pPr>
    </w:p>
    <w:p>
      <w:pPr/>
      <w:r>
        <w:t>阶段之间构成单向依赖链，每个阶段仅消费上游输出、生产下游输入。核心因果机制是</w:t>
      </w:r>
      <w:r>
        <w:rPr>
          <w:b/>
        </w:rPr>
        <w:t>解耦</w:t>
      </w:r>
      <w:r>
        <w:t>：信号层的变更（如增加 Feedback 信号）不需要修改决策层逻辑；决策层的策略调整不影响底层模型部署。</w:t>
      </w:r>
    </w:p>
    <w:p>
      <w:pPr>
        <w:pStyle w:val="Heading2"/>
      </w:pPr>
      <w:r>
        <w:t>布尔组合：将异构信号转化为路由策略</w:t>
      </w:r>
    </w:p>
    <w:p>
      <w:pPr/>
      <w:r>
        <w:t>投影层将原始信号值标准化为可判断的语义标签后，决策层使用</w:t>
      </w:r>
      <w:r>
        <w:rPr>
          <w:b/>
        </w:rPr>
        <w:t>布尔逻辑（Boolean Logic）</w:t>
      </w:r>
      <w:r>
        <w:t>将多个条件组合为路由策略。PPT 第 9 页底部给出了一个示例性表达式：</w:t>
      </w:r>
    </w:p>
    <w:p>
      <w:pPr/>
      <w:r>
        <w:t>```</w:t>
      </w:r>
    </w:p>
    <w:p>
      <w:pPr/>
      <w:r>
        <w:t>(Intent = Math) AND (Low Safety OR Context Length &lt; 8K)</w:t>
      </w:r>
    </w:p>
    <w:p>
      <w:pPr/>
      <w:r>
        <w:t>NOT (Unsatisfied Feedback)</w:t>
      </w:r>
    </w:p>
    <w:p>
      <w:pPr/>
      <w:r>
        <w:t>→ Decision A → Model A</w:t>
      </w:r>
    </w:p>
    <w:p>
      <w:pPr/>
      <w:r>
        <w:t>```</w:t>
      </w:r>
    </w:p>
    <w:p>
      <w:pPr/>
      <w:r>
        <w:t>拆解各谓词：</w:t>
      </w:r>
      <w:r>
        <w:rPr>
          <w:rFonts w:ascii="Consolas" w:hAnsi="Consolas" w:eastAsia="Microsoft YaHei"/>
          <w:color w:val="1F4D78"/>
          <w:sz w:val="19"/>
          <w:shd w:fill="EEF2F6"/>
        </w:rPr>
        <w:t>Intent = Math</w:t>
      </w:r>
      <w:r>
        <w:t xml:space="preserve"> 来自学习式意图分类器；</w:t>
      </w:r>
      <w:r>
        <w:rPr>
          <w:rFonts w:ascii="Consolas" w:hAnsi="Consolas" w:eastAsia="Microsoft YaHei"/>
          <w:color w:val="1F4D78"/>
          <w:sz w:val="19"/>
          <w:shd w:fill="EEF2F6"/>
        </w:rPr>
        <w:t>Low Safety</w:t>
      </w:r>
      <w:r>
        <w:t xml:space="preserve"> 来自越狱检测器的低风险判定；</w:t>
      </w:r>
      <w:r>
        <w:rPr>
          <w:rFonts w:ascii="Consolas" w:hAnsi="Consolas" w:eastAsia="Microsoft YaHei"/>
          <w:color w:val="1F4D78"/>
          <w:sz w:val="19"/>
          <w:shd w:fill="EEF2F6"/>
        </w:rPr>
        <w:t>Context Length &lt; 8K</w:t>
      </w:r>
      <w:r>
        <w:t xml:space="preserve"> 是启发式信号，直接计数 Token 即可确定；</w:t>
      </w:r>
      <w:r>
        <w:rPr>
          <w:rFonts w:ascii="Consolas" w:hAnsi="Consolas" w:eastAsia="Microsoft YaHei"/>
          <w:color w:val="1F4D78"/>
          <w:sz w:val="19"/>
          <w:shd w:fill="EEF2F6"/>
        </w:rPr>
        <w:t>Unsatisfied Feedback</w:t>
      </w:r>
      <w:r>
        <w:t xml:space="preserve"> 取决于历史交互数据。</w:t>
      </w:r>
    </w:p>
    <w:p>
      <w:pPr/>
      <w:r>
        <w:t xml:space="preserve">布尔表达式可任意组合 AND / OR / NOT，策略空间随信号维度增加而指数级扩展，无需改动流水线拓扑。例如，当安全信号上线后，只需在决策层增加一个 </w:t>
      </w:r>
      <w:r>
        <w:rPr>
          <w:rFonts w:ascii="Consolas" w:hAnsi="Consolas" w:eastAsia="Microsoft YaHei"/>
          <w:color w:val="1F4D78"/>
          <w:sz w:val="19"/>
          <w:shd w:fill="EEF2F6"/>
        </w:rPr>
        <w:t>Safety = High → 拒绝或转审核</w:t>
      </w:r>
      <w:r>
        <w:t xml:space="preserve"> 的谓词，信号层的提取器独立部署并行执行，不改动已有流程。</w:t>
      </w:r>
    </w:p>
    <w:p>
      <w:pPr>
        <w:pStyle w:val="Heading2"/>
      </w:pPr>
      <w:r>
        <w:t>边界条件</w:t>
      </w:r>
    </w:p>
    <w:p>
      <w:pPr>
        <w:spacing w:after="80" w:line="290" w:lineRule="auto"/>
        <w:numPr>
          <w:ilvl w:val="0"/>
          <w:numId w:val="10"/>
        </w:numPr>
      </w:pPr>
      <w:r>
        <w:rPr>
          <w:b/>
        </w:rPr>
        <w:t>信号冲突</w:t>
      </w:r>
      <w:r>
        <w:t>：当学习式信号给出矛盾判定（如意图分类器判定"数学"而领域分类器判定"闲聊"）时，当前材料未给出具体的冲突消解机制。</w:t>
      </w:r>
    </w:p>
    <w:p>
      <w:pPr>
        <w:spacing w:after="80" w:line="290" w:lineRule="auto"/>
        <w:numPr>
          <w:ilvl w:val="0"/>
          <w:numId w:val="10"/>
        </w:numPr>
      </w:pPr>
      <w:r>
        <w:rPr>
          <w:b/>
        </w:rPr>
        <w:t>延迟开销</w:t>
      </w:r>
      <w:r>
        <w:t>：并行信号提取虽然理论上只取最慢一环的延迟，但若某个学习式分类器本身推理耗时较高，对端到端延迟的影响仍需关注。演讲材料未给出各提取器的实测延迟数据。</w:t>
      </w:r>
    </w:p>
    <w:p>
      <w:pPr>
        <w:spacing w:after="80" w:line="290" w:lineRule="auto"/>
        <w:numPr>
          <w:ilvl w:val="0"/>
          <w:numId w:val="10"/>
        </w:numPr>
      </w:pPr>
      <w:r>
        <w:rPr>
          <w:b/>
        </w:rPr>
        <w:t>策略爆炸</w:t>
      </w:r>
      <w:r>
        <w:t>：布尔条件的自由组合在维度较多时可能产生大量规则，如何管理规则版本与互斥关系是额外的工程治理问题。</w:t>
      </w:r>
    </w:p>
    <w:p>
      <w:pPr>
        <w:pStyle w:val="Heading2"/>
      </w:pPr>
      <w:r>
        <w:t>小结</w:t>
      </w:r>
    </w:p>
    <w:p>
      <w:pPr/>
      <w:r>
        <w:t>信号驱动决策架构将串行的三步分类拆解为并行的异构信号提取，再通过投影、布尔决策、算法、插件四个中间层将信号转化为可治理的路由策略。六阶段流水线的每一层职责单一、接口明确，新增观测维度或调整策略都不必重构全局管道。这种灵活的决策编排能力，使路由器不再局限于"选一个模型"，而是可以编排多个模型协同工作。</w:t>
      </w:r>
    </w:p>
    <w:p>
      <w:pPr>
        <w:pStyle w:val="Heading1"/>
      </w:pPr>
      <w:r>
        <w:t>五、从单选到协同：多模型协作的微智能体算法</w:t>
      </w:r>
    </w:p>
    <w:p>
      <w:pPr>
        <w:pStyle w:val="Heading2"/>
      </w:pPr>
      <w:r>
        <w:t>单体选择的天花板</w:t>
      </w:r>
    </w:p>
    <w:p>
      <w:pPr/>
      <w:r>
        <w:t>前面各章讨论的路由核心动作都是"选一个最合适的模型"。但存在一个根本矛盾：</w:t>
      </w:r>
      <w:r>
        <w:rPr>
          <w:b/>
        </w:rPr>
        <w:t>路由再精准，单模型的能力上限不会因为被选中而提高。</w:t>
      </w:r>
      <w:r>
        <w:t xml:space="preserve"> 当请求本身的难度超出候选池中任何单一模型的可靠作答范围时——例如一段需要推理、搜索、再验证的复合任务——单次选择只能给出"最不差的答案"，而非"足够好的答案"。</w:t>
      </w:r>
    </w:p>
    <w:p>
      <w:pPr/>
      <w:r>
        <w:t xml:space="preserve">突破这一天花板，需要路由器从 </w:t>
      </w:r>
      <w:r>
        <w:rPr>
          <w:b/>
        </w:rPr>
        <w:t>Model Selection（模型选择）</w:t>
      </w:r>
      <w:r>
        <w:t xml:space="preserve"> 演进到 </w:t>
      </w:r>
      <w:r>
        <w:rPr>
          <w:b/>
        </w:rPr>
        <w:t>Model Collaboration（模型协作）</w:t>
      </w:r>
      <w:r>
        <w:t>：在一次请求的生命周期内实时编排多个模型，以计算时间换取输出质量。vLLM-SR 将这类协作策略归纳为四种语义模式，并以 Looper 微智能体的形式实现。</w:t>
      </w:r>
    </w:p>
    <w:p>
      <w:pPr>
        <w:pStyle w:val="Heading2"/>
      </w:pPr>
      <w:r>
        <w:t>四种协作语义全景</w:t>
      </w:r>
    </w:p>
    <w:p>
      <w:pPr/>
      <w:r>
        <w:t>下图按协作复杂度从左到右排列了四种模式，每种模式对应不同的 Looper 流程和角色分工。</w:t>
      </w:r>
    </w:p>
    <w:p>
      <w:pPr>
        <w:keepNext/>
        <w:keepLines/>
        <w:spacing w:before="120" w:after="0"/>
        <w:jc w:val="center"/>
      </w:pPr>
      <w:r>
        <w:drawing>
          <wp:inline xmlns:a="http://schemas.openxmlformats.org/drawingml/2006/main" xmlns:pic="http://schemas.openxmlformats.org/drawingml/2006/picture">
            <wp:extent cx="5943600" cy="3343275"/>
            <wp:docPr id="8" name="Picture 8" descr="vLLM-SR 多模型协作策略全景图：从 SELECT 到 CASCADE、FUSION、WORKFLOW 四种 Looper 微智能体架构的流程与角色分工" title="vLLM-SR 多模型协作策略全景图：从 SELECT 到 CASCADE、FUSION、WORKFLOW 四种 Looper 微智能体架构的流程与角色分工"/>
            <wp:cNvGraphicFramePr>
              <a:graphicFrameLocks noChangeAspect="1"/>
            </wp:cNvGraphicFramePr>
            <a:graphic>
              <a:graphicData uri="http://schemas.openxmlformats.org/drawingml/2006/picture">
                <pic:pic>
                  <pic:nvPicPr>
                    <pic:cNvPr id="0" name="slide-11.png"/>
                    <pic:cNvPicPr/>
                  </pic:nvPicPr>
                  <pic:blipFill>
                    <a:blip r:embed="rId20"/>
                    <a:stretch>
                      <a:fillRect/>
                    </a:stretch>
                  </pic:blipFill>
                  <pic:spPr>
                    <a:xfrm>
                      <a:off x="0" y="0"/>
                      <a:ext cx="5943600" cy="3343275"/>
                    </a:xfrm>
                    <a:prstGeom prst="rect"/>
                  </pic:spPr>
                </pic:pic>
              </a:graphicData>
            </a:graphic>
          </wp:inline>
        </w:drawing>
      </w:r>
    </w:p>
    <w:p>
      <w:pPr/>
      <w:r>
        <w:rPr>
          <w:i/>
        </w:rPr>
        <w:t>图注：多模型协作的四种语义模式及其内部 Looper 流程。来源：演讲 PPT 第 11 页</w:t>
      </w:r>
    </w:p>
    <w:tbl>
      <w:tblPr>
        <w:tblStyle w:val="TableGrid"/>
        <w:tblW w:type="dxa" w:w="9360"/>
        <w:jc w:val="left"/>
        <w:tblLayout w:type="fixed"/>
        <w:tblLook w:firstColumn="1" w:firstRow="1" w:lastColumn="0" w:lastRow="0" w:noHBand="0" w:noVBand="1" w:val="04A0"/>
        <w:tblInd w:w="120" w:type="dxa"/>
      </w:tblPr>
      <w:tblGrid>
        <w:gridCol w:w="1784"/>
        <w:gridCol w:w="3067"/>
        <w:gridCol w:w="2212"/>
        <w:gridCol w:w="2297"/>
      </w:tblGrid>
      <w:tr>
        <w:trPr>
          <w:tblHeader w:val="true"/>
        </w:trPr>
        <w:tc>
          <w:tcPr>
            <w:tcW w:type="dxa" w:w="178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语义模式</w:t>
            </w:r>
          </w:p>
        </w:tc>
        <w:tc>
          <w:tcPr>
            <w:tcW w:type="dxa" w:w="306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核心动词</w:t>
            </w:r>
          </w:p>
        </w:tc>
        <w:tc>
          <w:tcPr>
            <w:tcW w:type="dxa" w:w="221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参与模型数</w:t>
            </w:r>
          </w:p>
        </w:tc>
        <w:tc>
          <w:tcPr>
            <w:tcW w:type="dxa" w:w="229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循环条件</w:t>
            </w:r>
          </w:p>
        </w:tc>
      </w:tr>
      <w:tr>
        <w:tc>
          <w:tcPr>
            <w:tcW w:type="dxa" w:w="1784"/>
            <w:vAlign w:val="center"/>
            <w:tcMar>
              <w:top w:w="80" w:type="dxa"/>
              <w:start w:w="120" w:type="dxa"/>
              <w:bottom w:w="80" w:type="dxa"/>
              <w:end w:w="120" w:type="dxa"/>
            </w:tcMar>
          </w:tcPr>
          <w:p>
            <w:pPr>
              <w:spacing w:before="0" w:after="0" w:line="259" w:lineRule="auto"/>
            </w:pPr>
            <w:r>
              <w:rPr>
                <w:rFonts w:ascii="Calibri" w:hAnsi="Calibri" w:eastAsia="Microsoft YaHei"/>
                <w:b/>
                <w:sz w:val="18"/>
              </w:rPr>
              <w:t>SELECT</w:t>
            </w:r>
          </w:p>
        </w:tc>
        <w:tc>
          <w:tcPr>
            <w:tcW w:type="dxa" w:w="3067"/>
            <w:vAlign w:val="center"/>
            <w:tcMar>
              <w:top w:w="80" w:type="dxa"/>
              <w:start w:w="120" w:type="dxa"/>
              <w:bottom w:w="80" w:type="dxa"/>
              <w:end w:w="120" w:type="dxa"/>
            </w:tcMar>
          </w:tcPr>
          <w:p>
            <w:pPr>
              <w:spacing w:before="0" w:after="0" w:line="259" w:lineRule="auto"/>
            </w:pPr>
            <w:r>
              <w:rPr>
                <w:rFonts w:ascii="Calibri" w:hAnsi="Calibri" w:eastAsia="Microsoft YaHei"/>
                <w:sz w:val="18"/>
              </w:rPr>
              <w:t>choose best-fit one</w:t>
            </w:r>
          </w:p>
        </w:tc>
        <w:tc>
          <w:tcPr>
            <w:tcW w:type="dxa" w:w="221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w:t>
            </w:r>
          </w:p>
        </w:tc>
        <w:tc>
          <w:tcPr>
            <w:tcW w:type="dxa" w:w="229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无循环，一次选择</w:t>
            </w:r>
          </w:p>
        </w:tc>
      </w:tr>
      <w:tr>
        <w:tc>
          <w:tcPr>
            <w:tcW w:type="dxa" w:w="1784"/>
            <w:vAlign w:val="center"/>
            <w:tcMar>
              <w:top w:w="80" w:type="dxa"/>
              <w:start w:w="120" w:type="dxa"/>
              <w:bottom w:w="80" w:type="dxa"/>
              <w:end w:w="120" w:type="dxa"/>
            </w:tcMar>
          </w:tcPr>
          <w:p>
            <w:pPr>
              <w:spacing w:before="0" w:after="0" w:line="259" w:lineRule="auto"/>
            </w:pPr>
            <w:r>
              <w:rPr>
                <w:rFonts w:ascii="Calibri" w:hAnsi="Calibri" w:eastAsia="Microsoft YaHei"/>
                <w:b/>
                <w:sz w:val="18"/>
              </w:rPr>
              <w:t>CASCADE</w:t>
            </w:r>
          </w:p>
        </w:tc>
        <w:tc>
          <w:tcPr>
            <w:tcW w:type="dxa" w:w="306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escalate</w:t>
            </w:r>
          </w:p>
        </w:tc>
        <w:tc>
          <w:tcPr>
            <w:tcW w:type="dxa" w:w="221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≥2（分级）</w:t>
            </w:r>
          </w:p>
        </w:tc>
        <w:tc>
          <w:tcPr>
            <w:tcW w:type="dxa" w:w="229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置信度不足时升级</w:t>
            </w:r>
          </w:p>
        </w:tc>
      </w:tr>
      <w:tr>
        <w:tc>
          <w:tcPr>
            <w:tcW w:type="dxa" w:w="1784"/>
            <w:vAlign w:val="center"/>
            <w:tcMar>
              <w:top w:w="80" w:type="dxa"/>
              <w:start w:w="120" w:type="dxa"/>
              <w:bottom w:w="80" w:type="dxa"/>
              <w:end w:w="120" w:type="dxa"/>
            </w:tcMar>
          </w:tcPr>
          <w:p>
            <w:pPr>
              <w:spacing w:before="0" w:after="0" w:line="259" w:lineRule="auto"/>
            </w:pPr>
            <w:r>
              <w:rPr>
                <w:rFonts w:ascii="Calibri" w:hAnsi="Calibri" w:eastAsia="Microsoft YaHei"/>
                <w:b/>
                <w:sz w:val="18"/>
              </w:rPr>
              <w:t>FUSION</w:t>
            </w:r>
          </w:p>
        </w:tc>
        <w:tc>
          <w:tcPr>
            <w:tcW w:type="dxa" w:w="3067"/>
            <w:vAlign w:val="center"/>
            <w:tcMar>
              <w:top w:w="80" w:type="dxa"/>
              <w:start w:w="120" w:type="dxa"/>
              <w:bottom w:w="80" w:type="dxa"/>
              <w:end w:w="120" w:type="dxa"/>
            </w:tcMar>
          </w:tcPr>
          <w:p>
            <w:pPr>
              <w:spacing w:before="0" w:after="0" w:line="259" w:lineRule="auto"/>
            </w:pPr>
            <w:r>
              <w:rPr>
                <w:rFonts w:ascii="Calibri" w:hAnsi="Calibri" w:eastAsia="Microsoft YaHei"/>
                <w:sz w:val="18"/>
              </w:rPr>
              <w:t>compare + synthesize</w:t>
            </w:r>
          </w:p>
        </w:tc>
        <w:tc>
          <w:tcPr>
            <w:tcW w:type="dxa" w:w="221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≥2（并行）+ Judge</w:t>
            </w:r>
          </w:p>
        </w:tc>
        <w:tc>
          <w:tcPr>
            <w:tcW w:type="dxa" w:w="229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Judge 判定不合格时重入</w:t>
            </w:r>
          </w:p>
        </w:tc>
      </w:tr>
      <w:tr>
        <w:tc>
          <w:tcPr>
            <w:tcW w:type="dxa" w:w="1784"/>
            <w:vAlign w:val="center"/>
            <w:tcMar>
              <w:top w:w="80" w:type="dxa"/>
              <w:start w:w="120" w:type="dxa"/>
              <w:bottom w:w="80" w:type="dxa"/>
              <w:end w:w="120" w:type="dxa"/>
            </w:tcMar>
          </w:tcPr>
          <w:p>
            <w:pPr>
              <w:spacing w:before="0" w:after="0" w:line="259" w:lineRule="auto"/>
            </w:pPr>
            <w:r>
              <w:rPr>
                <w:rFonts w:ascii="Calibri" w:hAnsi="Calibri" w:eastAsia="Microsoft YaHei"/>
                <w:b/>
                <w:sz w:val="18"/>
              </w:rPr>
              <w:t>WORKFLOW</w:t>
            </w:r>
          </w:p>
        </w:tc>
        <w:tc>
          <w:tcPr>
            <w:tcW w:type="dxa" w:w="3067"/>
            <w:vAlign w:val="center"/>
            <w:tcMar>
              <w:top w:w="80" w:type="dxa"/>
              <w:start w:w="120" w:type="dxa"/>
              <w:bottom w:w="80" w:type="dxa"/>
              <w:end w:w="120" w:type="dxa"/>
            </w:tcMar>
          </w:tcPr>
          <w:p>
            <w:pPr>
              <w:spacing w:before="0" w:after="0" w:line="259" w:lineRule="auto"/>
            </w:pPr>
            <w:r>
              <w:rPr>
                <w:rFonts w:ascii="Calibri" w:hAnsi="Calibri" w:eastAsia="Microsoft YaHei"/>
                <w:sz w:val="18"/>
              </w:rPr>
              <w:t>plan → execute → verify</w:t>
            </w:r>
          </w:p>
        </w:tc>
        <w:tc>
          <w:tcPr>
            <w:tcW w:type="dxa" w:w="221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≥3（角色化）</w:t>
            </w:r>
          </w:p>
        </w:tc>
        <w:tc>
          <w:tcPr>
            <w:tcW w:type="dxa" w:w="229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Verifier 拒绝时重入</w:t>
            </w:r>
          </w:p>
        </w:tc>
      </w:tr>
    </w:tbl>
    <w:p>
      <w:pPr>
        <w:spacing w:after="40"/>
      </w:pPr>
    </w:p>
    <w:p>
      <w:pPr/>
      <w:r>
        <w:t>SELECT 已在前面章节讨论过，以下聚焦后三种协作算法。</w:t>
      </w:r>
    </w:p>
    <w:p>
      <w:pPr>
        <w:pStyle w:val="Heading2"/>
      </w:pPr>
      <w:r>
        <w:t>CASCADE：置信度驱动的逐级升级</w:t>
      </w:r>
    </w:p>
    <w:p>
      <w:pPr/>
      <w:r>
        <w:t>图中 Confidence Loop 的箭头流向为：请求进入后被分发给成本最低的候选模型；模型返回结果后系统做</w:t>
      </w:r>
      <w:r>
        <w:rPr>
          <w:b/>
        </w:rPr>
        <w:t>置信度评估（Confidence Check）</w:t>
      </w:r>
      <w:r>
        <w:t>；若达标则直接返回，若不达标则请求传递给下一级更强模型，重复评估，逐级攀升直到置信度合格或到达最强模型。</w:t>
      </w:r>
    </w:p>
    <w:p>
      <w:pPr/>
      <w:r>
        <w:t>核心变量是</w:t>
      </w:r>
      <w:r>
        <w:rPr>
          <w:b/>
        </w:rPr>
        <w:t>置信度阈值</w:t>
      </w:r>
      <w:r>
        <w:t>与</w:t>
      </w:r>
      <w:r>
        <w:rPr>
          <w:b/>
        </w:rPr>
        <w:t>候选模型的成本梯度</w:t>
      </w:r>
      <w:r>
        <w:t>。阈值越低，请求越倾向于在低层级被消化——延迟低、成本低，但质量风险增大；阈值越高，更多请求被推升到高成本模型。演讲材料明确指出这是一种</w:t>
      </w:r>
      <w:r>
        <w:rPr>
          <w:b/>
        </w:rPr>
        <w:t>实时（real-time）</w:t>
      </w:r>
      <w:r>
        <w:t xml:space="preserve"> 的请求级算法，每条请求独立判定，不依赖离线批处理，但未给出具体阈值数值或线上 A/B 数据。</w:t>
      </w:r>
    </w:p>
    <w:p>
      <w:pPr>
        <w:pStyle w:val="Heading2"/>
      </w:pPr>
      <w:r>
        <w:t>FUSION：多模型并行生成 + 裁判综合</w:t>
      </w:r>
    </w:p>
    <w:p>
      <w:pPr/>
      <w:r>
        <w:t>Fusion 的思路与级联正交：不是串行升级，而是</w:t>
      </w:r>
      <w:r>
        <w:rPr>
          <w:b/>
        </w:rPr>
        <w:t>让多个模型同时回答同一个问题，再由一个 Judge 模型综合最终答案</w:t>
      </w:r>
      <w:r>
        <w:t>。</w:t>
      </w:r>
    </w:p>
    <w:p>
      <w:pPr/>
      <w:r>
        <w:t>图中 Fusion Loop 的关键节点为：（1）</w:t>
      </w:r>
      <w:r>
        <w:rPr>
          <w:b/>
        </w:rPr>
        <w:t>Panel（面板）</w:t>
      </w:r>
      <w:r>
        <w:t>——同一请求被广播给 N 个候选模型，各自独立生成答案；（2）</w:t>
      </w:r>
      <w:r>
        <w:rPr>
          <w:b/>
        </w:rPr>
        <w:t>Judge（裁判模型）</w:t>
      </w:r>
      <w:r>
        <w:t>——收集全部候选答案，对比优劣后合成综合回答；（3）</w:t>
      </w:r>
      <w:r>
        <w:rPr>
          <w:b/>
        </w:rPr>
        <w:t>质量检查</w:t>
      </w:r>
      <w:r>
        <w:t>——若 Judge 输出 qualified 则返回，否则重入循环。</w:t>
      </w:r>
    </w:p>
    <w:p>
      <w:pPr/>
      <w:r>
        <w:t xml:space="preserve">融合策略还衍生出一种 </w:t>
      </w:r>
      <w:r>
        <w:rPr>
          <w:b/>
        </w:rPr>
        <w:t>ReMoM Loop</w:t>
      </w:r>
      <w:r>
        <w:t xml:space="preserve"> 变体：第一层用较多模型各自推理，第二层用较少模型对上一轮答案做二次推理，层层收窄最终汇聚为一个答案——类似锦标赛淘汰赛的拓扑，每一轮都让模型间的多样性转化为更高质量的共识。</w:t>
      </w:r>
    </w:p>
    <w:p>
      <w:pPr/>
      <w:r>
        <w:t>Fusion 的新增变量是</w:t>
      </w:r>
      <w:r>
        <w:rPr>
          <w:b/>
        </w:rPr>
        <w:t>并行模型数量</w:t>
      </w:r>
      <w:r>
        <w:t xml:space="preserve">和 </w:t>
      </w:r>
      <w:r>
        <w:rPr>
          <w:b/>
        </w:rPr>
        <w:t>Judge 模型的选择</w:t>
      </w:r>
      <w:r>
        <w:t>。并行数越多答案多样性越高，但推理成本线性增长；Judge 本身若能力不足，综合质量反而可能不如最优单模型。</w:t>
      </w:r>
    </w:p>
    <w:p>
      <w:pPr>
        <w:pStyle w:val="Heading2"/>
      </w:pPr>
      <w:r>
        <w:t>WORKFLOW：角色化微智能体</w:t>
      </w:r>
    </w:p>
    <w:p>
      <w:pPr/>
      <w:r>
        <w:t>Workflow 是协作复杂度最高的模式，将一次请求拆分为多个角色化子任务：</w:t>
      </w:r>
    </w:p>
    <w:p>
      <w:pPr>
        <w:spacing w:after="80" w:line="290" w:lineRule="auto"/>
        <w:numPr>
          <w:ilvl w:val="0"/>
          <w:numId w:val="10"/>
        </w:numPr>
      </w:pPr>
      <w:r>
        <w:rPr>
          <w:b/>
        </w:rPr>
        <w:t>Thinker / Planner（思考者 / 规划者）</w:t>
      </w:r>
      <w:r>
        <w:t>：接收原始请求，理解意图并拆解为若干子问题。</w:t>
      </w:r>
    </w:p>
    <w:p>
      <w:pPr>
        <w:spacing w:after="80" w:line="290" w:lineRule="auto"/>
        <w:numPr>
          <w:ilvl w:val="0"/>
          <w:numId w:val="10"/>
        </w:numPr>
      </w:pPr>
      <w:r>
        <w:rPr>
          <w:b/>
        </w:rPr>
        <w:t>Worker（执行者）</w:t>
      </w:r>
      <w:r>
        <w:t>：领取子问题，执行推理并返回局部结果。</w:t>
      </w:r>
    </w:p>
    <w:p>
      <w:pPr>
        <w:spacing w:after="80" w:line="290" w:lineRule="auto"/>
        <w:numPr>
          <w:ilvl w:val="0"/>
          <w:numId w:val="10"/>
        </w:numPr>
      </w:pPr>
      <w:r>
        <w:rPr>
          <w:b/>
        </w:rPr>
        <w:t>Verifier（验证者）</w:t>
      </w:r>
      <w:r>
        <w:t>：汇总所有 Worker 输出做正确性验证。通过则合成最终答案返回；失败则回退给 Thinker 重新规划或给 Worker 重新执行。</w:t>
      </w:r>
    </w:p>
    <w:p>
      <w:pPr/>
      <w:r>
        <w:t>这一结构与通用 Agent 协作框架在形态上相似，但关键区别在于它运行在</w:t>
      </w:r>
      <w:r>
        <w:rPr>
          <w:b/>
        </w:rPr>
        <w:t>请求级的实时路径</w:t>
      </w:r>
      <w:r>
        <w:t>上，每一次 API 调用都可能在毫秒到秒级的时间窗口内触发完整的 Plan → Execute → Verify 循环。</w:t>
      </w:r>
    </w:p>
    <w:p>
      <w:pPr>
        <w:pStyle w:val="Heading2"/>
      </w:pPr>
      <w:r>
        <w:t>最小例子：一次代码生成请求的三种协作路径</w:t>
      </w:r>
    </w:p>
    <w:p>
      <w:pPr/>
      <w:r>
        <w:t>假设用户提交了一条"编写一个并发安全的 LRU 缓存"代码生成请求：</w:t>
      </w:r>
    </w:p>
    <w:p>
      <w:pPr>
        <w:spacing w:after="80" w:line="290" w:lineRule="auto"/>
        <w:numPr>
          <w:ilvl w:val="0"/>
          <w:numId w:val="10"/>
        </w:numPr>
      </w:pPr>
      <w:r>
        <w:rPr>
          <w:b/>
        </w:rPr>
        <w:t>CASCADE 路径</w:t>
      </w:r>
      <w:r>
        <w:t>：路由器先将请求发给轻量代码模型，系统评估结果置信度偏低（如缺少锁机制），自动升级到更强的代码模型重新生成，直到置信度达标。</w:t>
      </w:r>
    </w:p>
    <w:p>
      <w:pPr>
        <w:spacing w:after="80" w:line="290" w:lineRule="auto"/>
        <w:numPr>
          <w:ilvl w:val="0"/>
          <w:numId w:val="10"/>
        </w:numPr>
      </w:pPr>
      <w:r>
        <w:rPr>
          <w:b/>
        </w:rPr>
        <w:t>FUSION 路径</w:t>
      </w:r>
      <w:r>
        <w:t>：请求同时发给三个不同代码模型，各自生成实现方案。Judge 模型对比三份代码，提取各自最优片段（如模型 A 的锁策略 + 模型 B 的淘汰算法），综合为终稿。</w:t>
      </w:r>
    </w:p>
    <w:p>
      <w:pPr>
        <w:spacing w:after="80" w:line="290" w:lineRule="auto"/>
        <w:numPr>
          <w:ilvl w:val="0"/>
          <w:numId w:val="10"/>
        </w:numPr>
      </w:pPr>
      <w:r>
        <w:rPr>
          <w:b/>
        </w:rPr>
        <w:t>WORKFLOW 路径</w:t>
      </w:r>
      <w:r>
        <w:t>：Thinker 模型将任务拆解为"数据结构设计""并发控制""单元测试"三个子任务，分别分配给擅长不同领域的 Worker 模型。Verifier 发现并发控制子模块存在死锁风险，将该子任务回退给对应 Worker 修复，最终通过验证后合成完整代码。</w:t>
      </w:r>
    </w:p>
    <w:p>
      <w:pPr/>
      <w:r>
        <w:t>三条路径的成本-延迟-质量权衡各不相同：CASCADE 最节约（大部分请求在低层消化），FUSION 并行开销最大但答案多样性最高，WORKFLOW 延迟最长但对复杂任务的结构化拆解能力最强。</w:t>
      </w:r>
    </w:p>
    <w:p>
      <w:pPr>
        <w:pStyle w:val="Heading2"/>
      </w:pPr>
      <w:r>
        <w:t>小结</w:t>
      </w:r>
    </w:p>
    <w:p>
      <w:pPr/>
      <w:r>
        <w:t xml:space="preserve">路由器的职能已经从"给请求找一个最佳模型"的静态分发，演进为"在一次请求内动态编排多模型协作"的实时算法层。这一演进的本质是用 </w:t>
      </w:r>
      <w:r>
        <w:rPr>
          <w:b/>
        </w:rPr>
        <w:t>Test-time Compute（测试时计算，指在推理阶段投入额外计算资源以提升输出质量）</w:t>
      </w:r>
      <w:r>
        <w:t xml:space="preserve"> 换取超越任何单体模型能力上限的输出质量。但协作策略的每一次循环都意味着额外的推理开销——演讲材料未给出各策略在生产负载下的具体延迟增幅或质量增益数据，效果需要结合实际场景验证。</w:t>
      </w:r>
    </w:p>
    <w:p>
      <w:pPr>
        <w:pStyle w:val="Heading1"/>
      </w:pPr>
      <w:r>
        <w:t>六、工业界验证：开源协作超越前沿单体的工程证据</w:t>
      </w:r>
    </w:p>
    <w:p>
      <w:pPr>
        <w:pStyle w:val="Heading2"/>
      </w:pPr>
      <w:r>
        <w:t>性能天花板与成本地板能否同时突破？</w:t>
      </w:r>
    </w:p>
    <w:p>
      <w:pPr/>
      <w:r>
        <w:t>企业部署大语言模型时始终面临一组对立约束——追求最高准确率意味着调用最昂贵的闭源前沿模型，而控制成本往往以牺牲质量为代价。多模型协作架构试图打破这一零和博弈：用路由器把不同难度的请求分配给不同成本的模型，使总体得分接近甚至超过单一前沿模型，同时将大部分流量引向低成本节点。以下从公开基准测试和工业部署两个维度检验这一假设。</w:t>
      </w:r>
    </w:p>
    <w:p>
      <w:pPr>
        <w:pStyle w:val="Heading2"/>
      </w:pPr>
      <w:r>
        <w:t>基准测试：特定子集上的得分对比</w:t>
      </w:r>
    </w:p>
    <w:p>
      <w:pPr/>
      <w:r>
        <w:t>下图展示了多模型协作方案与闭源前沿模型在三项基准上的得分对比，需要关注的是每项基准的子集规模。</w:t>
      </w:r>
    </w:p>
    <w:p>
      <w:pPr>
        <w:keepNext/>
        <w:keepLines/>
        <w:spacing w:before="120" w:after="0"/>
        <w:jc w:val="center"/>
      </w:pPr>
      <w:r>
        <w:drawing>
          <wp:inline xmlns:a="http://schemas.openxmlformats.org/drawingml/2006/main" xmlns:pic="http://schemas.openxmlformats.org/drawingml/2006/picture">
            <wp:extent cx="5943600" cy="3343275"/>
            <wp:docPr id="9" name="Picture 9" descr="开源多模型协作的基准测试得分对比，含 LiveCodeBench、GPQA-Diamond 和 Humanity's Last Exam 三项" title="开源多模型协作的基准测试得分对比，含 LiveCodeBench、GPQA-Diamond 和 Humanity's Last Exam 三项"/>
            <wp:cNvGraphicFramePr>
              <a:graphicFrameLocks noChangeAspect="1"/>
            </wp:cNvGraphicFramePr>
            <a:graphic>
              <a:graphicData uri="http://schemas.openxmlformats.org/drawingml/2006/picture">
                <pic:pic>
                  <pic:nvPicPr>
                    <pic:cNvPr id="0" name="slide-12.png"/>
                    <pic:cNvPicPr/>
                  </pic:nvPicPr>
                  <pic:blipFill>
                    <a:blip r:embed="rId21"/>
                    <a:stretch>
                      <a:fillRect/>
                    </a:stretch>
                  </pic:blipFill>
                  <pic:spPr>
                    <a:xfrm>
                      <a:off x="0" y="0"/>
                      <a:ext cx="5943600" cy="3343275"/>
                    </a:xfrm>
                    <a:prstGeom prst="rect"/>
                  </pic:spPr>
                </pic:pic>
              </a:graphicData>
            </a:graphic>
          </wp:inline>
        </w:drawing>
      </w:r>
    </w:p>
    <w:p>
      <w:pPr/>
      <w:r>
        <w:rPr>
          <w:i/>
        </w:rPr>
        <w:t>图注：vLLM-SR 多模型协作在三项基准上的得分。来源：演讲 PPT 第 12 页</w:t>
      </w:r>
    </w:p>
    <w:p>
      <w:pPr/>
      <w:r>
        <w:t xml:space="preserve">图中横轴比较了 </w:t>
      </w:r>
      <w:r>
        <w:rPr>
          <w:b/>
        </w:rPr>
        <w:t>VSR</w:t>
      </w:r>
      <w:r>
        <w:t>（Closed / Hybrid 两种配置）、</w:t>
      </w:r>
      <w:r>
        <w:rPr>
          <w:b/>
        </w:rPr>
        <w:t>Sakana Fugu</w:t>
      </w:r>
      <w:r>
        <w:t>（一种多模型智能组合系统，通过进化搜索将多个开源模型的输出进行融合）以及 GPT-5.5、Gemini 3.1 Pro、Opus 4.8 等闭源前沿模型。核心数据：</w:t>
      </w:r>
    </w:p>
    <w:tbl>
      <w:tblPr>
        <w:tblStyle w:val="TableGrid"/>
        <w:tblW w:type="dxa" w:w="9360"/>
        <w:jc w:val="left"/>
        <w:tblLayout w:type="fixed"/>
        <w:tblLook w:firstColumn="1" w:firstRow="1" w:lastColumn="0" w:lastRow="0" w:noHBand="0" w:noVBand="1" w:val="04A0"/>
        <w:tblInd w:w="120" w:type="dxa"/>
      </w:tblPr>
      <w:tblGrid>
        <w:gridCol w:w="2423"/>
        <w:gridCol w:w="2489"/>
        <w:gridCol w:w="2158"/>
        <w:gridCol w:w="2290"/>
      </w:tblGrid>
      <w:tr>
        <w:trPr>
          <w:tblHeader w:val="true"/>
        </w:trPr>
        <w:tc>
          <w:tcPr>
            <w:tcW w:type="dxa" w:w="242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基准</w:t>
            </w:r>
          </w:p>
        </w:tc>
        <w:tc>
          <w:tcPr>
            <w:tcW w:type="dxa" w:w="248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子集规模</w:t>
            </w:r>
          </w:p>
        </w:tc>
        <w:tc>
          <w:tcPr>
            <w:tcW w:type="dxa" w:w="215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VSR Closed 得分</w:t>
            </w:r>
          </w:p>
        </w:tc>
        <w:tc>
          <w:tcPr>
            <w:tcW w:type="dxa" w:w="229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对比观察</w:t>
            </w:r>
          </w:p>
        </w:tc>
      </w:tr>
      <w:tr>
        <w:tc>
          <w:tcPr>
            <w:tcW w:type="dxa" w:w="2423"/>
            <w:vAlign w:val="center"/>
            <w:tcMar>
              <w:top w:w="80" w:type="dxa"/>
              <w:start w:w="120" w:type="dxa"/>
              <w:bottom w:w="80" w:type="dxa"/>
              <w:end w:w="120" w:type="dxa"/>
            </w:tcMar>
          </w:tcPr>
          <w:p>
            <w:pPr>
              <w:spacing w:before="0" w:after="0" w:line="259" w:lineRule="auto"/>
            </w:pPr>
            <w:r>
              <w:rPr>
                <w:rFonts w:ascii="Calibri" w:hAnsi="Calibri" w:eastAsia="Microsoft YaHei"/>
                <w:b/>
                <w:sz w:val="18"/>
              </w:rPr>
              <w:t>LiveCodeBench</w:t>
            </w:r>
          </w:p>
        </w:tc>
        <w:tc>
          <w:tcPr>
            <w:tcW w:type="dxa" w:w="2489"/>
            <w:vAlign w:val="center"/>
            <w:tcMar>
              <w:top w:w="80" w:type="dxa"/>
              <w:start w:w="120" w:type="dxa"/>
              <w:bottom w:w="80" w:type="dxa"/>
              <w:end w:w="120" w:type="dxa"/>
            </w:tcMar>
          </w:tcPr>
          <w:p>
            <w:pPr>
              <w:spacing w:before="0" w:after="0" w:line="259" w:lineRule="auto"/>
            </w:pPr>
            <w:r>
              <w:rPr>
                <w:rFonts w:ascii="Calibri" w:hAnsi="Calibri" w:eastAsia="Microsoft YaHei"/>
                <w:sz w:val="18"/>
              </w:rPr>
              <w:t>175 题（2025 年 1–4 月子集）</w:t>
            </w:r>
          </w:p>
        </w:tc>
        <w:tc>
          <w:tcPr>
            <w:tcW w:type="dxa" w:w="2158"/>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92.6</w:t>
            </w:r>
          </w:p>
        </w:tc>
        <w:tc>
          <w:tcPr>
            <w:tcW w:type="dxa" w:w="2290"/>
            <w:vAlign w:val="center"/>
            <w:tcMar>
              <w:top w:w="80" w:type="dxa"/>
              <w:start w:w="120" w:type="dxa"/>
              <w:bottom w:w="80" w:type="dxa"/>
              <w:end w:w="120" w:type="dxa"/>
            </w:tcMar>
          </w:tcPr>
          <w:p>
            <w:pPr>
              <w:spacing w:before="0" w:after="0" w:line="259" w:lineRule="auto"/>
            </w:pPr>
            <w:r>
              <w:rPr>
                <w:rFonts w:ascii="Calibri" w:hAnsi="Calibri" w:eastAsia="Microsoft YaHei"/>
                <w:sz w:val="18"/>
              </w:rPr>
              <w:t>图中高于 GPT-5.5 对应柱状条</w:t>
            </w:r>
          </w:p>
        </w:tc>
      </w:tr>
      <w:tr>
        <w:tc>
          <w:tcPr>
            <w:tcW w:type="dxa" w:w="2423"/>
            <w:vAlign w:val="center"/>
            <w:tcMar>
              <w:top w:w="80" w:type="dxa"/>
              <w:start w:w="120" w:type="dxa"/>
              <w:bottom w:w="80" w:type="dxa"/>
              <w:end w:w="120" w:type="dxa"/>
            </w:tcMar>
          </w:tcPr>
          <w:p>
            <w:pPr>
              <w:spacing w:before="0" w:after="0" w:line="259" w:lineRule="auto"/>
            </w:pPr>
            <w:r>
              <w:rPr>
                <w:rFonts w:ascii="Calibri" w:hAnsi="Calibri" w:eastAsia="Microsoft YaHei"/>
                <w:b/>
                <w:sz w:val="18"/>
              </w:rPr>
              <w:t>GPQA-Diamond</w:t>
            </w:r>
          </w:p>
        </w:tc>
        <w:tc>
          <w:tcPr>
            <w:tcW w:type="dxa" w:w="248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50 题（正式子集）</w:t>
            </w:r>
          </w:p>
        </w:tc>
        <w:tc>
          <w:tcPr>
            <w:tcW w:type="dxa" w:w="2158"/>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96.0</w:t>
            </w:r>
          </w:p>
        </w:tc>
        <w:tc>
          <w:tcPr>
            <w:tcW w:type="dxa" w:w="229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图中高于多个前沿模型柱状条</w:t>
            </w:r>
          </w:p>
        </w:tc>
      </w:tr>
      <w:tr>
        <w:tc>
          <w:tcPr>
            <w:tcW w:type="dxa" w:w="2423"/>
            <w:vAlign w:val="center"/>
            <w:tcMar>
              <w:top w:w="80" w:type="dxa"/>
              <w:start w:w="120" w:type="dxa"/>
              <w:bottom w:w="80" w:type="dxa"/>
              <w:end w:w="120" w:type="dxa"/>
            </w:tcMar>
          </w:tcPr>
          <w:p>
            <w:pPr>
              <w:spacing w:before="0" w:after="0" w:line="259" w:lineRule="auto"/>
            </w:pPr>
            <w:r>
              <w:rPr>
                <w:rFonts w:ascii="Calibri" w:hAnsi="Calibri" w:eastAsia="Microsoft YaHei"/>
                <w:b/>
                <w:sz w:val="18"/>
              </w:rPr>
              <w:t>Humanity's Last Exam</w:t>
            </w:r>
          </w:p>
        </w:tc>
        <w:tc>
          <w:tcPr>
            <w:tcW w:type="dxa" w:w="248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2,158 条纯文本</w:t>
            </w:r>
          </w:p>
        </w:tc>
        <w:tc>
          <w:tcPr>
            <w:tcW w:type="dxa" w:w="215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47.1（VSR Hybrid）</w:t>
            </w:r>
          </w:p>
        </w:tc>
        <w:tc>
          <w:tcPr>
            <w:tcW w:type="dxa" w:w="229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图中未超过最高前沿模型</w:t>
            </w:r>
          </w:p>
        </w:tc>
      </w:tr>
    </w:tbl>
    <w:p>
      <w:pPr>
        <w:spacing w:after="40"/>
      </w:pPr>
    </w:p>
    <w:p>
      <w:pPr>
        <w:spacing w:before="80" w:after="200" w:line="300" w:lineRule="auto"/>
        <w:ind w:left="317" w:right="173"/>
        <w:pBdr>
          <w:left w:val="single" w:sz="18" w:space="8" w:color="2E74B5"/>
        </w:pBdr>
        <w:shd w:fill="F4F6F9"/>
      </w:pPr>
      <w:r>
        <w:rPr>
          <w:rFonts w:ascii="Calibri" w:hAnsi="Calibri" w:eastAsia="Microsoft YaHei"/>
          <w:b/>
          <w:color w:val="203748"/>
          <w:sz w:val="23"/>
        </w:rPr>
        <w:t>LiveCodeBench</w:t>
      </w:r>
      <w:r>
        <w:rPr>
          <w:rFonts w:ascii="Calibri" w:hAnsi="Calibri" w:eastAsia="Microsoft YaHei"/>
          <w:color w:val="203748"/>
          <w:sz w:val="23"/>
        </w:rPr>
        <w:t xml:space="preserve"> 是一个用于评估代码生成与推理能力的动态基准；</w:t>
      </w:r>
      <w:r>
        <w:rPr>
          <w:rFonts w:ascii="Calibri" w:hAnsi="Calibri" w:eastAsia="Microsoft YaHei"/>
          <w:b/>
          <w:color w:val="203748"/>
          <w:sz w:val="23"/>
        </w:rPr>
        <w:t>GPQA-Diamond</w:t>
      </w:r>
      <w:r>
        <w:rPr>
          <w:rFonts w:ascii="Calibri" w:hAnsi="Calibri" w:eastAsia="Microsoft YaHei"/>
          <w:color w:val="203748"/>
          <w:sz w:val="23"/>
        </w:rPr>
        <w:t>（Graduate-Level Google-Proof QA）是一个研究生级科学问答评测集。</w:t>
      </w:r>
    </w:p>
    <w:p>
      <w:pPr/>
      <w:r>
        <w:rPr>
          <w:b/>
        </w:rPr>
        <w:t>因果解读</w:t>
      </w:r>
      <w:r>
        <w:t>：VSR Closed 在 LiveCodeBench 和 GPQA-Diamond 上的得分均高于图中所列多个前沿模型，这是"实时测试时缩放"（Realtime Test-time Scaling）的体现——路由器在测试时对每道题实时选择最适合的开源模型作答，不同开源模型各有擅长子域，路由器的选择收益得以显现。</w:t>
      </w:r>
    </w:p>
    <w:p>
      <w:pPr/>
      <w:r>
        <w:rPr>
          <w:b/>
        </w:rPr>
        <w:t>边界条件</w:t>
      </w:r>
      <w:r>
        <w:t>：前两项基准的子集规模较小（175 题、50 题），统计置信区间相对宽。在样本更大的 Humanity's Last Exam（2,158 条）上，VSR Hybrid 的 47.1 并未超过最高前沿模型。换言之，协作架构的优势并非在所有基准上均成立，题目数量和领域覆盖度直接影响结论的泛化性。</w:t>
      </w:r>
    </w:p>
    <w:p>
      <w:pPr>
        <w:pStyle w:val="Heading2"/>
      </w:pPr>
      <w:r>
        <w:t>工业部署：微软 MDASH 的混合路由实践</w:t>
      </w:r>
    </w:p>
    <w:p>
      <w:pPr/>
      <w:r>
        <w:t>下图底部展示了 MDASH 在网络安全场景中的部署数据，将基准测试的结论推进到生产环境。</w:t>
      </w:r>
    </w:p>
    <w:p>
      <w:pPr>
        <w:keepNext/>
        <w:keepLines/>
        <w:spacing w:before="120" w:after="0"/>
        <w:jc w:val="center"/>
      </w:pPr>
      <w:r>
        <w:drawing>
          <wp:inline xmlns:a="http://schemas.openxmlformats.org/drawingml/2006/main" xmlns:pic="http://schemas.openxmlformats.org/drawingml/2006/picture">
            <wp:extent cx="5943600" cy="3343275"/>
            <wp:docPr id="10" name="Picture 10" descr="模型路由品类全景与微软 MDASH 案例数据" title="模型路由品类全景与微软 MDASH 案例数据"/>
            <wp:cNvGraphicFramePr>
              <a:graphicFrameLocks noChangeAspect="1"/>
            </wp:cNvGraphicFramePr>
            <a:graphic>
              <a:graphicData uri="http://schemas.openxmlformats.org/drawingml/2006/picture">
                <pic:pic>
                  <pic:nvPicPr>
                    <pic:cNvPr id="0" name="slide-15.png"/>
                    <pic:cNvPicPr/>
                  </pic:nvPicPr>
                  <pic:blipFill>
                    <a:blip r:embed="rId22"/>
                    <a:stretch>
                      <a:fillRect/>
                    </a:stretch>
                  </pic:blipFill>
                  <pic:spPr>
                    <a:xfrm>
                      <a:off x="0" y="0"/>
                      <a:ext cx="5943600" cy="3343275"/>
                    </a:xfrm>
                    <a:prstGeom prst="rect"/>
                  </pic:spPr>
                </pic:pic>
              </a:graphicData>
            </a:graphic>
          </wp:inline>
        </w:drawing>
      </w:r>
    </w:p>
    <w:p>
      <w:pPr/>
      <w:r>
        <w:rPr>
          <w:i/>
        </w:rPr>
        <w:t>图注：路由品类全景与微软 MDASH 部署结果。来源：演讲 PPT 第 15 页</w:t>
      </w:r>
    </w:p>
    <w:p>
      <w:pPr/>
      <w:r>
        <w:rPr>
          <w:b/>
        </w:rPr>
        <w:t>MDASH</w:t>
      </w:r>
      <w:r>
        <w:t>（微软 AI 的模型路由与智能体框架，用于在超过 100 个智能体之间协调调度模型）在网络安全场景中采用了一条简明的混合路由策略：</w:t>
      </w:r>
    </w:p>
    <w:p>
      <w:pPr>
        <w:spacing w:before="80" w:after="200" w:line="300" w:lineRule="auto"/>
        <w:ind w:left="317" w:right="173"/>
        <w:pBdr>
          <w:left w:val="single" w:sz="18" w:space="8" w:color="2E74B5"/>
        </w:pBdr>
        <w:shd w:fill="F4F6F9"/>
      </w:pPr>
      <w:r>
        <w:rPr>
          <w:rFonts w:ascii="Calibri" w:hAnsi="Calibri" w:eastAsia="Microsoft YaHei"/>
          <w:b/>
          <w:color w:val="203748"/>
          <w:sz w:val="23"/>
        </w:rPr>
        <w:t>高达 90% 的请求 → MAI-CYBER-1-FLASH</w:t>
      </w:r>
      <w:r>
        <w:rPr>
          <w:rFonts w:ascii="Calibri" w:hAnsi="Calibri" w:eastAsia="Microsoft YaHei"/>
          <w:color w:val="203748"/>
          <w:sz w:val="23"/>
        </w:rPr>
        <w:t>（微软自研轻量网络安全模型）</w:t>
      </w:r>
    </w:p>
    <w:p>
      <w:pPr>
        <w:spacing w:before="80" w:after="200" w:line="300" w:lineRule="auto"/>
        <w:ind w:left="317" w:right="173"/>
        <w:pBdr>
          <w:left w:val="single" w:sz="18" w:space="8" w:color="2E74B5"/>
        </w:pBdr>
        <w:shd w:fill="F4F6F9"/>
      </w:pPr>
      <w:r>
        <w:rPr>
          <w:rFonts w:ascii="Calibri" w:hAnsi="Calibri" w:eastAsia="Microsoft YaHei"/>
          <w:b/>
          <w:color w:val="203748"/>
          <w:sz w:val="23"/>
        </w:rPr>
        <w:t>最困难的 10% 请求 → GPT-5.4</w:t>
      </w:r>
    </w:p>
    <w:p>
      <w:pPr/>
      <w:r>
        <w:t>这一分流产生的关键结果：</w:t>
      </w:r>
    </w:p>
    <w:tbl>
      <w:tblPr>
        <w:tblStyle w:val="TableGrid"/>
        <w:tblW w:type="dxa" w:w="9360"/>
        <w:jc w:val="left"/>
        <w:tblLayout w:type="fixed"/>
        <w:tblLook w:firstColumn="1" w:firstRow="1" w:lastColumn="0" w:lastRow="0" w:noHBand="0" w:noVBand="1" w:val="04A0"/>
        <w:tblInd w:w="120" w:type="dxa"/>
      </w:tblPr>
      <w:tblGrid>
        <w:gridCol w:w="3894"/>
        <w:gridCol w:w="5466"/>
      </w:tblGrid>
      <w:tr>
        <w:trPr>
          <w:tblHeader w:val="true"/>
        </w:trPr>
        <w:tc>
          <w:tcPr>
            <w:tcW w:type="dxa" w:w="389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指标</w:t>
            </w:r>
          </w:p>
        </w:tc>
        <w:tc>
          <w:tcPr>
            <w:tcW w:type="dxa" w:w="546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数值</w:t>
            </w:r>
          </w:p>
        </w:tc>
      </w:tr>
      <w:tr>
        <w:tc>
          <w:tcPr>
            <w:tcW w:type="dxa" w:w="3894"/>
            <w:vAlign w:val="center"/>
            <w:tcMar>
              <w:top w:w="80" w:type="dxa"/>
              <w:start w:w="120" w:type="dxa"/>
              <w:bottom w:w="80" w:type="dxa"/>
              <w:end w:w="120" w:type="dxa"/>
            </w:tcMar>
          </w:tcPr>
          <w:p>
            <w:pPr>
              <w:spacing w:before="0" w:after="0" w:line="259" w:lineRule="auto"/>
            </w:pPr>
            <w:r>
              <w:rPr>
                <w:rFonts w:ascii="Calibri" w:hAnsi="Calibri" w:eastAsia="Microsoft YaHei"/>
                <w:sz w:val="18"/>
              </w:rPr>
              <w:t>任务成功率（ANY-CRASH）</w:t>
            </w:r>
          </w:p>
        </w:tc>
        <w:tc>
          <w:tcPr>
            <w:tcW w:type="dxa" w:w="5466"/>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95.95%</w:t>
            </w:r>
          </w:p>
        </w:tc>
      </w:tr>
      <w:tr>
        <w:tc>
          <w:tcPr>
            <w:tcW w:type="dxa" w:w="3894"/>
            <w:vAlign w:val="center"/>
            <w:tcMar>
              <w:top w:w="80" w:type="dxa"/>
              <w:start w:w="120" w:type="dxa"/>
              <w:bottom w:w="80" w:type="dxa"/>
              <w:end w:w="120" w:type="dxa"/>
            </w:tcMar>
          </w:tcPr>
          <w:p>
            <w:pPr>
              <w:spacing w:before="0" w:after="0" w:line="259" w:lineRule="auto"/>
            </w:pPr>
            <w:r>
              <w:rPr>
                <w:rFonts w:ascii="Calibri" w:hAnsi="Calibri" w:eastAsia="Microsoft YaHei"/>
                <w:sz w:val="18"/>
              </w:rPr>
              <w:t>成本节省</w:t>
            </w:r>
          </w:p>
        </w:tc>
        <w:tc>
          <w:tcPr>
            <w:tcW w:type="dxa" w:w="5466"/>
            <w:vAlign w:val="center"/>
            <w:tcMar>
              <w:top w:w="80" w:type="dxa"/>
              <w:start w:w="120" w:type="dxa"/>
              <w:bottom w:w="80" w:type="dxa"/>
              <w:end w:w="120" w:type="dxa"/>
            </w:tcMar>
          </w:tcPr>
          <w:p>
            <w:pPr>
              <w:spacing w:before="0" w:after="0" w:line="259" w:lineRule="auto"/>
            </w:pPr>
            <w:r>
              <w:rPr>
                <w:rFonts w:ascii="Calibri" w:hAnsi="Calibri" w:eastAsia="Microsoft YaHei"/>
                <w:b/>
                <w:sz w:val="18"/>
              </w:rPr>
              <w:t>约 50%</w:t>
            </w:r>
            <w:r>
              <w:rPr>
                <w:rFonts w:ascii="Calibri" w:hAnsi="Calibri" w:eastAsia="Microsoft YaHei"/>
                <w:sz w:val="18"/>
              </w:rPr>
              <w:t>（对比先前 MDASH 中的模型组合）</w:t>
            </w:r>
          </w:p>
        </w:tc>
      </w:tr>
      <w:tr>
        <w:tc>
          <w:tcPr>
            <w:tcW w:type="dxa" w:w="3894"/>
            <w:vAlign w:val="center"/>
            <w:tcMar>
              <w:top w:w="80" w:type="dxa"/>
              <w:start w:w="120" w:type="dxa"/>
              <w:bottom w:w="80" w:type="dxa"/>
              <w:end w:w="120" w:type="dxa"/>
            </w:tcMar>
          </w:tcPr>
          <w:p>
            <w:pPr>
              <w:spacing w:before="0" w:after="0" w:line="259" w:lineRule="auto"/>
            </w:pPr>
            <w:r>
              <w:rPr>
                <w:rFonts w:ascii="Calibri" w:hAnsi="Calibri" w:eastAsia="Microsoft YaHei"/>
                <w:sz w:val="18"/>
              </w:rPr>
              <w:t>最终提交得分</w:t>
            </w:r>
          </w:p>
        </w:tc>
        <w:tc>
          <w:tcPr>
            <w:tcW w:type="dxa" w:w="5466"/>
            <w:vAlign w:val="center"/>
            <w:tcMar>
              <w:top w:w="80" w:type="dxa"/>
              <w:start w:w="120" w:type="dxa"/>
              <w:bottom w:w="80" w:type="dxa"/>
              <w:end w:w="120" w:type="dxa"/>
            </w:tcMar>
          </w:tcPr>
          <w:p>
            <w:pPr>
              <w:spacing w:before="0" w:after="0" w:line="259" w:lineRule="auto"/>
            </w:pPr>
            <w:r>
              <w:rPr>
                <w:rFonts w:ascii="Calibri" w:hAnsi="Calibri" w:eastAsia="Microsoft YaHei"/>
                <w:sz w:val="18"/>
              </w:rPr>
              <w:t>86.3%（在包含 100+ 智能体的评估框架内）</w:t>
            </w:r>
          </w:p>
        </w:tc>
      </w:tr>
    </w:tbl>
    <w:p>
      <w:pPr>
        <w:spacing w:after="40"/>
      </w:pPr>
    </w:p>
    <w:p>
      <w:pPr/>
      <w:r>
        <w:rPr>
          <w:b/>
        </w:rPr>
        <w:t>因果链</w:t>
      </w:r>
      <w:r>
        <w:t>：MAI-CYBER-1-FLASH 承担绝大多数常规安全分析请求，推理成本远低于 GPT-5.4。路由器仅在置信度低或任务复杂度高时将请求升级到 GPT-5.4。安全领域约 90% 的查询属于已知模式或中等难度，轻量模型即可正确处理，仅有长尾困难案例需要前沿模型介入。这与前文级联策略的核心逻辑完全一致，只是从学术基准延伸到了生产级智能体集群。</w:t>
      </w:r>
    </w:p>
    <w:p>
      <w:pPr/>
      <w:r>
        <w:rPr>
          <w:b/>
        </w:rPr>
        <w:t>限定条件</w:t>
      </w:r>
      <w:r>
        <w:t>：演讲材料未给出 MAI-CYBER-1-FLASH 的单独准确率，也未公开路由判定的具体阈值。50% 的成本节省是相对于先前 MDASH 模型组合而言，非相对于 GPT-5.4 全量调用。</w:t>
      </w:r>
    </w:p>
    <w:p>
      <w:pPr>
        <w:pStyle w:val="Heading2"/>
      </w:pPr>
      <w:r>
        <w:t>从基准到生产：变量对比</w:t>
      </w:r>
    </w:p>
    <w:tbl>
      <w:tblPr>
        <w:tblStyle w:val="TableGrid"/>
        <w:tblW w:type="dxa" w:w="9360"/>
        <w:jc w:val="left"/>
        <w:tblLayout w:type="fixed"/>
        <w:tblLook w:firstColumn="1" w:firstRow="1" w:lastColumn="0" w:lastRow="0" w:noHBand="0" w:noVBand="1" w:val="04A0"/>
        <w:tblInd w:w="120" w:type="dxa"/>
      </w:tblPr>
      <w:tblGrid>
        <w:gridCol w:w="1609"/>
        <w:gridCol w:w="2372"/>
        <w:gridCol w:w="2881"/>
        <w:gridCol w:w="2498"/>
      </w:tblGrid>
      <w:tr>
        <w:trPr>
          <w:tblHeader w:val="true"/>
        </w:trPr>
        <w:tc>
          <w:tcPr>
            <w:tcW w:type="dxa" w:w="160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维度</w:t>
            </w:r>
          </w:p>
        </w:tc>
        <w:tc>
          <w:tcPr>
            <w:tcW w:type="dxa" w:w="237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基准测试场景</w:t>
            </w:r>
          </w:p>
        </w:tc>
        <w:tc>
          <w:tcPr>
            <w:tcW w:type="dxa" w:w="288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微软 MDASH 场景</w:t>
            </w:r>
          </w:p>
        </w:tc>
        <w:tc>
          <w:tcPr>
            <w:tcW w:type="dxa" w:w="249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变化的关键变量</w:t>
            </w:r>
          </w:p>
        </w:tc>
      </w:tr>
      <w:tr>
        <w:tc>
          <w:tcPr>
            <w:tcW w:type="dxa" w:w="1609"/>
            <w:vAlign w:val="center"/>
            <w:tcMar>
              <w:top w:w="80" w:type="dxa"/>
              <w:start w:w="120" w:type="dxa"/>
              <w:bottom w:w="80" w:type="dxa"/>
              <w:end w:w="120" w:type="dxa"/>
            </w:tcMar>
          </w:tcPr>
          <w:p>
            <w:pPr>
              <w:spacing w:before="0" w:after="0" w:line="259" w:lineRule="auto"/>
            </w:pPr>
            <w:r>
              <w:rPr>
                <w:rFonts w:ascii="Calibri" w:hAnsi="Calibri" w:eastAsia="Microsoft YaHei"/>
                <w:sz w:val="18"/>
              </w:rPr>
              <w:t>模型池</w:t>
            </w:r>
          </w:p>
        </w:tc>
        <w:tc>
          <w:tcPr>
            <w:tcW w:type="dxa" w:w="237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多个开源模型</w:t>
            </w:r>
          </w:p>
        </w:tc>
        <w:tc>
          <w:tcPr>
            <w:tcW w:type="dxa" w:w="288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自研模型 + GPT-5.4</w:t>
            </w:r>
          </w:p>
        </w:tc>
        <w:tc>
          <w:tcPr>
            <w:tcW w:type="dxa" w:w="249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闭源模型进入组合</w:t>
            </w:r>
          </w:p>
        </w:tc>
      </w:tr>
      <w:tr>
        <w:tc>
          <w:tcPr>
            <w:tcW w:type="dxa" w:w="1609"/>
            <w:vAlign w:val="center"/>
            <w:tcMar>
              <w:top w:w="80" w:type="dxa"/>
              <w:start w:w="120" w:type="dxa"/>
              <w:bottom w:w="80" w:type="dxa"/>
              <w:end w:w="120" w:type="dxa"/>
            </w:tcMar>
          </w:tcPr>
          <w:p>
            <w:pPr>
              <w:spacing w:before="0" w:after="0" w:line="259" w:lineRule="auto"/>
            </w:pPr>
            <w:r>
              <w:rPr>
                <w:rFonts w:ascii="Calibri" w:hAnsi="Calibri" w:eastAsia="Microsoft YaHei"/>
                <w:sz w:val="18"/>
              </w:rPr>
              <w:t>路由粒度</w:t>
            </w:r>
          </w:p>
        </w:tc>
        <w:tc>
          <w:tcPr>
            <w:tcW w:type="dxa" w:w="237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逐题</w:t>
            </w:r>
          </w:p>
        </w:tc>
        <w:tc>
          <w:tcPr>
            <w:tcW w:type="dxa" w:w="288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逐请求 / 逐智能体</w:t>
            </w:r>
          </w:p>
        </w:tc>
        <w:tc>
          <w:tcPr>
            <w:tcW w:type="dxa" w:w="249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智能体数量 &gt; 100</w:t>
            </w:r>
          </w:p>
        </w:tc>
      </w:tr>
      <w:tr>
        <w:tc>
          <w:tcPr>
            <w:tcW w:type="dxa" w:w="1609"/>
            <w:vAlign w:val="center"/>
            <w:tcMar>
              <w:top w:w="80" w:type="dxa"/>
              <w:start w:w="120" w:type="dxa"/>
              <w:bottom w:w="80" w:type="dxa"/>
              <w:end w:w="120" w:type="dxa"/>
            </w:tcMar>
          </w:tcPr>
          <w:p>
            <w:pPr>
              <w:spacing w:before="0" w:after="0" w:line="259" w:lineRule="auto"/>
            </w:pPr>
            <w:r>
              <w:rPr>
                <w:rFonts w:ascii="Calibri" w:hAnsi="Calibri" w:eastAsia="Microsoft YaHei"/>
                <w:sz w:val="18"/>
              </w:rPr>
              <w:t>评估指标</w:t>
            </w:r>
          </w:p>
        </w:tc>
        <w:tc>
          <w:tcPr>
            <w:tcW w:type="dxa" w:w="237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准确率</w:t>
            </w:r>
          </w:p>
        </w:tc>
        <w:tc>
          <w:tcPr>
            <w:tcW w:type="dxa" w:w="288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成功率 + 成本</w:t>
            </w:r>
          </w:p>
        </w:tc>
        <w:tc>
          <w:tcPr>
            <w:tcW w:type="dxa" w:w="249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成本成为一阶目标</w:t>
            </w:r>
          </w:p>
        </w:tc>
      </w:tr>
      <w:tr>
        <w:tc>
          <w:tcPr>
            <w:tcW w:type="dxa" w:w="1609"/>
            <w:vAlign w:val="center"/>
            <w:tcMar>
              <w:top w:w="80" w:type="dxa"/>
              <w:start w:w="120" w:type="dxa"/>
              <w:bottom w:w="80" w:type="dxa"/>
              <w:end w:w="120" w:type="dxa"/>
            </w:tcMar>
          </w:tcPr>
          <w:p>
            <w:pPr>
              <w:spacing w:before="0" w:after="0" w:line="259" w:lineRule="auto"/>
            </w:pPr>
            <w:r>
              <w:rPr>
                <w:rFonts w:ascii="Calibri" w:hAnsi="Calibri" w:eastAsia="Microsoft YaHei"/>
                <w:sz w:val="18"/>
              </w:rPr>
              <w:t>子集规模</w:t>
            </w:r>
          </w:p>
        </w:tc>
        <w:tc>
          <w:tcPr>
            <w:tcW w:type="dxa" w:w="237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50–2,158 题</w:t>
            </w:r>
          </w:p>
        </w:tc>
        <w:tc>
          <w:tcPr>
            <w:tcW w:type="dxa" w:w="288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生产流量（未公开量级）</w:t>
            </w:r>
          </w:p>
        </w:tc>
        <w:tc>
          <w:tcPr>
            <w:tcW w:type="dxa" w:w="249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统计稳定性大幅提升</w:t>
            </w:r>
          </w:p>
        </w:tc>
      </w:tr>
    </w:tbl>
    <w:p>
      <w:pPr>
        <w:spacing w:after="40"/>
      </w:pPr>
    </w:p>
    <w:p>
      <w:pPr/>
      <w:r>
        <w:t>核心收益模式不变：将多数流量路由至高性价比节点，仅在必要时调用昂贵模型。</w:t>
      </w:r>
    </w:p>
    <w:p>
      <w:pPr>
        <w:pStyle w:val="Heading2"/>
      </w:pPr>
      <w:r>
        <w:t>小结</w:t>
      </w:r>
    </w:p>
    <w:p>
      <w:pPr/>
      <w:r>
        <w:t>在限定的基准子集上，开源多模型协作已能在代码与科学推理任务中超越部分前沿闭源模型的得分；在微软的工业实践中，混合路由以 90/10 的流量分割实现了 95.95% 的任务成功率和约 50% 的成本缩减。两组证据从不同角度表明协作架构的性价比优势在真实条件下可被兑现，但泛化性仍受评测子集规模、领域特征和路由算法质量的约束。</w:t>
      </w:r>
    </w:p>
    <w:p>
      <w:pPr>
        <w:pStyle w:val="Heading1"/>
      </w:pPr>
      <w:r>
        <w:t>七、终极形态：混合模型 (MoM) 的虚拟化抽象</w:t>
      </w:r>
    </w:p>
    <w:p>
      <w:pPr>
        <w:pStyle w:val="Heading2"/>
      </w:pPr>
      <w:r>
        <w:t>复杂性正在向客户端泄漏</w:t>
      </w:r>
    </w:p>
    <w:p>
      <w:pPr/>
      <w:r>
        <w:t>当语义路由器在后端成功地将请求分流到不同模型后，一个新的工程矛盾浮现——</w:t>
      </w:r>
      <w:r>
        <w:rPr>
          <w:b/>
        </w:rPr>
        <w:t>客户端该看到什么？</w:t>
      </w:r>
      <w:r>
        <w:t xml:space="preserve"> 如果每个调用方都需要知晓后端有哪些模型池、各池部署在何种硬件上、路由策略版本是多少，那么系统内部的优化收益就会被前端的集成成本所吞噬。更现实的情形是：下游调用方往往是自动化 Agent，而非人类开发者；它们只应对接一个稳定的模型端点，不应承担任何路由逻辑。</w:t>
      </w:r>
    </w:p>
    <w:p>
      <w:pPr/>
      <w:r>
        <w:rPr>
          <w:b/>
        </w:rPr>
        <w:t>混合模型</w:t>
      </w:r>
      <w:r>
        <w:t xml:space="preserve">（Mixture-of-Models, MoM，异构模型与算力池之上的单一虚拟模型契约）正是为解决这一矛盾而提出的虚拟化抽象：对外仅暴露一个版本化的模型 ID（如 </w:t>
      </w:r>
      <w:r>
        <w:rPr>
          <w:rFonts w:ascii="Consolas" w:hAnsi="Consolas" w:eastAsia="Microsoft YaHei"/>
          <w:color w:val="1F4D78"/>
          <w:sz w:val="19"/>
          <w:shd w:fill="EEF2F6"/>
        </w:rPr>
        <w:t>vllm-sr/mom-balanced-v1</w:t>
      </w:r>
      <w:r>
        <w:t>），内部则由工作负载、路由算法和模型池三者协同完成全局优化。</w:t>
      </w:r>
    </w:p>
    <w:p>
      <w:pPr>
        <w:spacing w:before="80" w:after="200" w:line="300" w:lineRule="auto"/>
        <w:ind w:left="317" w:right="173"/>
        <w:pBdr>
          <w:left w:val="single" w:sz="18" w:space="8" w:color="2E74B5"/>
        </w:pBdr>
        <w:shd w:fill="F4F6F9"/>
      </w:pPr>
      <w:r>
        <w:rPr>
          <w:rFonts w:ascii="Calibri" w:hAnsi="Calibri" w:eastAsia="Microsoft YaHei"/>
          <w:color w:val="203748"/>
          <w:sz w:val="23"/>
        </w:rPr>
        <w:t>MoM 与混合专家模型（Mixture-of-Experts, MoE）解决的是不同层次的问题：MoE 在单模型内部做子网络选择；MoM 在</w:t>
      </w:r>
      <w:r>
        <w:rPr>
          <w:rFonts w:ascii="Calibri" w:hAnsi="Calibri" w:eastAsia="Microsoft YaHei"/>
          <w:b/>
          <w:color w:val="203748"/>
          <w:sz w:val="23"/>
        </w:rPr>
        <w:t>系统层面</w:t>
      </w:r>
      <w:r>
        <w:rPr>
          <w:rFonts w:ascii="Calibri" w:hAnsi="Calibri" w:eastAsia="Microsoft YaHei"/>
          <w:color w:val="203748"/>
          <w:sz w:val="23"/>
        </w:rPr>
        <w:t>做跨模型、跨硬件的动态调度。</w:t>
      </w:r>
    </w:p>
    <w:p>
      <w:pPr>
        <w:pStyle w:val="Heading2"/>
      </w:pPr>
      <w:r>
        <w:t>WRP 协同设计</w:t>
      </w:r>
    </w:p>
    <w:p>
      <w:pPr/>
      <w:r>
        <w:t>下图展示了构建者视角下 MoM 控制运行时的三层架构，以及离线-在线优化闭环的运作方式。</w:t>
      </w:r>
    </w:p>
    <w:p>
      <w:pPr>
        <w:keepNext/>
        <w:keepLines/>
        <w:spacing w:before="120" w:after="0"/>
        <w:jc w:val="center"/>
      </w:pPr>
      <w:r>
        <w:drawing>
          <wp:inline xmlns:a="http://schemas.openxmlformats.org/drawingml/2006/main" xmlns:pic="http://schemas.openxmlformats.org/drawingml/2006/picture">
            <wp:extent cx="5943600" cy="3343275"/>
            <wp:docPr id="11" name="Picture 11" descr="MoM 控制运行时的三层架构：路由配方、语义路由器与模型池" title="MoM 控制运行时的三层架构：路由配方、语义路由器与模型池"/>
            <wp:cNvGraphicFramePr>
              <a:graphicFrameLocks noChangeAspect="1"/>
            </wp:cNvGraphicFramePr>
            <a:graphic>
              <a:graphicData uri="http://schemas.openxmlformats.org/drawingml/2006/picture">
                <pic:pic>
                  <pic:nvPicPr>
                    <pic:cNvPr id="0" name="slide-19.png"/>
                    <pic:cNvPicPr/>
                  </pic:nvPicPr>
                  <pic:blipFill>
                    <a:blip r:embed="rId23"/>
                    <a:stretch>
                      <a:fillRect/>
                    </a:stretch>
                  </pic:blipFill>
                  <pic:spPr>
                    <a:xfrm>
                      <a:off x="0" y="0"/>
                      <a:ext cx="5943600" cy="3343275"/>
                    </a:xfrm>
                    <a:prstGeom prst="rect"/>
                  </pic:spPr>
                </pic:pic>
              </a:graphicData>
            </a:graphic>
          </wp:inline>
        </w:drawing>
      </w:r>
    </w:p>
    <w:p>
      <w:pPr/>
      <w:r>
        <w:rPr>
          <w:i/>
        </w:rPr>
        <w:t>图注：构建者视角下的"模型系统"，展示 WRP 协同设计的三层结构。来源：演讲 PPT 第 19 页</w:t>
      </w:r>
    </w:p>
    <w:p>
      <w:pPr/>
      <w:r>
        <w:t xml:space="preserve">图中自上而下包含三个核心层次，对应 </w:t>
      </w:r>
      <w:r>
        <w:rPr>
          <w:b/>
        </w:rPr>
        <w:t>WRP</w:t>
      </w:r>
      <w:r>
        <w:t>（Workload–Router–Pool，工作负载–路由器–模型池）协同设计的三个组成部分：</w:t>
      </w:r>
    </w:p>
    <w:tbl>
      <w:tblPr>
        <w:tblStyle w:val="TableGrid"/>
        <w:tblW w:type="dxa" w:w="9360"/>
        <w:jc w:val="left"/>
        <w:tblLayout w:type="fixed"/>
        <w:tblLook w:firstColumn="1" w:firstRow="1" w:lastColumn="0" w:lastRow="0" w:noHBand="0" w:noVBand="1" w:val="04A0"/>
        <w:tblInd w:w="120" w:type="dxa"/>
      </w:tblPr>
      <w:tblGrid>
        <w:gridCol w:w="1473"/>
        <w:gridCol w:w="3058"/>
        <w:gridCol w:w="4829"/>
      </w:tblGrid>
      <w:tr>
        <w:trPr>
          <w:tblHeader w:val="true"/>
        </w:trPr>
        <w:tc>
          <w:tcPr>
            <w:tcW w:type="dxa" w:w="147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层次</w:t>
            </w:r>
          </w:p>
        </w:tc>
        <w:tc>
          <w:tcPr>
            <w:tcW w:type="dxa" w:w="305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名称</w:t>
            </w:r>
          </w:p>
        </w:tc>
        <w:tc>
          <w:tcPr>
            <w:tcW w:type="dxa" w:w="482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职责</w:t>
            </w:r>
          </w:p>
        </w:tc>
      </w:tr>
      <w:tr>
        <w:tc>
          <w:tcPr>
            <w:tcW w:type="dxa" w:w="1473"/>
            <w:vAlign w:val="center"/>
            <w:tcMar>
              <w:top w:w="80" w:type="dxa"/>
              <w:start w:w="120" w:type="dxa"/>
              <w:bottom w:w="80" w:type="dxa"/>
              <w:end w:w="120" w:type="dxa"/>
            </w:tcMar>
          </w:tcPr>
          <w:p>
            <w:pPr>
              <w:spacing w:before="0" w:after="0" w:line="259" w:lineRule="auto"/>
            </w:pPr>
            <w:r>
              <w:rPr>
                <w:rFonts w:ascii="Calibri" w:hAnsi="Calibri" w:eastAsia="Microsoft YaHei"/>
                <w:sz w:val="18"/>
              </w:rPr>
              <w:t>①</w:t>
            </w:r>
          </w:p>
        </w:tc>
        <w:tc>
          <w:tcPr>
            <w:tcW w:type="dxa" w:w="3058"/>
            <w:vAlign w:val="center"/>
            <w:tcMar>
              <w:top w:w="80" w:type="dxa"/>
              <w:start w:w="120" w:type="dxa"/>
              <w:bottom w:w="80" w:type="dxa"/>
              <w:end w:w="120" w:type="dxa"/>
            </w:tcMar>
          </w:tcPr>
          <w:p>
            <w:pPr>
              <w:spacing w:before="0" w:after="0" w:line="259" w:lineRule="auto"/>
            </w:pPr>
            <w:r>
              <w:rPr>
                <w:rFonts w:ascii="Calibri" w:hAnsi="Calibri" w:eastAsia="Microsoft YaHei"/>
                <w:b/>
                <w:sz w:val="18"/>
              </w:rPr>
              <w:t>路由配方（Routing Recipes）</w:t>
            </w:r>
          </w:p>
        </w:tc>
        <w:tc>
          <w:tcPr>
            <w:tcW w:type="dxa" w:w="4829"/>
            <w:vAlign w:val="center"/>
            <w:tcMar>
              <w:top w:w="80" w:type="dxa"/>
              <w:start w:w="120" w:type="dxa"/>
              <w:bottom w:w="80" w:type="dxa"/>
              <w:end w:w="120" w:type="dxa"/>
            </w:tcMar>
          </w:tcPr>
          <w:p>
            <w:pPr>
              <w:spacing w:before="0" w:after="0" w:line="259" w:lineRule="auto"/>
            </w:pPr>
            <w:r>
              <w:rPr>
                <w:rFonts w:ascii="Calibri" w:hAnsi="Calibri" w:eastAsia="Microsoft YaHei"/>
                <w:sz w:val="18"/>
              </w:rPr>
              <w:t>将工作负载特征与优化目标编码为信号驱动的决策架构，决定请求进入哪个候选模型池</w:t>
            </w:r>
          </w:p>
        </w:tc>
      </w:tr>
      <w:tr>
        <w:tc>
          <w:tcPr>
            <w:tcW w:type="dxa" w:w="1473"/>
            <w:vAlign w:val="center"/>
            <w:tcMar>
              <w:top w:w="80" w:type="dxa"/>
              <w:start w:w="120" w:type="dxa"/>
              <w:bottom w:w="80" w:type="dxa"/>
              <w:end w:w="120" w:type="dxa"/>
            </w:tcMar>
          </w:tcPr>
          <w:p>
            <w:pPr>
              <w:spacing w:before="0" w:after="0" w:line="259" w:lineRule="auto"/>
            </w:pPr>
            <w:r>
              <w:rPr>
                <w:rFonts w:ascii="Calibri" w:hAnsi="Calibri" w:eastAsia="Microsoft YaHei"/>
                <w:sz w:val="18"/>
              </w:rPr>
              <w:t>—</w:t>
            </w:r>
          </w:p>
        </w:tc>
        <w:tc>
          <w:tcPr>
            <w:tcW w:type="dxa" w:w="3058"/>
            <w:vAlign w:val="center"/>
            <w:tcMar>
              <w:top w:w="80" w:type="dxa"/>
              <w:start w:w="120" w:type="dxa"/>
              <w:bottom w:w="80" w:type="dxa"/>
              <w:end w:w="120" w:type="dxa"/>
            </w:tcMar>
          </w:tcPr>
          <w:p>
            <w:pPr>
              <w:spacing w:before="0" w:after="0" w:line="259" w:lineRule="auto"/>
            </w:pPr>
            <w:r>
              <w:rPr>
                <w:rFonts w:ascii="Calibri" w:hAnsi="Calibri" w:eastAsia="Microsoft YaHei"/>
                <w:b/>
                <w:sz w:val="18"/>
              </w:rPr>
              <w:t>vLLM 语义路由器（MoM 控制运行时）</w:t>
            </w:r>
          </w:p>
        </w:tc>
        <w:tc>
          <w:tcPr>
            <w:tcW w:type="dxa" w:w="4829"/>
            <w:vAlign w:val="center"/>
            <w:tcMar>
              <w:top w:w="80" w:type="dxa"/>
              <w:start w:w="120" w:type="dxa"/>
              <w:bottom w:w="80" w:type="dxa"/>
              <w:end w:w="120" w:type="dxa"/>
            </w:tcMar>
          </w:tcPr>
          <w:p>
            <w:pPr>
              <w:spacing w:before="0" w:after="0" w:line="259" w:lineRule="auto"/>
            </w:pPr>
            <w:r>
              <w:rPr>
                <w:rFonts w:ascii="Calibri" w:hAnsi="Calibri" w:eastAsia="Microsoft YaHei"/>
                <w:sz w:val="18"/>
              </w:rPr>
              <w:t>承接路由配方输出，执行选择、级联或协作策略</w:t>
            </w:r>
          </w:p>
        </w:tc>
      </w:tr>
      <w:tr>
        <w:tc>
          <w:tcPr>
            <w:tcW w:type="dxa" w:w="1473"/>
            <w:vAlign w:val="center"/>
            <w:tcMar>
              <w:top w:w="80" w:type="dxa"/>
              <w:start w:w="120" w:type="dxa"/>
              <w:bottom w:w="80" w:type="dxa"/>
              <w:end w:w="120" w:type="dxa"/>
            </w:tcMar>
          </w:tcPr>
          <w:p>
            <w:pPr>
              <w:spacing w:before="0" w:after="0" w:line="259" w:lineRule="auto"/>
            </w:pPr>
            <w:r>
              <w:rPr>
                <w:rFonts w:ascii="Calibri" w:hAnsi="Calibri" w:eastAsia="Microsoft YaHei"/>
                <w:sz w:val="18"/>
              </w:rPr>
              <w:t>②</w:t>
            </w:r>
          </w:p>
        </w:tc>
        <w:tc>
          <w:tcPr>
            <w:tcW w:type="dxa" w:w="3058"/>
            <w:vAlign w:val="center"/>
            <w:tcMar>
              <w:top w:w="80" w:type="dxa"/>
              <w:start w:w="120" w:type="dxa"/>
              <w:bottom w:w="80" w:type="dxa"/>
              <w:end w:w="120" w:type="dxa"/>
            </w:tcMar>
          </w:tcPr>
          <w:p>
            <w:pPr>
              <w:spacing w:before="0" w:after="0" w:line="259" w:lineRule="auto"/>
            </w:pPr>
            <w:r>
              <w:rPr>
                <w:rFonts w:ascii="Calibri" w:hAnsi="Calibri" w:eastAsia="Microsoft YaHei"/>
                <w:b/>
                <w:sz w:val="18"/>
              </w:rPr>
              <w:t>模型池（Model Pools）</w:t>
            </w:r>
          </w:p>
        </w:tc>
        <w:tc>
          <w:tcPr>
            <w:tcW w:type="dxa" w:w="4829"/>
            <w:vAlign w:val="center"/>
            <w:tcMar>
              <w:top w:w="80" w:type="dxa"/>
              <w:start w:w="120" w:type="dxa"/>
              <w:bottom w:w="80" w:type="dxa"/>
              <w:end w:w="120" w:type="dxa"/>
            </w:tcMar>
          </w:tcPr>
          <w:p>
            <w:pPr>
              <w:spacing w:before="0" w:after="0" w:line="259" w:lineRule="auto"/>
            </w:pPr>
            <w:r>
              <w:rPr>
                <w:rFonts w:ascii="Calibri" w:hAnsi="Calibri" w:eastAsia="Microsoft YaHei"/>
                <w:sz w:val="18"/>
              </w:rPr>
              <w:t>包含开源与闭源的异构模型，通过不同推理引擎路径连接至数据中心、边缘或专用部署目标</w:t>
            </w:r>
          </w:p>
        </w:tc>
      </w:tr>
    </w:tbl>
    <w:p>
      <w:pPr>
        <w:spacing w:after="40"/>
      </w:pPr>
    </w:p>
    <w:p>
      <w:pPr/>
      <w:r>
        <w:t>图底部的箭头构成一条</w:t>
      </w:r>
      <w:r>
        <w:rPr>
          <w:b/>
        </w:rPr>
        <w:t>离线-在线优化闭环</w:t>
      </w:r>
      <w:r>
        <w:t>：运行时产生的 Traces（调用链）、Outcomes（结果质量）和 Cost（开销）数据回流至系统，驱动路由配方与模型池配置的迭代更新。评估维度在图中被显式列出——质量、调用/Token 数、延迟、硬件能耗、服务商支出及安全性。</w:t>
      </w:r>
    </w:p>
    <w:p>
      <w:pPr/>
      <w:r>
        <w:rPr>
          <w:b/>
        </w:rPr>
        <w:t>因果机制</w:t>
      </w:r>
      <w:r>
        <w:t>：正因为 WRP 三部分被打包到同一个运行时中，客户端才能像调用单模型 API 一样调用整个系统——路由逻辑对外不可见，决策结果对外不可感知，仅质量与成本的最终表现可被观测。</w:t>
      </w:r>
    </w:p>
    <w:p>
      <w:pPr>
        <w:pStyle w:val="Heading2"/>
      </w:pPr>
      <w:r>
        <w:t>单一模型 ID 绑定到异构环境</w:t>
      </w:r>
    </w:p>
    <w:p>
      <w:pPr/>
      <w:r>
        <w:t>下图展示了同一虚拟模型 ID 如何映射到边缘、企业、云和数据中心四种场景。</w:t>
      </w:r>
    </w:p>
    <w:p>
      <w:pPr>
        <w:keepNext/>
        <w:keepLines/>
        <w:spacing w:before="120" w:after="0"/>
        <w:jc w:val="center"/>
      </w:pPr>
      <w:r>
        <w:drawing>
          <wp:inline xmlns:a="http://schemas.openxmlformats.org/drawingml/2006/main" xmlns:pic="http://schemas.openxmlformats.org/drawingml/2006/picture">
            <wp:extent cx="5943600" cy="3343275"/>
            <wp:docPr id="12" name="Picture 12" descr="MoM 在边缘、企业、云和数据中心四种场景下的价值映射" title="MoM 在边缘、企业、云和数据中心四种场景下的价值映射"/>
            <wp:cNvGraphicFramePr>
              <a:graphicFrameLocks noChangeAspect="1"/>
            </wp:cNvGraphicFramePr>
            <a:graphic>
              <a:graphicData uri="http://schemas.openxmlformats.org/drawingml/2006/picture">
                <pic:pic>
                  <pic:nvPicPr>
                    <pic:cNvPr id="0" name="slide-20.png"/>
                    <pic:cNvPicPr/>
                  </pic:nvPicPr>
                  <pic:blipFill>
                    <a:blip r:embed="rId24"/>
                    <a:stretch>
                      <a:fillRect/>
                    </a:stretch>
                  </pic:blipFill>
                  <pic:spPr>
                    <a:xfrm>
                      <a:off x="0" y="0"/>
                      <a:ext cx="5943600" cy="3343275"/>
                    </a:xfrm>
                    <a:prstGeom prst="rect"/>
                  </pic:spPr>
                </pic:pic>
              </a:graphicData>
            </a:graphic>
          </wp:inline>
        </w:drawing>
      </w:r>
    </w:p>
    <w:p>
      <w:pPr/>
      <w:r>
        <w:rPr>
          <w:i/>
        </w:rPr>
        <w:t>图注：MoM 场景价值图谱，展示虚拟模型 ID 绑定到不同部署拓扑的方式。来源：演讲 PPT 第 20 页</w:t>
      </w:r>
    </w:p>
    <w:p>
      <w:pPr/>
      <w:r>
        <w:t xml:space="preserve">图中右侧标注为 </w:t>
      </w:r>
      <w:r>
        <w:rPr>
          <w:rFonts w:ascii="Consolas" w:hAnsi="Consolas" w:eastAsia="Microsoft YaHei"/>
          <w:color w:val="1F4D78"/>
          <w:sz w:val="19"/>
          <w:shd w:fill="EEF2F6"/>
        </w:rPr>
        <w:t>vllm-sr/mom-v1-ultra</w:t>
      </w:r>
      <w:r>
        <w:t xml:space="preserve"> 的虚拟模型 ID 向外辐射四条绑定路径——分别指向开发者本地设备、数据中心集群、公有云端点和边缘 NPU。左侧按场景拆解了 MoM 的价值主张：</w:t>
      </w:r>
    </w:p>
    <w:tbl>
      <w:tblPr>
        <w:tblStyle w:val="TableGrid"/>
        <w:tblW w:type="dxa" w:w="9360"/>
        <w:jc w:val="left"/>
        <w:tblLayout w:type="fixed"/>
        <w:tblLook w:firstColumn="1" w:firstRow="1" w:lastColumn="0" w:lastRow="0" w:noHBand="0" w:noVBand="1" w:val="04A0"/>
        <w:tblInd w:w="120" w:type="dxa"/>
      </w:tblPr>
      <w:tblGrid>
        <w:gridCol w:w="2789"/>
        <w:gridCol w:w="2590"/>
        <w:gridCol w:w="3981"/>
      </w:tblGrid>
      <w:tr>
        <w:trPr>
          <w:tblHeader w:val="true"/>
        </w:trPr>
        <w:tc>
          <w:tcPr>
            <w:tcW w:type="dxa" w:w="278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部署场景</w:t>
            </w:r>
          </w:p>
        </w:tc>
        <w:tc>
          <w:tcPr>
            <w:tcW w:type="dxa" w:w="259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路由决策依据</w:t>
            </w:r>
          </w:p>
        </w:tc>
        <w:tc>
          <w:tcPr>
            <w:tcW w:type="dxa" w:w="398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典型收益</w:t>
            </w:r>
          </w:p>
        </w:tc>
      </w:tr>
      <w:tr>
        <w:tc>
          <w:tcPr>
            <w:tcW w:type="dxa" w:w="2789"/>
            <w:vAlign w:val="center"/>
            <w:tcMar>
              <w:top w:w="80" w:type="dxa"/>
              <w:start w:w="120" w:type="dxa"/>
              <w:bottom w:w="80" w:type="dxa"/>
              <w:end w:w="120" w:type="dxa"/>
            </w:tcMar>
          </w:tcPr>
          <w:p>
            <w:pPr>
              <w:spacing w:before="0" w:after="0" w:line="259" w:lineRule="auto"/>
            </w:pPr>
            <w:r>
              <w:rPr>
                <w:rFonts w:ascii="Calibri" w:hAnsi="Calibri" w:eastAsia="Microsoft YaHei"/>
                <w:b/>
                <w:sz w:val="18"/>
              </w:rPr>
              <w:t>边缘（Edge）</w:t>
            </w:r>
          </w:p>
        </w:tc>
        <w:tc>
          <w:tcPr>
            <w:tcW w:type="dxa" w:w="259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隐私等级、端侧延迟、任务复杂度</w:t>
            </w:r>
          </w:p>
        </w:tc>
        <w:tc>
          <w:tcPr>
            <w:tcW w:type="dxa" w:w="398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敏感数据不出设备，简单请求就近处理</w:t>
            </w:r>
          </w:p>
        </w:tc>
      </w:tr>
      <w:tr>
        <w:tc>
          <w:tcPr>
            <w:tcW w:type="dxa" w:w="2789"/>
            <w:vAlign w:val="center"/>
            <w:tcMar>
              <w:top w:w="80" w:type="dxa"/>
              <w:start w:w="120" w:type="dxa"/>
              <w:bottom w:w="80" w:type="dxa"/>
              <w:end w:w="120" w:type="dxa"/>
            </w:tcMar>
          </w:tcPr>
          <w:p>
            <w:pPr>
              <w:spacing w:before="0" w:after="0" w:line="259" w:lineRule="auto"/>
            </w:pPr>
            <w:r>
              <w:rPr>
                <w:rFonts w:ascii="Calibri" w:hAnsi="Calibri" w:eastAsia="Microsoft YaHei"/>
                <w:b/>
                <w:sz w:val="18"/>
              </w:rPr>
              <w:t>企业内网（Enterprise）</w:t>
            </w:r>
          </w:p>
        </w:tc>
        <w:tc>
          <w:tcPr>
            <w:tcW w:type="dxa" w:w="259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领域敏感度、合规需求</w:t>
            </w:r>
          </w:p>
        </w:tc>
        <w:tc>
          <w:tcPr>
            <w:tcW w:type="dxa" w:w="3981"/>
            <w:vAlign w:val="center"/>
            <w:tcMar>
              <w:top w:w="80" w:type="dxa"/>
              <w:start w:w="120" w:type="dxa"/>
              <w:bottom w:w="80" w:type="dxa"/>
              <w:end w:w="120" w:type="dxa"/>
            </w:tcMar>
          </w:tcPr>
          <w:p>
            <w:pPr>
              <w:spacing w:before="0" w:after="0" w:line="259" w:lineRule="auto"/>
            </w:pPr>
            <w:r>
              <w:rPr>
                <w:rFonts w:ascii="Calibri" w:hAnsi="Calibri" w:eastAsia="Microsoft YaHei"/>
                <w:sz w:val="18"/>
              </w:rPr>
              <w:t>特定领域任务留在本地，必要时受控调用前沿模型</w:t>
            </w:r>
          </w:p>
        </w:tc>
      </w:tr>
      <w:tr>
        <w:tc>
          <w:tcPr>
            <w:tcW w:type="dxa" w:w="2789"/>
            <w:vAlign w:val="center"/>
            <w:tcMar>
              <w:top w:w="80" w:type="dxa"/>
              <w:start w:w="120" w:type="dxa"/>
              <w:bottom w:w="80" w:type="dxa"/>
              <w:end w:w="120" w:type="dxa"/>
            </w:tcMar>
          </w:tcPr>
          <w:p>
            <w:pPr>
              <w:spacing w:before="0" w:after="0" w:line="259" w:lineRule="auto"/>
            </w:pPr>
            <w:r>
              <w:rPr>
                <w:rFonts w:ascii="Calibri" w:hAnsi="Calibri" w:eastAsia="Microsoft YaHei"/>
                <w:b/>
                <w:sz w:val="18"/>
              </w:rPr>
              <w:t>云端（Cloud）</w:t>
            </w:r>
          </w:p>
        </w:tc>
        <w:tc>
          <w:tcPr>
            <w:tcW w:type="dxa" w:w="259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版本化发布、弹性扩缩</w:t>
            </w:r>
          </w:p>
        </w:tc>
        <w:tc>
          <w:tcPr>
            <w:tcW w:type="dxa" w:w="3981"/>
            <w:vAlign w:val="center"/>
            <w:tcMar>
              <w:top w:w="80" w:type="dxa"/>
              <w:start w:w="120" w:type="dxa"/>
              <w:bottom w:w="80" w:type="dxa"/>
              <w:end w:w="120" w:type="dxa"/>
            </w:tcMar>
          </w:tcPr>
          <w:p>
            <w:pPr>
              <w:spacing w:before="0" w:after="0" w:line="259" w:lineRule="auto"/>
            </w:pPr>
            <w:r>
              <w:rPr>
                <w:rFonts w:ascii="Calibri" w:hAnsi="Calibri" w:eastAsia="Microsoft YaHei"/>
                <w:sz w:val="18"/>
              </w:rPr>
              <w:t>以 MoM-as-a-Model 形态通过公共端点对外发布</w:t>
            </w:r>
          </w:p>
        </w:tc>
      </w:tr>
      <w:tr>
        <w:tc>
          <w:tcPr>
            <w:tcW w:type="dxa" w:w="2789"/>
            <w:vAlign w:val="center"/>
            <w:tcMar>
              <w:top w:w="80" w:type="dxa"/>
              <w:start w:w="120" w:type="dxa"/>
              <w:bottom w:w="80" w:type="dxa"/>
              <w:end w:w="120" w:type="dxa"/>
            </w:tcMar>
          </w:tcPr>
          <w:p>
            <w:pPr>
              <w:spacing w:before="0" w:after="0" w:line="259" w:lineRule="auto"/>
            </w:pPr>
            <w:r>
              <w:rPr>
                <w:rFonts w:ascii="Calibri" w:hAnsi="Calibri" w:eastAsia="Microsoft YaHei"/>
                <w:b/>
                <w:sz w:val="18"/>
              </w:rPr>
              <w:t>数据中心（Data Center）</w:t>
            </w:r>
          </w:p>
        </w:tc>
        <w:tc>
          <w:tcPr>
            <w:tcW w:type="dxa" w:w="259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通用与专用推理技术的统一调度</w:t>
            </w:r>
          </w:p>
        </w:tc>
        <w:tc>
          <w:tcPr>
            <w:tcW w:type="dxa" w:w="3981"/>
            <w:vAlign w:val="center"/>
            <w:tcMar>
              <w:top w:w="80" w:type="dxa"/>
              <w:start w:w="120" w:type="dxa"/>
              <w:bottom w:w="80" w:type="dxa"/>
              <w:end w:w="120" w:type="dxa"/>
            </w:tcMar>
          </w:tcPr>
          <w:p>
            <w:pPr>
              <w:spacing w:before="0" w:after="0" w:line="259" w:lineRule="auto"/>
            </w:pPr>
            <w:r>
              <w:rPr>
                <w:rFonts w:ascii="Calibri" w:hAnsi="Calibri" w:eastAsia="Microsoft YaHei"/>
                <w:sz w:val="18"/>
              </w:rPr>
              <w:t>将多种推理引擎的算力聚合为单一资源池</w:t>
            </w:r>
          </w:p>
        </w:tc>
      </w:tr>
    </w:tbl>
    <w:p>
      <w:pPr>
        <w:spacing w:after="40"/>
      </w:pPr>
    </w:p>
    <w:p>
      <w:pPr/>
      <w:r>
        <w:t>客户端始终使用同一个模型端点，后端根据请求的隐私标签、延迟预算和复杂度特征自动路由到最合适的环境和模型。</w:t>
      </w:r>
    </w:p>
    <w:p>
      <w:pPr>
        <w:spacing w:before="80" w:after="200" w:line="300" w:lineRule="auto"/>
        <w:ind w:left="317" w:right="173"/>
        <w:pBdr>
          <w:left w:val="single" w:sz="18" w:space="8" w:color="2E74B5"/>
        </w:pBdr>
        <w:shd w:fill="F4F6F9"/>
      </w:pPr>
      <w:r>
        <w:rPr>
          <w:rFonts w:ascii="Calibri" w:hAnsi="Calibri" w:eastAsia="Microsoft YaHei"/>
          <w:b/>
          <w:color w:val="203748"/>
          <w:sz w:val="23"/>
        </w:rPr>
        <w:t>生态背景</w:t>
      </w:r>
      <w:r>
        <w:rPr>
          <w:rFonts w:ascii="Calibri" w:hAnsi="Calibri" w:eastAsia="Microsoft YaHei"/>
          <w:color w:val="203748"/>
          <w:sz w:val="23"/>
        </w:rPr>
        <w:t>：LiteLLM（一种开源基础设施自动路由器）已在社区中提供了类似的多模型代理能力，可视为 MoM 概念在工程生态中的早期实践节点。</w:t>
      </w:r>
    </w:p>
    <w:p>
      <w:pPr>
        <w:pStyle w:val="Heading2"/>
      </w:pPr>
      <w:r>
        <w:t>最小例子：Agent 视角的调用流程</w:t>
      </w:r>
    </w:p>
    <w:p>
      <w:pPr/>
      <w:r>
        <w:t>以一个自动化 Agent 为例，集成过程仅需三步：</w:t>
      </w:r>
    </w:p>
    <w:p>
      <w:pPr>
        <w:spacing w:after="80" w:line="290" w:lineRule="auto"/>
        <w:numPr>
          <w:ilvl w:val="0"/>
          <w:numId w:val="15"/>
        </w:numPr>
      </w:pPr>
      <w:r>
        <w:rPr>
          <w:b/>
        </w:rPr>
        <w:t>注册端点</w:t>
      </w:r>
      <w:r>
        <w:t xml:space="preserve">：将 </w:t>
      </w:r>
      <w:r>
        <w:rPr>
          <w:rFonts w:ascii="Consolas" w:hAnsi="Consolas" w:eastAsia="Microsoft YaHei"/>
          <w:color w:val="1F4D78"/>
          <w:sz w:val="19"/>
          <w:shd w:fill="EEF2F6"/>
        </w:rPr>
        <w:t>vllm-sr/mom-balanced-v1</w:t>
      </w:r>
      <w:r>
        <w:t xml:space="preserve"> 作为一个 model provider 接入 Agent 框架。</w:t>
      </w:r>
    </w:p>
    <w:p>
      <w:pPr>
        <w:spacing w:after="80" w:line="290" w:lineRule="auto"/>
        <w:numPr>
          <w:ilvl w:val="0"/>
          <w:numId w:val="15"/>
        </w:numPr>
      </w:pPr>
      <w:r>
        <w:rPr>
          <w:b/>
        </w:rPr>
        <w:t>发送请求</w:t>
      </w:r>
      <w:r>
        <w:t>：按标准模型 API 格式提交 prompt，无需附加路由指令。</w:t>
      </w:r>
    </w:p>
    <w:p>
      <w:pPr>
        <w:spacing w:after="80" w:line="290" w:lineRule="auto"/>
        <w:numPr>
          <w:ilvl w:val="0"/>
          <w:numId w:val="15"/>
        </w:numPr>
      </w:pPr>
      <w:r>
        <w:rPr>
          <w:b/>
        </w:rPr>
        <w:t>接收响应</w:t>
      </w:r>
      <w:r>
        <w:t>：返回结果与调用单一模型完全一致，Agent 无法感知后端经历了哪些路由决策。</w:t>
      </w:r>
    </w:p>
    <w:p>
      <w:pPr/>
      <w:r>
        <w:t>虚拟模型的信任建立依赖两种评估视角：</w:t>
      </w:r>
      <w:r>
        <w:rPr>
          <w:b/>
        </w:rPr>
        <w:t>黑盒视角</w:t>
      </w:r>
      <w:r>
        <w:t>（用户/Agent 在标准 benchmark 上对比虚拟模型与基线单模型的得分，量化延迟和成本收益）和</w:t>
      </w:r>
      <w:r>
        <w:rPr>
          <w:b/>
        </w:rPr>
        <w:t>白盒视角</w:t>
      </w:r>
      <w:r>
        <w:t>（系统运维进入运行时内部，观测路由命中率、各池负载分布、安全拦截率等系统级指标）。演讲材料指出两种视角需同时建立，但未给出具体评估数据。</w:t>
      </w:r>
    </w:p>
    <w:p>
      <w:pPr>
        <w:pStyle w:val="Heading2"/>
      </w:pPr>
      <w:r>
        <w:t>边界与适用条件</w:t>
      </w:r>
    </w:p>
    <w:p>
      <w:pPr/>
      <w:r>
        <w:t>MoM 的收益与底层异构程度正相关——模型种类越多、硬件类型越杂、部署环境越分散，统一抽象带来的集成成本缩减与全局优化空间就越大。反之，当部署场景单一（如仅有云端一个模型）时，虚拟化抽象层的价值趋近于零，反而增加了一层间接调用开销。</w:t>
      </w:r>
    </w:p>
    <w:p>
      <w:pPr>
        <w:pStyle w:val="Heading2"/>
      </w:pPr>
      <w:r>
        <w:t>小结</w:t>
      </w:r>
    </w:p>
    <w:p>
      <w:pPr/>
      <w:r>
        <w:t>MoM 将全文的因果链条闭合：最初的矛盾是模型能力碎片化导致调用方选择困难；语义路由器通过意图理解实现了请求与模型的智能匹配；而 MoM 将这一匹配过程彻底封装，以单一虚拟模型契约向外界承诺稳定的质量-成本-安全权衡。从碎片化到虚拟化，系统完成了从"人选模型"到"系统替人选模型且人无感知"的架构跃迁。</w:t>
      </w:r>
    </w:p>
    <w:p>
      <w:pPr>
        <w:pStyle w:val="Heading1"/>
      </w:pPr>
      <w:r>
        <w:t>结论</w:t>
      </w:r>
    </w:p>
    <w:p>
      <w:pPr>
        <w:spacing w:after="80" w:line="290" w:lineRule="auto"/>
        <w:numPr>
          <w:ilvl w:val="0"/>
          <w:numId w:val="16"/>
        </w:numPr>
      </w:pPr>
      <w:r>
        <w:rPr>
          <w:b/>
        </w:rPr>
        <w:t>AI 基础设施正从单体模型服务向多模型协作范式转移。</w:t>
      </w:r>
      <w:r>
        <w:t xml:space="preserve"> 模型、算力、位置和偏好的四维碎片化使得任何单一端点都无法最优服务所有请求。</w:t>
      </w:r>
    </w:p>
    <w:p>
      <w:pPr>
        <w:spacing w:after="80" w:line="290" w:lineRule="auto"/>
        <w:numPr>
          <w:ilvl w:val="0"/>
          <w:numId w:val="16"/>
        </w:numPr>
      </w:pPr>
      <w:r>
        <w:rPr>
          <w:b/>
        </w:rPr>
        <w:t>传统两层网关的语义盲区是系统性瓶颈。</w:t>
      </w:r>
      <w:r>
        <w:t xml:space="preserve"> Tier 1 和 Tier 2 仅处理资源侧指标，对请求意图和复杂度无感知，导致算力错配。</w:t>
      </w:r>
    </w:p>
    <w:p>
      <w:pPr>
        <w:spacing w:after="80" w:line="290" w:lineRule="auto"/>
        <w:numPr>
          <w:ilvl w:val="0"/>
          <w:numId w:val="16"/>
        </w:numPr>
      </w:pPr>
      <w:r>
        <w:rPr>
          <w:b/>
        </w:rPr>
        <w:t>vLLM-SR 通过引入透明的语义层弥补了这一盲区。</w:t>
      </w:r>
      <w:r>
        <w:t xml:space="preserve"> 它专注于"选什么模型"（WHAT），不干涉推理引擎的执行调度（HOW + WHERE），是补充而非替代。</w:t>
      </w:r>
    </w:p>
    <w:p>
      <w:pPr>
        <w:spacing w:after="80" w:line="290" w:lineRule="auto"/>
        <w:numPr>
          <w:ilvl w:val="0"/>
          <w:numId w:val="16"/>
        </w:numPr>
      </w:pPr>
      <w:r>
        <w:rPr>
          <w:b/>
        </w:rPr>
        <w:t>信号驱动的六阶段架构使路由决策从静态分类走向动态编排。</w:t>
      </w:r>
      <w:r>
        <w:t xml:space="preserve"> 并行的异构信号提取与布尔组合策略支持维度热插拔，为多模型协作奠定结构基础。</w:t>
      </w:r>
    </w:p>
    <w:p>
      <w:pPr>
        <w:spacing w:after="80" w:line="290" w:lineRule="auto"/>
        <w:numPr>
          <w:ilvl w:val="0"/>
          <w:numId w:val="16"/>
        </w:numPr>
      </w:pPr>
      <w:r>
        <w:rPr>
          <w:b/>
        </w:rPr>
        <w:t>级联、融合、工作流三种协作策略将路由器的输出从"单选"扩展为"协同"。</w:t>
      </w:r>
      <w:r>
        <w:t xml:space="preserve"> 它们以 Test-time Compute 换取超越单体模型能力上限的输出质量。</w:t>
      </w:r>
    </w:p>
    <w:p>
      <w:pPr>
        <w:spacing w:after="80" w:line="290" w:lineRule="auto"/>
        <w:numPr>
          <w:ilvl w:val="0"/>
          <w:numId w:val="16"/>
        </w:numPr>
      </w:pPr>
      <w:r>
        <w:rPr>
          <w:b/>
        </w:rPr>
        <w:t>工业界数据表明，合理的模型组合在特定场景下能以更低成本达到或超越前沿闭源模型。</w:t>
      </w:r>
      <w:r>
        <w:t xml:space="preserve"> 微软 MDASH 以 90/10 流量分割实现 95.95% 成功率和约 50% 成本缩减。</w:t>
      </w:r>
    </w:p>
    <w:p>
      <w:pPr>
        <w:spacing w:after="80" w:line="290" w:lineRule="auto"/>
        <w:numPr>
          <w:ilvl w:val="0"/>
          <w:numId w:val="16"/>
        </w:numPr>
      </w:pPr>
      <w:r>
        <w:rPr>
          <w:b/>
        </w:rPr>
        <w:t>MoM 虚拟化抽象最终向用户屏蔽了底层异构算力的复杂性。</w:t>
      </w:r>
      <w:r>
        <w:t xml:space="preserve"> 单一模型 ID 绑定到端、云、企多环境，客户端无需承担路由逻辑。</w:t>
      </w:r>
    </w:p>
    <w:p>
      <w:pPr/>
      <w:r>
        <w:rPr>
          <w:b/>
        </w:rPr>
        <w:t>局限与开放问题</w:t>
      </w:r>
      <w:r>
        <w:t>：</w:t>
      </w:r>
    </w:p>
    <w:p>
      <w:pPr>
        <w:spacing w:after="80" w:line="290" w:lineRule="auto"/>
        <w:numPr>
          <w:ilvl w:val="0"/>
          <w:numId w:val="10"/>
        </w:numPr>
      </w:pPr>
      <w:r>
        <w:t>本文涉及的基准测试数据（LiveCodeBench 175 题、GPQA-Diamond 50 题）来自特定子集，统计置信区间较宽，不宜直接泛化。</w:t>
      </w:r>
    </w:p>
    <w:p>
      <w:pPr>
        <w:spacing w:after="80" w:line="290" w:lineRule="auto"/>
        <w:numPr>
          <w:ilvl w:val="0"/>
          <w:numId w:val="10"/>
        </w:numPr>
      </w:pPr>
      <w:r>
        <w:t>vLLM-SR 语义层引入的端到端延迟开销、各信号提取器的实测耗时、协作策略在生产负载下的延迟增幅等量化数据在当前材料中均未公开。</w:t>
      </w:r>
    </w:p>
    <w:p>
      <w:pPr>
        <w:spacing w:after="80" w:line="290" w:lineRule="auto"/>
        <w:numPr>
          <w:ilvl w:val="0"/>
          <w:numId w:val="10"/>
        </w:numPr>
      </w:pPr>
      <w:r>
        <w:t>信号冲突的消解机制、布尔策略的版本治理、虚拟模型的信任评估框架等工程细节有待后续实现和验证。</w:t>
      </w:r>
    </w:p>
    <w:p>
      <w:pPr>
        <w:spacing w:after="80" w:line="290" w:lineRule="auto"/>
        <w:numPr>
          <w:ilvl w:val="0"/>
          <w:numId w:val="10"/>
        </w:numPr>
      </w:pPr>
      <w:r>
        <w:t>MoM 的收益与底层异构程度正相关；在模型池单一的简单场景下，虚拟化抽象可能不具备足够的投入产出比。</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技术深度解析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混合模型系统构建：开源语义路由器的架构演进与工程实践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9"/>
        <w:spacing w:after="80" w:line="290" w:lineRule="auto"/>
      </w:pPr>
    </w:lvl>
  </w:abstract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libili.com/video/BV13Jeh68Eam" TargetMode="External"/><Relationship Id="rId12" Type="http://schemas.openxmlformats.org/officeDocument/2006/relationships/hyperlink" Target="https://drive.google.com/file/d/1MbB4b1pPO_avIr52DxbxvXQdlvhfFxH7/view"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混合模型系统构建：开源语义路由器的架构演进与工程实践</dc:title>
  <dc:subject>从两层网关的语义盲区到信号驱动的多模型协作 (MoM) 抽象</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