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360" w:after="0"/>
      </w:pPr>
    </w:p>
    <w:p>
      <w:pPr>
        <w:spacing w:after="360"/>
        <w:jc w:val="center"/>
      </w:pPr>
      <w:r>
        <w:rPr>
          <w:rFonts w:ascii="Calibri" w:hAnsi="Calibri" w:eastAsia="Microsoft YaHei"/>
          <w:b/>
          <w:color w:val="2E74B5"/>
          <w:sz w:val="20"/>
        </w:rPr>
        <w:t>TECHNICAL DEEP DIVE</w:t>
      </w:r>
    </w:p>
    <w:p>
      <w:pPr>
        <w:keepLines/>
        <w:spacing w:after="200"/>
        <w:jc w:val="center"/>
      </w:pPr>
      <w:r>
        <w:rPr>
          <w:rFonts w:ascii="Calibri" w:hAnsi="Calibri" w:eastAsia="Microsoft YaHei"/>
          <w:b/>
          <w:color w:val="203748"/>
          <w:sz w:val="56"/>
        </w:rPr>
        <w:t>vLLM 低比特量化实践：AutoRound 核心机制与架构优化</w:t>
      </w:r>
    </w:p>
    <w:p>
      <w:pPr>
        <w:spacing w:before="840" w:after="160"/>
        <w:jc w:val="center"/>
      </w:pPr>
      <w:r>
        <w:rPr>
          <w:rFonts w:ascii="Calibri" w:hAnsi="Calibri" w:eastAsia="Microsoft YaHei"/>
          <w:i/>
          <w:color w:val="626B75"/>
          <w:sz w:val="21"/>
        </w:rPr>
        <w:t>基于技术演讲与配套材料整理</w:t>
      </w:r>
    </w:p>
    <w:p>
      <w:pPr>
        <w:spacing w:after="80"/>
        <w:jc w:val="center"/>
      </w:pPr>
      <w:r>
        <w:rPr>
          <w:rFonts w:ascii="Calibri" w:hAnsi="Calibri" w:eastAsia="Microsoft YaHei"/>
          <w:color w:val="626B75"/>
          <w:sz w:val="19"/>
        </w:rPr>
        <w:t>配套材料：auto-round-vllm-v1.pptx</w:t>
      </w:r>
    </w:p>
    <w:p>
      <w:pPr>
        <w:spacing w:before="680"/>
        <w:jc w:val="center"/>
      </w:pPr>
      <w:r>
        <w:rPr>
          <w:rFonts w:ascii="Calibri" w:hAnsi="Calibri" w:eastAsia="Microsoft YaHei"/>
          <w:color w:val="626B75"/>
          <w:sz w:val="20"/>
        </w:rPr>
        <w:t>2026-08-05</w:t>
      </w:r>
      <w:r>
        <w:br w:type="page"/>
      </w:r>
    </w:p>
    <w:p>
      <w:pPr>
        <w:pStyle w:val="Lead"/>
      </w:pPr>
      <w:r>
        <w:rPr>
          <w:b/>
        </w:rPr>
        <w:t>原视频</w:t>
      </w:r>
      <w:r>
        <w:t>：</w:t>
      </w:r>
      <w:hyperlink r:id="rId11">
        <w:r>
          <w:rPr>
            <w:color w:val="0563C1"/>
            <w:u w:val="single"/>
          </w:rPr>
          <w:t>AutoRound 加速 LLM/VLM 低比特量化部署</w:t>
        </w:r>
      </w:hyperlink>
      <w:r>
        <w:t xml:space="preserve"> · </w:t>
      </w:r>
      <w:r>
        <w:rPr>
          <w:b/>
        </w:rPr>
        <w:t>配套资料</w:t>
      </w:r>
      <w:r>
        <w:t>：</w:t>
      </w:r>
      <w:hyperlink r:id="rId12">
        <w:r>
          <w:rPr>
            <w:color w:val="0563C1"/>
            <w:u w:val="single"/>
          </w:rPr>
          <w:t>配套资料目录</w:t>
        </w:r>
      </w:hyperlink>
    </w:p>
    <w:p>
      <w:pPr/>
      <w:r>
        <w:t>从截断与舍入的矛盾切入，解析 SignSGD 联合优化与 CFG 并行加速原理。</w:t>
      </w:r>
    </w:p>
    <w:p>
      <w:pPr/>
      <w:r>
        <w:rPr>
          <w:b/>
        </w:rPr>
        <w:t>适读人群</w:t>
      </w:r>
      <w:r>
        <w:t>｜熟悉大模型推理部署，希望深入理解量化底层机制与 vLLM 集成原理的后端或 AI 系统工程师。</w:t>
      </w:r>
    </w:p>
    <w:p>
      <w:pPr/>
      <w:r>
        <w:rPr>
          <w:b/>
        </w:rPr>
        <w:t>前置知识</w:t>
      </w:r>
      <w:r>
        <w:t>｜了解浮点数与整数的基本映射关系；熟悉 Transformer 基础结构与显存占用分布；具备深度学习反向传播的基本概念。</w:t>
      </w:r>
    </w:p>
    <w:p>
      <w:pPr/>
      <w:r>
        <w:rPr>
          <w:b/>
        </w:rPr>
        <w:t>阅读目标</w:t>
      </w:r>
    </w:p>
    <w:p>
      <w:pPr>
        <w:spacing w:after="80" w:line="290" w:lineRule="auto"/>
        <w:numPr>
          <w:ilvl w:val="0"/>
          <w:numId w:val="12"/>
        </w:numPr>
      </w:pPr>
      <w:r>
        <w:t>理解量化过程中舍入误差与截断误差的博弈关系。</w:t>
      </w:r>
    </w:p>
    <w:p>
      <w:pPr>
        <w:spacing w:after="80" w:line="290" w:lineRule="auto"/>
        <w:numPr>
          <w:ilvl w:val="0"/>
          <w:numId w:val="12"/>
        </w:numPr>
      </w:pPr>
      <w:r>
        <w:t>掌握 AutoRound 基于 SignSGD 的块级联合优化原理。</w:t>
      </w:r>
    </w:p>
    <w:p>
      <w:pPr>
        <w:spacing w:after="80" w:line="290" w:lineRule="auto"/>
        <w:numPr>
          <w:ilvl w:val="0"/>
          <w:numId w:val="12"/>
        </w:numPr>
      </w:pPr>
      <w:r>
        <w:t>明确 QDQ 伪量化在微调阶段与真实 INT4 推理中的差异。</w:t>
      </w:r>
    </w:p>
    <w:p>
      <w:pPr>
        <w:spacing w:after="80" w:line="290" w:lineRule="auto"/>
        <w:numPr>
          <w:ilvl w:val="0"/>
          <w:numId w:val="12"/>
        </w:numPr>
      </w:pPr>
      <w:r>
        <w:t>了解显存缩减如何解锁 CFG 并行等架构级加速。</w:t>
      </w:r>
    </w:p>
    <w:p>
      <w:pPr>
        <w:pStyle w:val="Heading1"/>
      </w:pPr>
      <w:r>
        <w:t>一、工程矛盾：算力与显存带宽的失衡</w:t>
      </w:r>
    </w:p>
    <w:p>
      <w:pPr/>
      <w:r>
        <w:rPr>
          <w:b/>
        </w:rPr>
        <w:t>本节要回答的问题：</w:t>
      </w:r>
      <w:r>
        <w:t xml:space="preserve"> 在大语言模型（LLM, Large Language Model）和视觉-语言模型（VLM, Vision-Language Model）的推理部署中，真正的瓶颈是什么？低比特量化（Low-bit Quantization）为何不再是可选优化，而是让服务能够运行的物理前提？</w:t>
      </w:r>
    </w:p>
    <w:p>
      <w:pPr>
        <w:pStyle w:val="Heading2"/>
      </w:pPr>
      <w:r>
        <w:t>显存里的零和博弈</w:t>
      </w:r>
    </w:p>
    <w:p>
      <w:pPr/>
      <w:r>
        <w:t>GPU 显存是一块固定大小的蛋糕，推理服务需要在两项开销之间分配它：</w:t>
      </w:r>
    </w:p>
    <w:tbl>
      <w:tblPr>
        <w:tblStyle w:val="TableGrid"/>
        <w:tblW w:type="dxa" w:w="9360"/>
        <w:jc w:val="left"/>
        <w:tblLayout w:type="fixed"/>
        <w:tblLook w:firstColumn="1" w:firstRow="1" w:lastColumn="0" w:lastRow="0" w:noHBand="0" w:noVBand="1" w:val="04A0"/>
        <w:tblInd w:w="120" w:type="dxa"/>
      </w:tblPr>
      <w:tblGrid>
        <w:gridCol w:w="2177"/>
        <w:gridCol w:w="4601"/>
        <w:gridCol w:w="2582"/>
      </w:tblGrid>
      <w:tr>
        <w:trPr>
          <w:tblHeader w:val="true"/>
        </w:trPr>
        <w:tc>
          <w:tcPr>
            <w:tcW w:type="dxa" w:w="2177"/>
            <w:vAlign w:val="center"/>
            <w:shd w:fill="F4F6F9"/>
            <w:tcMar>
              <w:top w:w="80" w:type="dxa"/>
              <w:start w:w="120" w:type="dxa"/>
              <w:bottom w:w="80" w:type="dxa"/>
              <w:end w:w="120" w:type="dxa"/>
            </w:tcMar>
          </w:tcPr>
          <w:p>
            <w:pPr>
              <w:spacing w:before="0" w:after="0" w:line="259" w:lineRule="auto"/>
            </w:pPr>
            <w:r>
              <w:rPr>
                <w:rFonts w:ascii="Calibri" w:hAnsi="Calibri" w:eastAsia="Microsoft YaHei"/>
                <w:b/>
                <w:color w:val="203748"/>
                <w:sz w:val="18"/>
              </w:rPr>
              <w:t>占用项</w:t>
            </w:r>
          </w:p>
        </w:tc>
        <w:tc>
          <w:tcPr>
            <w:tcW w:type="dxa" w:w="4601"/>
            <w:vAlign w:val="center"/>
            <w:shd w:fill="F4F6F9"/>
            <w:tcMar>
              <w:top w:w="80" w:type="dxa"/>
              <w:start w:w="120" w:type="dxa"/>
              <w:bottom w:w="80" w:type="dxa"/>
              <w:end w:w="120" w:type="dxa"/>
            </w:tcMar>
          </w:tcPr>
          <w:p>
            <w:pPr>
              <w:spacing w:before="0" w:after="0" w:line="259" w:lineRule="auto"/>
              <w:jc w:val="center"/>
            </w:pPr>
            <w:r>
              <w:rPr>
                <w:rFonts w:ascii="Calibri" w:hAnsi="Calibri" w:eastAsia="Microsoft YaHei"/>
                <w:b/>
                <w:color w:val="203748"/>
                <w:sz w:val="18"/>
              </w:rPr>
              <w:t>说明</w:t>
            </w:r>
          </w:p>
        </w:tc>
        <w:tc>
          <w:tcPr>
            <w:tcW w:type="dxa" w:w="2582"/>
            <w:vAlign w:val="center"/>
            <w:shd w:fill="F4F6F9"/>
            <w:tcMar>
              <w:top w:w="80" w:type="dxa"/>
              <w:start w:w="120" w:type="dxa"/>
              <w:bottom w:w="80" w:type="dxa"/>
              <w:end w:w="120" w:type="dxa"/>
            </w:tcMar>
          </w:tcPr>
          <w:p>
            <w:pPr>
              <w:spacing w:before="0" w:after="0" w:line="259" w:lineRule="auto"/>
              <w:jc w:val="center"/>
            </w:pPr>
            <w:r>
              <w:rPr>
                <w:rFonts w:ascii="Calibri" w:hAnsi="Calibri" w:eastAsia="Microsoft YaHei"/>
                <w:b/>
                <w:color w:val="203748"/>
                <w:sz w:val="18"/>
              </w:rPr>
              <w:t>与量化的关系</w:t>
            </w:r>
          </w:p>
        </w:tc>
      </w:tr>
      <w:tr>
        <w:tc>
          <w:tcPr>
            <w:tcW w:type="dxa" w:w="2177"/>
            <w:vAlign w:val="center"/>
            <w:tcMar>
              <w:top w:w="80" w:type="dxa"/>
              <w:start w:w="120" w:type="dxa"/>
              <w:bottom w:w="80" w:type="dxa"/>
              <w:end w:w="120" w:type="dxa"/>
            </w:tcMar>
          </w:tcPr>
          <w:p>
            <w:pPr>
              <w:spacing w:before="0" w:after="0" w:line="259" w:lineRule="auto"/>
            </w:pPr>
            <w:r>
              <w:rPr>
                <w:rFonts w:ascii="Calibri" w:hAnsi="Calibri" w:eastAsia="Microsoft YaHei"/>
                <w:b/>
                <w:sz w:val="18"/>
              </w:rPr>
              <w:t>模型权重</w:t>
            </w:r>
          </w:p>
        </w:tc>
        <w:tc>
          <w:tcPr>
            <w:tcW w:type="dxa" w:w="4601"/>
            <w:vAlign w:val="center"/>
            <w:tcMar>
              <w:top w:w="80" w:type="dxa"/>
              <w:start w:w="120" w:type="dxa"/>
              <w:bottom w:w="80" w:type="dxa"/>
              <w:end w:w="120" w:type="dxa"/>
            </w:tcMar>
          </w:tcPr>
          <w:p>
            <w:pPr>
              <w:spacing w:before="0" w:after="0" w:line="259" w:lineRule="auto"/>
              <w:jc w:val="center"/>
            </w:pPr>
            <w:r>
              <w:rPr>
                <w:rFonts w:ascii="Calibri" w:hAnsi="Calibri" w:eastAsia="Microsoft YaHei"/>
                <w:sz w:val="18"/>
              </w:rPr>
              <w:t>所有层的参数常驻显存</w:t>
            </w:r>
          </w:p>
        </w:tc>
        <w:tc>
          <w:tcPr>
            <w:tcW w:type="dxa" w:w="2582"/>
            <w:vAlign w:val="center"/>
            <w:tcMar>
              <w:top w:w="80" w:type="dxa"/>
              <w:start w:w="120" w:type="dxa"/>
              <w:bottom w:w="80" w:type="dxa"/>
              <w:end w:w="120" w:type="dxa"/>
            </w:tcMar>
          </w:tcPr>
          <w:p>
            <w:pPr>
              <w:spacing w:before="0" w:after="0" w:line="259" w:lineRule="auto"/>
              <w:jc w:val="center"/>
            </w:pPr>
            <w:r>
              <w:rPr>
                <w:rFonts w:ascii="Calibri" w:hAnsi="Calibri" w:eastAsia="Microsoft YaHei"/>
                <w:sz w:val="18"/>
              </w:rPr>
              <w:t>位宽减半 → 占用减半</w:t>
            </w:r>
          </w:p>
        </w:tc>
      </w:tr>
      <w:tr>
        <w:tc>
          <w:tcPr>
            <w:tcW w:type="dxa" w:w="2177"/>
            <w:vAlign w:val="center"/>
            <w:tcMar>
              <w:top w:w="80" w:type="dxa"/>
              <w:start w:w="120" w:type="dxa"/>
              <w:bottom w:w="80" w:type="dxa"/>
              <w:end w:w="120" w:type="dxa"/>
            </w:tcMar>
          </w:tcPr>
          <w:p>
            <w:pPr>
              <w:spacing w:before="0" w:after="0" w:line="259" w:lineRule="auto"/>
            </w:pPr>
            <w:r>
              <w:rPr>
                <w:rFonts w:ascii="Calibri" w:hAnsi="Calibri" w:eastAsia="Microsoft YaHei"/>
                <w:b/>
                <w:sz w:val="18"/>
              </w:rPr>
              <w:t>KV Cache</w:t>
            </w:r>
          </w:p>
        </w:tc>
        <w:tc>
          <w:tcPr>
            <w:tcW w:type="dxa" w:w="4601"/>
            <w:vAlign w:val="center"/>
            <w:tcMar>
              <w:top w:w="80" w:type="dxa"/>
              <w:start w:w="120" w:type="dxa"/>
              <w:bottom w:w="80" w:type="dxa"/>
              <w:end w:w="120" w:type="dxa"/>
            </w:tcMar>
          </w:tcPr>
          <w:p>
            <w:pPr>
              <w:spacing w:before="0" w:after="0" w:line="259" w:lineRule="auto"/>
            </w:pPr>
            <w:r>
              <w:rPr>
                <w:rFonts w:ascii="Calibri" w:hAnsi="Calibri" w:eastAsia="Microsoft YaHei"/>
                <w:sz w:val="18"/>
              </w:rPr>
              <w:t>为每条并发请求缓存注意力的 Key/Value 状态</w:t>
            </w:r>
          </w:p>
        </w:tc>
        <w:tc>
          <w:tcPr>
            <w:tcW w:type="dxa" w:w="2582"/>
            <w:vAlign w:val="center"/>
            <w:tcMar>
              <w:top w:w="80" w:type="dxa"/>
              <w:start w:w="120" w:type="dxa"/>
              <w:bottom w:w="80" w:type="dxa"/>
              <w:end w:w="120" w:type="dxa"/>
            </w:tcMar>
          </w:tcPr>
          <w:p>
            <w:pPr>
              <w:spacing w:before="0" w:after="0" w:line="259" w:lineRule="auto"/>
              <w:jc w:val="center"/>
            </w:pPr>
            <w:r>
              <w:rPr>
                <w:rFonts w:ascii="Calibri" w:hAnsi="Calibri" w:eastAsia="Microsoft YaHei"/>
                <w:sz w:val="18"/>
              </w:rPr>
              <w:t>权重越小，剩余空间越大</w:t>
            </w:r>
          </w:p>
        </w:tc>
      </w:tr>
    </w:tbl>
    <w:p>
      <w:pPr>
        <w:spacing w:after="40"/>
      </w:pPr>
    </w:p>
    <w:p>
      <w:pPr/>
      <w:r>
        <w:t>关系直截了当：权重越胖，留给 KV Cache 的空间越少，能同时处理的请求就越少。当权重膨胀到接近显存上限时，甚至连单条请求都无法启动——问题从"跑得慢"升级为"跑不起来"。</w:t>
      </w:r>
    </w:p>
    <w:p>
      <w:pPr>
        <w:pStyle w:val="Heading2"/>
      </w:pPr>
      <w:r>
        <w:t>Prefill 与 Decode：两种瓶颈的切换</w:t>
      </w:r>
    </w:p>
    <w:p>
      <w:pPr/>
      <w:r>
        <w:t>一次推理请求分为两个阶段，它们面对的硬件瓶颈截然不同：</w:t>
      </w:r>
    </w:p>
    <w:p>
      <w:pPr>
        <w:spacing w:after="80" w:line="290" w:lineRule="auto"/>
        <w:numPr>
          <w:ilvl w:val="0"/>
          <w:numId w:val="10"/>
        </w:numPr>
      </w:pPr>
      <w:r>
        <w:rPr>
          <w:b/>
        </w:rPr>
        <w:t>Prefill（预填充）阶段</w:t>
      </w:r>
      <w:r>
        <w:t>——一次性处理整段输入 token，矩阵运算密集，属于</w:t>
      </w:r>
      <w:r>
        <w:rPr>
          <w:b/>
        </w:rPr>
        <w:t>计算受限（Compute-bound）</w:t>
      </w:r>
      <w:r>
        <w:t>场景，GPU 算力利用率较高。</w:t>
      </w:r>
    </w:p>
    <w:p>
      <w:pPr>
        <w:spacing w:after="80" w:line="290" w:lineRule="auto"/>
        <w:numPr>
          <w:ilvl w:val="0"/>
          <w:numId w:val="10"/>
        </w:numPr>
      </w:pPr>
      <w:r>
        <w:rPr>
          <w:b/>
        </w:rPr>
        <w:t>Decode（逐 token 生成）阶段</w:t>
      </w:r>
      <w:r>
        <w:t>——每步只产出一个 token，每次读取全部权重却只做少量乘加，属于</w:t>
      </w:r>
      <w:r>
        <w:rPr>
          <w:b/>
        </w:rPr>
        <w:t>显存带宽受限（Memory-bound）</w:t>
      </w:r>
      <w:r>
        <w:t>场景，GPU 大量时间花在等待数据搬运上。</w:t>
      </w:r>
    </w:p>
    <w:p>
      <w:pPr/>
      <w:r>
        <w:t>当并发请求增多时，Decode 阶段也会逐渐向计算受限方向偏移——带宽和算力同时紧张。</w:t>
      </w:r>
    </w:p>
    <w:p>
      <w:pPr/>
      <w:r>
        <w:t>下图从硬件视角展示了位宽与计算效率之间的定量关系，帮助理解"为什么降低位宽能同时缓解算力和带宽两个维度的压力"。</w:t>
      </w:r>
    </w:p>
    <w:p>
      <w:pPr>
        <w:keepNext/>
        <w:keepLines/>
        <w:spacing w:before="120" w:after="0"/>
        <w:jc w:val="center"/>
      </w:pPr>
      <w:r>
        <w:drawing>
          <wp:inline xmlns:a="http://schemas.openxmlformats.org/drawingml/2006/main" xmlns:pic="http://schemas.openxmlformats.org/drawingml/2006/picture">
            <wp:extent cx="5943600" cy="2702230"/>
            <wp:docPr id="1" name="Picture 1" descr="PPT 第 7 页：硬件现实——模型占用与计算效率的关系" title="PPT 第 7 页：硬件现实——模型占用与计算效率的关系"/>
            <wp:cNvGraphicFramePr>
              <a:graphicFrameLocks noChangeAspect="1"/>
            </wp:cNvGraphicFramePr>
            <a:graphic>
              <a:graphicData uri="http://schemas.openxmlformats.org/drawingml/2006/picture">
                <pic:pic>
                  <pic:nvPicPr>
                    <pic:cNvPr id="0" name="slide-07.png"/>
                    <pic:cNvPicPr/>
                  </pic:nvPicPr>
                  <pic:blipFill>
                    <a:blip r:embed="rId13"/>
                    <a:stretch>
                      <a:fillRect/>
                    </a:stretch>
                  </pic:blipFill>
                  <pic:spPr>
                    <a:xfrm>
                      <a:off x="0" y="0"/>
                      <a:ext cx="5943600" cy="2702230"/>
                    </a:xfrm>
                    <a:prstGeom prst="rect"/>
                  </pic:spPr>
                </pic:pic>
              </a:graphicData>
            </a:graphic>
          </wp:inline>
        </w:drawing>
      </w:r>
    </w:p>
    <w:p>
      <w:pPr/>
      <w:r>
        <w:rPr>
          <w:i/>
        </w:rPr>
        <w:t>图注：演讲 PPT 第 7 页。左侧柱状图对比 FP16、FP8、FP4 在 Dense 与 Sparse 执行下的算力增长趋势；右侧两个文本框分别说明模型体积对"能否运行"和 KV Cache 余量的影响，以及 Prefill（Compute-bound）与 Decode（Memory-bound）的瓶颈差异。</w:t>
      </w:r>
    </w:p>
    <w:p>
      <w:pPr/>
      <w:r>
        <w:t>从图中左侧柱状图可以看到：位宽从 FP16 降到 FP8 再到 FP4，可用 FLOPS 呈倍数级上升——同一块 GPU 能在单位时间内完成更多运算。叠加稀疏（Sparse）执行后，提升进一步放大。右侧则提示了两个关键判断维度：模型体积决定"能不能跑"，计算效率决定"跑多快"。</w:t>
      </w:r>
    </w:p>
    <w:p>
      <w:pPr>
        <w:pStyle w:val="Heading2"/>
      </w:pPr>
      <w:r>
        <w:t>一个直觉场景</w:t>
      </w:r>
    </w:p>
    <w:p>
      <w:pPr/>
      <w:r>
        <w:t>假设一块 GPU 有 24 GB 显存。某 7B 参数模型以 FP16 存储时权重约占 14 GB，剩余 10 GB 给 KV Cache 和运行时开销。若切换到 4-bit 量化，权重仅占约 3.5 GB，KV Cache 可用空间扩大到 20 GB 以上——并发能力可能提升数倍。与此同时，Decode 阶段每步需要从显存读取的字节数也缩减到原来的四分之一，带宽瓶颈随之缓解。</w:t>
      </w:r>
    </w:p>
    <w:p>
      <w:pPr>
        <w:pStyle w:val="Heading2"/>
      </w:pPr>
      <w:r>
        <w:t>小结</w:t>
      </w:r>
    </w:p>
    <w:p>
      <w:pPr/>
      <w:r>
        <w:t>降低位宽同时解决了两个层面的问题：</w:t>
      </w:r>
      <w:r>
        <w:rPr>
          <w:b/>
        </w:rPr>
        <w:t>空间层面</w:t>
      </w:r>
      <w:r>
        <w:t>释放显存给 KV Cache 以提升并发；</w:t>
      </w:r>
      <w:r>
        <w:rPr>
          <w:b/>
        </w:rPr>
        <w:t>带宽层面</w:t>
      </w:r>
      <w:r>
        <w:t>减少每步数据搬运量以加速 Decode。这是低比特量化从"可选优化"变为"部署刚需"的根本原因。</w:t>
      </w:r>
    </w:p>
    <w:p>
      <w:pPr/>
      <w:r>
        <w:t>不过，量化并非无代价。将连续浮点值映射到离散整数级别时，不可避免地引入</w:t>
      </w:r>
      <w:r>
        <w:rPr>
          <w:b/>
        </w:rPr>
        <w:t>舍入误差（Rounding Error）</w:t>
      </w:r>
      <w:r>
        <w:t>和</w:t>
      </w:r>
      <w:r>
        <w:rPr>
          <w:b/>
        </w:rPr>
        <w:t>截断误差（Clipping Error）</w:t>
      </w:r>
      <w:r>
        <w:t>，两者受共享的缩放因子控制且互相制约。如何在这对矛盾中找到最优平衡点，是接下来需要展开的核心问题。</w:t>
      </w:r>
    </w:p>
    <w:p>
      <w:pPr>
        <w:pStyle w:val="Heading1"/>
      </w:pPr>
      <w:r>
        <w:t>二、核心瓶颈：舍入与截断的零和博弈</w:t>
      </w:r>
    </w:p>
    <w:p>
      <w:pPr/>
      <w:r>
        <w:rPr>
          <w:b/>
        </w:rPr>
        <w:t>本节要回答的问题：</w:t>
      </w:r>
      <w:r>
        <w:t xml:space="preserve"> 为什么简单的训练后量化（PTQ, Post-Training Quantization）在极低比特（如 4-bit）下难以维持模型精度？</w:t>
      </w:r>
    </w:p>
    <w:p>
      <w:pPr>
        <w:pStyle w:val="Heading2"/>
      </w:pPr>
      <w:r>
        <w:t>量化的本质：高精度到低精度的有损映射</w:t>
      </w:r>
    </w:p>
    <w:p>
      <w:pPr/>
      <w:r>
        <w:t>量化（Quantization）将浮点数映射到更少的离散整数级别，需要两个关键步骤：</w:t>
      </w:r>
    </w:p>
    <w:p>
      <w:pPr>
        <w:spacing w:after="80" w:line="290" w:lineRule="auto"/>
        <w:numPr>
          <w:ilvl w:val="0"/>
          <w:numId w:val="13"/>
        </w:numPr>
      </w:pPr>
      <w:r>
        <w:rPr>
          <w:b/>
        </w:rPr>
        <w:t>缩放（Scaling）</w:t>
      </w:r>
      <w:r>
        <w:t>：计算张量最大绝对值与低精度可表示最大值的比值，得到缩放因子 scale。</w:t>
      </w:r>
    </w:p>
    <w:p>
      <w:pPr>
        <w:spacing w:after="80" w:line="290" w:lineRule="auto"/>
        <w:numPr>
          <w:ilvl w:val="0"/>
          <w:numId w:val="13"/>
        </w:numPr>
      </w:pPr>
      <w:r>
        <w:rPr>
          <w:b/>
        </w:rPr>
        <w:t>舍入（Rounding）</w:t>
      </w:r>
      <w:r>
        <w:t>：将缩放后的浮点值对齐到最近的整数格点。</w:t>
      </w:r>
    </w:p>
    <w:p>
      <w:pPr/>
      <w:r>
        <w:t>两步都会引入误差。问题在于：误差并非一类，而是三类——它们共享同一个控制旋钮，且彼此对抗。</w:t>
      </w:r>
    </w:p>
    <w:p>
      <w:pPr>
        <w:pStyle w:val="Heading2"/>
      </w:pPr>
      <w:r>
        <w:t>三类误差及其博弈</w:t>
      </w:r>
    </w:p>
    <w:p>
      <w:pPr/>
      <w:r>
        <w:t>下图将三种误差来源和它们之间的权衡关系直观展示出来，是理解后续优化设计的关键前提。</w:t>
      </w:r>
    </w:p>
    <w:p>
      <w:pPr>
        <w:keepNext/>
        <w:keepLines/>
        <w:spacing w:before="120" w:after="0"/>
        <w:jc w:val="center"/>
      </w:pPr>
      <w:r>
        <w:drawing>
          <wp:inline xmlns:a="http://schemas.openxmlformats.org/drawingml/2006/main" xmlns:pic="http://schemas.openxmlformats.org/drawingml/2006/picture">
            <wp:extent cx="5943600" cy="2621897"/>
            <wp:docPr id="2" name="Picture 2" descr="量化误差的三种来源与 U 型博弈曲线" title="量化误差的三种来源与 U 型博弈曲线"/>
            <wp:cNvGraphicFramePr>
              <a:graphicFrameLocks noChangeAspect="1"/>
            </wp:cNvGraphicFramePr>
            <a:graphic>
              <a:graphicData uri="http://schemas.openxmlformats.org/drawingml/2006/picture">
                <pic:pic>
                  <pic:nvPicPr>
                    <pic:cNvPr id="0" name="slide-10.png"/>
                    <pic:cNvPicPr/>
                  </pic:nvPicPr>
                  <pic:blipFill>
                    <a:blip r:embed="rId14"/>
                    <a:stretch>
                      <a:fillRect/>
                    </a:stretch>
                  </pic:blipFill>
                  <pic:spPr>
                    <a:xfrm>
                      <a:off x="0" y="0"/>
                      <a:ext cx="5943600" cy="2621897"/>
                    </a:xfrm>
                    <a:prstGeom prst="rect"/>
                  </pic:spPr>
                </pic:pic>
              </a:graphicData>
            </a:graphic>
          </wp:inline>
        </w:drawing>
      </w:r>
    </w:p>
    <w:p>
      <w:pPr/>
      <w:r>
        <w:rPr>
          <w:i/>
        </w:rPr>
        <w:t>图注：三类量化误差示意——离群点放大、舍入误差、截断误差，以及截断阈值控制下的 U 型权衡曲线。来源：演讲 PPT 第 10 页。</w:t>
      </w:r>
    </w:p>
    <w:p>
      <w:pPr/>
      <w:r>
        <w:t>图中包含四个面板，分别对应三种误差和一条博弈曲线：</w:t>
      </w:r>
    </w:p>
    <w:p>
      <w:pPr/>
      <w:r>
        <w:rPr>
          <w:b/>
        </w:rPr>
        <w:t>面板 ①：离群点放大（Outlier Amplification）。</w:t>
      </w:r>
      <w:r>
        <w:t xml:space="preserve"> 柱状图展示了一组权重，绝大多数值集中在 0.1–0.2 附近，但存在一个离群值 8.0。由于 scale 由张量最大值决定，8.0 的存在迫使 scale 极大，小数值在除以 scale 并舍入后全部坍缩为 0，承载的信息直接消失。</w:t>
      </w:r>
    </w:p>
    <w:p>
      <w:pPr/>
      <w:r>
        <w:rPr>
          <w:b/>
        </w:rPr>
        <w:t>面板 ②：舍入误差（Rounding Error）。</w:t>
      </w:r>
      <w:r>
        <w:t xml:space="preserve"> 数轴上，真实值 0.47 落在两个可表示格点 0.4 与 0.5 之间，就近舍入（Round-to-Nearest, RTN）将其对齐到 0.4，产生 0.07 的误差。格点间距越大，舍入误差的期望值越高。</w:t>
      </w:r>
    </w:p>
    <w:p>
      <w:pPr/>
      <w:r>
        <w:rPr>
          <w:b/>
        </w:rPr>
        <w:t>面板 ③：截断误差（Clipping Error）。</w:t>
      </w:r>
      <w:r>
        <w:t xml:space="preserve"> 当主动缩小量化范围以获得更密的格点时，超出范围的值被强制钳位（clamp）。图中 0.95 被截断到 0.6，产生 0.35 的误差。</w:t>
      </w:r>
    </w:p>
    <w:p>
      <w:pPr/>
      <w:r>
        <w:rPr>
          <w:b/>
        </w:rPr>
        <w:t>底部面板：U 型博弈曲线。</w:t>
      </w:r>
      <w:r>
        <w:t xml:space="preserve"> 横轴为截断阈值（clip threshold），纵轴为误差大小：</w:t>
      </w:r>
    </w:p>
    <w:tbl>
      <w:tblPr>
        <w:tblStyle w:val="TableGrid"/>
        <w:tblW w:type="dxa" w:w="9360"/>
        <w:jc w:val="left"/>
        <w:tblLayout w:type="fixed"/>
        <w:tblLook w:firstColumn="1" w:firstRow="1" w:lastColumn="0" w:lastRow="0" w:noHBand="0" w:noVBand="1" w:val="04A0"/>
        <w:tblInd w:w="120" w:type="dxa"/>
      </w:tblPr>
      <w:tblGrid>
        <w:gridCol w:w="2681"/>
        <w:gridCol w:w="3471"/>
        <w:gridCol w:w="3208"/>
      </w:tblGrid>
      <w:tr>
        <w:trPr>
          <w:tblHeader w:val="true"/>
        </w:trPr>
        <w:tc>
          <w:tcPr>
            <w:tcW w:type="dxa" w:w="2681"/>
            <w:vAlign w:val="center"/>
            <w:shd w:fill="F4F6F9"/>
            <w:tcMar>
              <w:top w:w="80" w:type="dxa"/>
              <w:start w:w="120" w:type="dxa"/>
              <w:bottom w:w="80" w:type="dxa"/>
              <w:end w:w="120" w:type="dxa"/>
            </w:tcMar>
          </w:tcPr>
          <w:p>
            <w:pPr>
              <w:spacing w:before="0" w:after="0" w:line="259" w:lineRule="auto"/>
            </w:pPr>
            <w:r>
              <w:rPr>
                <w:rFonts w:ascii="Calibri" w:hAnsi="Calibri" w:eastAsia="Microsoft YaHei"/>
                <w:b/>
                <w:color w:val="203748"/>
                <w:sz w:val="18"/>
              </w:rPr>
              <w:t>截断阈值 ↑</w:t>
            </w:r>
          </w:p>
        </w:tc>
        <w:tc>
          <w:tcPr>
            <w:tcW w:type="dxa" w:w="3471"/>
            <w:vAlign w:val="center"/>
            <w:shd w:fill="F4F6F9"/>
            <w:tcMar>
              <w:top w:w="80" w:type="dxa"/>
              <w:start w:w="120" w:type="dxa"/>
              <w:bottom w:w="80" w:type="dxa"/>
              <w:end w:w="120" w:type="dxa"/>
            </w:tcMar>
          </w:tcPr>
          <w:p>
            <w:pPr>
              <w:spacing w:before="0" w:after="0" w:line="259" w:lineRule="auto"/>
              <w:jc w:val="center"/>
            </w:pPr>
            <w:r>
              <w:rPr>
                <w:rFonts w:ascii="Calibri" w:hAnsi="Calibri" w:eastAsia="Microsoft YaHei"/>
                <w:b/>
                <w:color w:val="203748"/>
                <w:sz w:val="18"/>
              </w:rPr>
              <w:t>截断误差</w:t>
            </w:r>
          </w:p>
        </w:tc>
        <w:tc>
          <w:tcPr>
            <w:tcW w:type="dxa" w:w="3208"/>
            <w:vAlign w:val="center"/>
            <w:shd w:fill="F4F6F9"/>
            <w:tcMar>
              <w:top w:w="80" w:type="dxa"/>
              <w:start w:w="120" w:type="dxa"/>
              <w:bottom w:w="80" w:type="dxa"/>
              <w:end w:w="120" w:type="dxa"/>
            </w:tcMar>
          </w:tcPr>
          <w:p>
            <w:pPr>
              <w:spacing w:before="0" w:after="0" w:line="259" w:lineRule="auto"/>
              <w:jc w:val="center"/>
            </w:pPr>
            <w:r>
              <w:rPr>
                <w:rFonts w:ascii="Calibri" w:hAnsi="Calibri" w:eastAsia="Microsoft YaHei"/>
                <w:b/>
                <w:color w:val="203748"/>
                <w:sz w:val="18"/>
              </w:rPr>
              <w:t>舍入误差</w:t>
            </w:r>
          </w:p>
        </w:tc>
      </w:tr>
      <w:tr>
        <w:tc>
          <w:tcPr>
            <w:tcW w:type="dxa" w:w="2681"/>
            <w:vAlign w:val="center"/>
            <w:tcMar>
              <w:top w:w="80" w:type="dxa"/>
              <w:start w:w="120" w:type="dxa"/>
              <w:bottom w:w="80" w:type="dxa"/>
              <w:end w:w="120" w:type="dxa"/>
            </w:tcMar>
          </w:tcPr>
          <w:p>
            <w:pPr>
              <w:spacing w:before="0" w:after="0" w:line="259" w:lineRule="auto"/>
            </w:pPr>
            <w:r>
              <w:rPr>
                <w:rFonts w:ascii="Calibri" w:hAnsi="Calibri" w:eastAsia="Microsoft YaHei"/>
                <w:sz w:val="18"/>
              </w:rPr>
              <w:t>增大</w:t>
            </w:r>
          </w:p>
        </w:tc>
        <w:tc>
          <w:tcPr>
            <w:tcW w:type="dxa" w:w="3471"/>
            <w:vAlign w:val="center"/>
            <w:tcMar>
              <w:top w:w="80" w:type="dxa"/>
              <w:start w:w="120" w:type="dxa"/>
              <w:bottom w:w="80" w:type="dxa"/>
              <w:end w:w="120" w:type="dxa"/>
            </w:tcMar>
          </w:tcPr>
          <w:p>
            <w:pPr>
              <w:spacing w:before="0" w:after="0" w:line="259" w:lineRule="auto"/>
              <w:jc w:val="center"/>
            </w:pPr>
            <w:r>
              <w:rPr>
                <w:rFonts w:ascii="Calibri" w:hAnsi="Calibri" w:eastAsia="Microsoft YaHei"/>
                <w:sz w:val="18"/>
              </w:rPr>
              <w:t>↓ 更多值落入范围</w:t>
            </w:r>
          </w:p>
        </w:tc>
        <w:tc>
          <w:tcPr>
            <w:tcW w:type="dxa" w:w="3208"/>
            <w:vAlign w:val="center"/>
            <w:tcMar>
              <w:top w:w="80" w:type="dxa"/>
              <w:start w:w="120" w:type="dxa"/>
              <w:bottom w:w="80" w:type="dxa"/>
              <w:end w:w="120" w:type="dxa"/>
            </w:tcMar>
          </w:tcPr>
          <w:p>
            <w:pPr>
              <w:spacing w:before="0" w:after="0" w:line="259" w:lineRule="auto"/>
              <w:jc w:val="center"/>
            </w:pPr>
            <w:r>
              <w:rPr>
                <w:rFonts w:ascii="Calibri" w:hAnsi="Calibri" w:eastAsia="Microsoft YaHei"/>
                <w:sz w:val="18"/>
              </w:rPr>
              <w:t>↑ 格点间距变大</w:t>
            </w:r>
          </w:p>
        </w:tc>
      </w:tr>
      <w:tr>
        <w:tc>
          <w:tcPr>
            <w:tcW w:type="dxa" w:w="2681"/>
            <w:vAlign w:val="center"/>
            <w:tcMar>
              <w:top w:w="80" w:type="dxa"/>
              <w:start w:w="120" w:type="dxa"/>
              <w:bottom w:w="80" w:type="dxa"/>
              <w:end w:w="120" w:type="dxa"/>
            </w:tcMar>
          </w:tcPr>
          <w:p>
            <w:pPr>
              <w:spacing w:before="0" w:after="0" w:line="259" w:lineRule="auto"/>
            </w:pPr>
            <w:r>
              <w:rPr>
                <w:rFonts w:ascii="Calibri" w:hAnsi="Calibri" w:eastAsia="Microsoft YaHei"/>
                <w:sz w:val="18"/>
              </w:rPr>
              <w:t>减小</w:t>
            </w:r>
          </w:p>
        </w:tc>
        <w:tc>
          <w:tcPr>
            <w:tcW w:type="dxa" w:w="3471"/>
            <w:vAlign w:val="center"/>
            <w:tcMar>
              <w:top w:w="80" w:type="dxa"/>
              <w:start w:w="120" w:type="dxa"/>
              <w:bottom w:w="80" w:type="dxa"/>
              <w:end w:w="120" w:type="dxa"/>
            </w:tcMar>
          </w:tcPr>
          <w:p>
            <w:pPr>
              <w:spacing w:before="0" w:after="0" w:line="259" w:lineRule="auto"/>
              <w:jc w:val="center"/>
            </w:pPr>
            <w:r>
              <w:rPr>
                <w:rFonts w:ascii="Calibri" w:hAnsi="Calibri" w:eastAsia="Microsoft YaHei"/>
                <w:sz w:val="18"/>
              </w:rPr>
              <w:t>↑ 更多值被钳位</w:t>
            </w:r>
          </w:p>
        </w:tc>
        <w:tc>
          <w:tcPr>
            <w:tcW w:type="dxa" w:w="3208"/>
            <w:vAlign w:val="center"/>
            <w:tcMar>
              <w:top w:w="80" w:type="dxa"/>
              <w:start w:w="120" w:type="dxa"/>
              <w:bottom w:w="80" w:type="dxa"/>
              <w:end w:w="120" w:type="dxa"/>
            </w:tcMar>
          </w:tcPr>
          <w:p>
            <w:pPr>
              <w:spacing w:before="0" w:after="0" w:line="259" w:lineRule="auto"/>
              <w:jc w:val="center"/>
            </w:pPr>
            <w:r>
              <w:rPr>
                <w:rFonts w:ascii="Calibri" w:hAnsi="Calibri" w:eastAsia="Microsoft YaHei"/>
                <w:sz w:val="18"/>
              </w:rPr>
              <w:t>↓ 格点更密</w:t>
            </w:r>
          </w:p>
        </w:tc>
      </w:tr>
    </w:tbl>
    <w:p>
      <w:pPr>
        <w:spacing w:after="40"/>
      </w:pPr>
    </w:p>
    <w:p>
      <w:pPr/>
      <w:r>
        <w:t xml:space="preserve">两条误差曲线交叉形成 </w:t>
      </w:r>
      <w:r>
        <w:rPr>
          <w:b/>
        </w:rPr>
        <w:t>U 型谷底</w:t>
      </w:r>
      <w:r>
        <w:t>——理论上的最佳折中点。但这个"最佳"仅对单层而言；误差会跨层累积，组合搜索空间随需决策的舍入位数呈指数级膨胀（2^N），RTN 对此无能为力。</w:t>
      </w:r>
    </w:p>
    <w:p>
      <w:pPr>
        <w:pStyle w:val="Heading2"/>
      </w:pPr>
      <w:r>
        <w:t>最小例子：4-bit 下的不可调和</w:t>
      </w:r>
    </w:p>
    <w:p>
      <w:pPr/>
      <w:r>
        <w:t xml:space="preserve">假设一个简化的权重向量 </w:t>
      </w:r>
      <w:r>
        <w:rPr>
          <w:rFonts w:ascii="Consolas" w:hAnsi="Consolas" w:eastAsia="Microsoft YaHei"/>
          <w:color w:val="1F4D78"/>
          <w:sz w:val="19"/>
          <w:shd w:fill="EEF2F6"/>
        </w:rPr>
        <w:t>[0.1, 0.2, 0.15, 8.0]</w:t>
      </w:r>
      <w:r>
        <w:t>，目标量化为 4-bit 无符号整数（可表示 0–15）。</w:t>
      </w:r>
    </w:p>
    <w:p>
      <w:pPr/>
      <w:r>
        <w:rPr>
          <w:b/>
        </w:rPr>
        <w:t>策略 A：不截断，保留离群值。</w:t>
      </w:r>
      <w:r>
        <w:t xml:space="preserve"> scale = 8.0 / 15 ≈ 0.533。量化后 0.1、0.2、0.15 全部舍入为 0；反量化结果 </w:t>
      </w:r>
      <w:r>
        <w:rPr>
          <w:rFonts w:ascii="Consolas" w:hAnsi="Consolas" w:eastAsia="Microsoft YaHei"/>
          <w:color w:val="1F4D78"/>
          <w:sz w:val="19"/>
          <w:shd w:fill="EEF2F6"/>
        </w:rPr>
        <w:t>[0, 0, 0, 8.0]</w:t>
      </w:r>
      <w:r>
        <w:t>——前三个权重的信息完全丢失。</w:t>
      </w:r>
    </w:p>
    <w:p>
      <w:pPr/>
      <w:r>
        <w:rPr>
          <w:b/>
        </w:rPr>
        <w:t>策略 B：截断离群值至 0.6。</w:t>
      </w:r>
      <w:r>
        <w:t xml:space="preserve"> scale = 0.6 / 15 = 0.04。小值有了区分度（反量化结果约为 </w:t>
      </w:r>
      <w:r>
        <w:rPr>
          <w:rFonts w:ascii="Consolas" w:hAnsi="Consolas" w:eastAsia="Microsoft YaHei"/>
          <w:color w:val="1F4D78"/>
          <w:sz w:val="19"/>
          <w:shd w:fill="EEF2F6"/>
        </w:rPr>
        <w:t>[0.12, 0.20, 0.16]</w:t>
      </w:r>
      <w:r>
        <w:t>），但 8.0 被 clamp 至 0.6，误差高达 7.4。</w:t>
      </w:r>
    </w:p>
    <w:p>
      <w:pPr/>
      <w:r>
        <w:t>两种策略都无法同时保全大小数值。RTN 只能在给定 scale 下做就近舍入，无法在"向上还是向下"这个逐元素决策空间中执行全局搜索。</w:t>
      </w:r>
    </w:p>
    <w:p>
      <w:pPr>
        <w:pStyle w:val="Heading2"/>
      </w:pPr>
      <w:r>
        <w:t>小结</w:t>
      </w:r>
    </w:p>
    <w:p>
      <w:pPr/>
      <w:r>
        <w:t>量化误差的根源不在于误差本身的存在，而在于</w:t>
      </w:r>
      <w:r>
        <w:rPr>
          <w:b/>
        </w:rPr>
        <w:t>三类误差共享一个截断阈值作为控制变量，形成了不可同时最小化的零和约束</w:t>
      </w:r>
      <w:r>
        <w:t>。在 8-bit 量化时格点足够密，这一矛盾尚可接受；当比特数降至 4-bit 甚至更低时，格点间距急剧增大，离群值与小值之间的博弈变得不可调和。这正是极低比特场景下需要引入</w:t>
      </w:r>
      <w:r>
        <w:rPr>
          <w:b/>
        </w:rPr>
        <w:t>可学习舍入方向与自适应截断范围</w:t>
      </w:r>
      <w:r>
        <w:t>的根本原因。</w:t>
      </w:r>
    </w:p>
    <w:p>
      <w:pPr>
        <w:pStyle w:val="Heading1"/>
      </w:pPr>
      <w:r>
        <w:t>三、核心设计：基于 SignSGD 的块级联合优化</w:t>
      </w:r>
    </w:p>
    <w:p>
      <w:pPr/>
      <w:r>
        <w:rPr>
          <w:b/>
        </w:rPr>
        <w:t>本节要回答的问题：</w:t>
      </w:r>
      <w:r>
        <w:t xml:space="preserve"> AutoRound（一种训练后量化算法）如何在有限算力预算下，把舍入误差与截断误差纳入同一优化回路？</w:t>
      </w:r>
    </w:p>
    <w:p>
      <w:pPr/>
      <w:r>
        <w:t>前一节揭示了矛盾的核心：GPTQ 在单个 Linear 层面补偿舍入误差，AWQ 依据激活分布保护关键权重——两者都只在层级粒度操作，无法同时调节舍入方向与截断范围。AutoRound 的解法是将量化建模为一个</w:t>
      </w:r>
      <w:r>
        <w:rPr>
          <w:b/>
        </w:rPr>
        <w:t>可微的离散优化问题</w:t>
      </w:r>
      <w:r>
        <w:t>，在 Transformer Decoder Block 粒度上联合学习最优的舍入偏移和截断边界。</w:t>
      </w:r>
    </w:p>
    <w:p>
      <w:pPr>
        <w:pStyle w:val="Heading2"/>
      </w:pPr>
      <w:r>
        <w:t>优化变量</w:t>
      </w:r>
    </w:p>
    <w:p>
      <w:pPr/>
      <w:r>
        <w:t>AutoRound 为每个权重引入一个连续的舍入偏移量 v，并把截断边界 min、max 也作为可学习参数，三者联合调优。下图左侧的表格给出了这三类变量的形状和初始值，右侧展示了块级迭代的算法流程。</w:t>
      </w:r>
    </w:p>
    <w:p>
      <w:pPr>
        <w:keepNext/>
        <w:keepLines/>
        <w:spacing w:before="120" w:after="0"/>
        <w:jc w:val="center"/>
      </w:pPr>
      <w:r>
        <w:drawing>
          <wp:inline xmlns:a="http://schemas.openxmlformats.org/drawingml/2006/main" xmlns:pic="http://schemas.openxmlformats.org/drawingml/2006/picture">
            <wp:extent cx="5943600" cy="2575560"/>
            <wp:docPr id="3" name="Picture 3" descr="AutoRound 优化参数表与块级算法流程图" title="AutoRound 优化参数表与块级算法流程图"/>
            <wp:cNvGraphicFramePr>
              <a:graphicFrameLocks noChangeAspect="1"/>
            </wp:cNvGraphicFramePr>
            <a:graphic>
              <a:graphicData uri="http://schemas.openxmlformats.org/drawingml/2006/picture">
                <pic:pic>
                  <pic:nvPicPr>
                    <pic:cNvPr id="0" name="slide-11.png"/>
                    <pic:cNvPicPr/>
                  </pic:nvPicPr>
                  <pic:blipFill>
                    <a:blip r:embed="rId15"/>
                    <a:stretch>
                      <a:fillRect/>
                    </a:stretch>
                  </pic:blipFill>
                  <pic:spPr>
                    <a:xfrm>
                      <a:off x="0" y="0"/>
                      <a:ext cx="5943600" cy="2575560"/>
                    </a:xfrm>
                    <a:prstGeom prst="rect"/>
                  </pic:spPr>
                </pic:pic>
              </a:graphicData>
            </a:graphic>
          </wp:inline>
        </w:drawing>
      </w:r>
    </w:p>
    <w:p>
      <w:pPr/>
      <w:r>
        <w:rPr>
          <w:i/>
        </w:rPr>
        <w:t>图注：左侧表格列出三类可学习参数（v、min、max）及其形状与初始值；右侧为块级迭代算法流程。来源：演讲 PPT 第 11 页。</w:t>
      </w:r>
    </w:p>
    <w:p>
      <w:pPr/>
      <w:r>
        <w:t>三类参数的含义如下：</w:t>
      </w:r>
    </w:p>
    <w:tbl>
      <w:tblPr>
        <w:tblStyle w:val="TableGrid"/>
        <w:tblW w:type="dxa" w:w="9360"/>
        <w:jc w:val="left"/>
        <w:tblLayout w:type="fixed"/>
        <w:tblLook w:firstColumn="1" w:firstRow="1" w:lastColumn="0" w:lastRow="0" w:noHBand="0" w:noVBand="1" w:val="04A0"/>
        <w:tblInd w:w="120" w:type="dxa"/>
      </w:tblPr>
      <w:tblGrid>
        <w:gridCol w:w="2552"/>
        <w:gridCol w:w="1826"/>
        <w:gridCol w:w="2552"/>
        <w:gridCol w:w="2430"/>
      </w:tblGrid>
      <w:tr>
        <w:trPr>
          <w:tblHeader w:val="true"/>
        </w:trPr>
        <w:tc>
          <w:tcPr>
            <w:tcW w:type="dxa" w:w="2552"/>
            <w:vAlign w:val="center"/>
            <w:shd w:fill="F4F6F9"/>
            <w:tcMar>
              <w:top w:w="80" w:type="dxa"/>
              <w:start w:w="120" w:type="dxa"/>
              <w:bottom w:w="80" w:type="dxa"/>
              <w:end w:w="120" w:type="dxa"/>
            </w:tcMar>
          </w:tcPr>
          <w:p>
            <w:pPr>
              <w:spacing w:before="0" w:after="0" w:line="259" w:lineRule="auto"/>
            </w:pPr>
            <w:r>
              <w:rPr>
                <w:rFonts w:ascii="Calibri" w:hAnsi="Calibri" w:eastAsia="Microsoft YaHei"/>
                <w:b/>
                <w:color w:val="203748"/>
                <w:sz w:val="18"/>
              </w:rPr>
              <w:t>参数</w:t>
            </w:r>
          </w:p>
        </w:tc>
        <w:tc>
          <w:tcPr>
            <w:tcW w:type="dxa" w:w="1826"/>
            <w:vAlign w:val="center"/>
            <w:shd w:fill="F4F6F9"/>
            <w:tcMar>
              <w:top w:w="80" w:type="dxa"/>
              <w:start w:w="120" w:type="dxa"/>
              <w:bottom w:w="80" w:type="dxa"/>
              <w:end w:w="120" w:type="dxa"/>
            </w:tcMar>
          </w:tcPr>
          <w:p>
            <w:pPr>
              <w:spacing w:before="0" w:after="0" w:line="259" w:lineRule="auto"/>
              <w:jc w:val="center"/>
            </w:pPr>
            <w:r>
              <w:rPr>
                <w:rFonts w:ascii="Calibri" w:hAnsi="Calibri" w:eastAsia="Microsoft YaHei"/>
                <w:b/>
                <w:color w:val="203748"/>
                <w:sz w:val="18"/>
              </w:rPr>
              <w:t>形状</w:t>
            </w:r>
          </w:p>
        </w:tc>
        <w:tc>
          <w:tcPr>
            <w:tcW w:type="dxa" w:w="2552"/>
            <w:vAlign w:val="center"/>
            <w:shd w:fill="F4F6F9"/>
            <w:tcMar>
              <w:top w:w="80" w:type="dxa"/>
              <w:start w:w="120" w:type="dxa"/>
              <w:bottom w:w="80" w:type="dxa"/>
              <w:end w:w="120" w:type="dxa"/>
            </w:tcMar>
          </w:tcPr>
          <w:p>
            <w:pPr>
              <w:spacing w:before="0" w:after="0" w:line="259" w:lineRule="auto"/>
              <w:jc w:val="center"/>
            </w:pPr>
            <w:r>
              <w:rPr>
                <w:rFonts w:ascii="Calibri" w:hAnsi="Calibri" w:eastAsia="Microsoft YaHei"/>
                <w:b/>
                <w:color w:val="203748"/>
                <w:sz w:val="18"/>
              </w:rPr>
              <w:t>控制目标</w:t>
            </w:r>
          </w:p>
        </w:tc>
        <w:tc>
          <w:tcPr>
            <w:tcW w:type="dxa" w:w="2430"/>
            <w:vAlign w:val="center"/>
            <w:shd w:fill="F4F6F9"/>
            <w:tcMar>
              <w:top w:w="80" w:type="dxa"/>
              <w:start w:w="120" w:type="dxa"/>
              <w:bottom w:w="80" w:type="dxa"/>
              <w:end w:w="120" w:type="dxa"/>
            </w:tcMar>
          </w:tcPr>
          <w:p>
            <w:pPr>
              <w:spacing w:before="0" w:after="0" w:line="259" w:lineRule="auto"/>
              <w:jc w:val="center"/>
            </w:pPr>
            <w:r>
              <w:rPr>
                <w:rFonts w:ascii="Calibri" w:hAnsi="Calibri" w:eastAsia="Microsoft YaHei"/>
                <w:b/>
                <w:color w:val="203748"/>
                <w:sz w:val="18"/>
              </w:rPr>
              <w:t>初始值</w:t>
            </w:r>
          </w:p>
        </w:tc>
      </w:tr>
      <w:tr>
        <w:tc>
          <w:tcPr>
            <w:tcW w:type="dxa" w:w="2552"/>
            <w:vAlign w:val="center"/>
            <w:tcMar>
              <w:top w:w="80" w:type="dxa"/>
              <w:start w:w="120" w:type="dxa"/>
              <w:bottom w:w="80" w:type="dxa"/>
              <w:end w:w="120" w:type="dxa"/>
            </w:tcMar>
          </w:tcPr>
          <w:p>
            <w:pPr>
              <w:spacing w:before="0" w:after="0" w:line="259" w:lineRule="auto"/>
            </w:pPr>
            <w:r>
              <w:rPr>
                <w:rFonts w:ascii="Calibri" w:hAnsi="Calibri" w:eastAsia="Microsoft YaHei"/>
                <w:sz w:val="18"/>
              </w:rPr>
              <w:t>v</w:t>
            </w:r>
          </w:p>
        </w:tc>
        <w:tc>
          <w:tcPr>
            <w:tcW w:type="dxa" w:w="1826"/>
            <w:vAlign w:val="center"/>
            <w:tcMar>
              <w:top w:w="80" w:type="dxa"/>
              <w:start w:w="120" w:type="dxa"/>
              <w:bottom w:w="80" w:type="dxa"/>
              <w:end w:w="120" w:type="dxa"/>
            </w:tcMar>
          </w:tcPr>
          <w:p>
            <w:pPr>
              <w:spacing w:before="0" w:after="0" w:line="259" w:lineRule="auto"/>
              <w:jc w:val="center"/>
            </w:pPr>
            <w:r>
              <w:rPr>
                <w:rFonts w:ascii="Calibri" w:hAnsi="Calibri" w:eastAsia="Microsoft YaHei"/>
                <w:sz w:val="18"/>
              </w:rPr>
              <w:t>与权重同形</w:t>
            </w:r>
          </w:p>
        </w:tc>
        <w:tc>
          <w:tcPr>
            <w:tcW w:type="dxa" w:w="2552"/>
            <w:vAlign w:val="center"/>
            <w:tcMar>
              <w:top w:w="80" w:type="dxa"/>
              <w:start w:w="120" w:type="dxa"/>
              <w:bottom w:w="80" w:type="dxa"/>
              <w:end w:w="120" w:type="dxa"/>
            </w:tcMar>
          </w:tcPr>
          <w:p>
            <w:pPr>
              <w:spacing w:before="0" w:after="0" w:line="259" w:lineRule="auto"/>
              <w:jc w:val="center"/>
            </w:pPr>
            <w:r>
              <w:rPr>
                <w:rFonts w:ascii="Calibri" w:hAnsi="Calibri" w:eastAsia="Microsoft YaHei"/>
                <w:sz w:val="18"/>
              </w:rPr>
              <w:t>每个元素向上还是向下舍入</w:t>
            </w:r>
          </w:p>
        </w:tc>
        <w:tc>
          <w:tcPr>
            <w:tcW w:type="dxa" w:w="2430"/>
            <w:vAlign w:val="center"/>
            <w:tcMar>
              <w:top w:w="80" w:type="dxa"/>
              <w:start w:w="120" w:type="dxa"/>
              <w:bottom w:w="80" w:type="dxa"/>
              <w:end w:w="120" w:type="dxa"/>
            </w:tcMar>
          </w:tcPr>
          <w:p>
            <w:pPr>
              <w:spacing w:before="0" w:after="0" w:line="259" w:lineRule="auto"/>
              <w:jc w:val="center"/>
            </w:pPr>
            <w:r>
              <w:rPr>
                <w:rFonts w:ascii="Calibri" w:hAnsi="Calibri" w:eastAsia="Microsoft YaHei"/>
                <w:sz w:val="18"/>
              </w:rPr>
              <w:t>0（默认就近舍入）</w:t>
            </w:r>
          </w:p>
        </w:tc>
      </w:tr>
      <w:tr>
        <w:tc>
          <w:tcPr>
            <w:tcW w:type="dxa" w:w="2552"/>
            <w:vAlign w:val="center"/>
            <w:tcMar>
              <w:top w:w="80" w:type="dxa"/>
              <w:start w:w="120" w:type="dxa"/>
              <w:bottom w:w="80" w:type="dxa"/>
              <w:end w:w="120" w:type="dxa"/>
            </w:tcMar>
          </w:tcPr>
          <w:p>
            <w:pPr>
              <w:spacing w:before="0" w:after="0" w:line="259" w:lineRule="auto"/>
            </w:pPr>
            <w:r>
              <w:rPr>
                <w:rFonts w:ascii="Calibri" w:hAnsi="Calibri" w:eastAsia="Microsoft YaHei"/>
                <w:sz w:val="18"/>
              </w:rPr>
              <w:t>min</w:t>
            </w:r>
          </w:p>
        </w:tc>
        <w:tc>
          <w:tcPr>
            <w:tcW w:type="dxa" w:w="1826"/>
            <w:vAlign w:val="center"/>
            <w:tcMar>
              <w:top w:w="80" w:type="dxa"/>
              <w:start w:w="120" w:type="dxa"/>
              <w:bottom w:w="80" w:type="dxa"/>
              <w:end w:w="120" w:type="dxa"/>
            </w:tcMar>
          </w:tcPr>
          <w:p>
            <w:pPr>
              <w:spacing w:before="0" w:after="0" w:line="259" w:lineRule="auto"/>
              <w:jc w:val="center"/>
            </w:pPr>
            <w:r>
              <w:rPr>
                <w:rFonts w:ascii="Calibri" w:hAnsi="Calibri" w:eastAsia="Microsoft YaHei"/>
                <w:sz w:val="18"/>
              </w:rPr>
              <w:t>每组一个标量</w:t>
            </w:r>
          </w:p>
        </w:tc>
        <w:tc>
          <w:tcPr>
            <w:tcW w:type="dxa" w:w="2552"/>
            <w:vAlign w:val="center"/>
            <w:tcMar>
              <w:top w:w="80" w:type="dxa"/>
              <w:start w:w="120" w:type="dxa"/>
              <w:bottom w:w="80" w:type="dxa"/>
              <w:end w:w="120" w:type="dxa"/>
            </w:tcMar>
          </w:tcPr>
          <w:p>
            <w:pPr>
              <w:spacing w:before="0" w:after="0" w:line="259" w:lineRule="auto"/>
              <w:jc w:val="center"/>
            </w:pPr>
            <w:r>
              <w:rPr>
                <w:rFonts w:ascii="Calibri" w:hAnsi="Calibri" w:eastAsia="Microsoft YaHei"/>
                <w:sz w:val="18"/>
              </w:rPr>
              <w:t>截断下界</w:t>
            </w:r>
          </w:p>
        </w:tc>
        <w:tc>
          <w:tcPr>
            <w:tcW w:type="dxa" w:w="2430"/>
            <w:vAlign w:val="center"/>
            <w:tcMar>
              <w:top w:w="80" w:type="dxa"/>
              <w:start w:w="120" w:type="dxa"/>
              <w:bottom w:w="80" w:type="dxa"/>
              <w:end w:w="120" w:type="dxa"/>
            </w:tcMar>
          </w:tcPr>
          <w:p>
            <w:pPr>
              <w:spacing w:before="0" w:after="0" w:line="259" w:lineRule="auto"/>
              <w:jc w:val="center"/>
            </w:pPr>
            <w:r>
              <w:rPr>
                <w:rFonts w:ascii="Calibri" w:hAnsi="Calibri" w:eastAsia="Microsoft YaHei"/>
                <w:sz w:val="18"/>
              </w:rPr>
              <w:t>校准数据的组内最小值</w:t>
            </w:r>
          </w:p>
        </w:tc>
      </w:tr>
      <w:tr>
        <w:tc>
          <w:tcPr>
            <w:tcW w:type="dxa" w:w="2552"/>
            <w:vAlign w:val="center"/>
            <w:tcMar>
              <w:top w:w="80" w:type="dxa"/>
              <w:start w:w="120" w:type="dxa"/>
              <w:bottom w:w="80" w:type="dxa"/>
              <w:end w:w="120" w:type="dxa"/>
            </w:tcMar>
          </w:tcPr>
          <w:p>
            <w:pPr>
              <w:spacing w:before="0" w:after="0" w:line="259" w:lineRule="auto"/>
            </w:pPr>
            <w:r>
              <w:rPr>
                <w:rFonts w:ascii="Calibri" w:hAnsi="Calibri" w:eastAsia="Microsoft YaHei"/>
                <w:sz w:val="18"/>
              </w:rPr>
              <w:t>max</w:t>
            </w:r>
          </w:p>
        </w:tc>
        <w:tc>
          <w:tcPr>
            <w:tcW w:type="dxa" w:w="1826"/>
            <w:vAlign w:val="center"/>
            <w:tcMar>
              <w:top w:w="80" w:type="dxa"/>
              <w:start w:w="120" w:type="dxa"/>
              <w:bottom w:w="80" w:type="dxa"/>
              <w:end w:w="120" w:type="dxa"/>
            </w:tcMar>
          </w:tcPr>
          <w:p>
            <w:pPr>
              <w:spacing w:before="0" w:after="0" w:line="259" w:lineRule="auto"/>
              <w:jc w:val="center"/>
            </w:pPr>
            <w:r>
              <w:rPr>
                <w:rFonts w:ascii="Calibri" w:hAnsi="Calibri" w:eastAsia="Microsoft YaHei"/>
                <w:sz w:val="18"/>
              </w:rPr>
              <w:t>每组一个标量</w:t>
            </w:r>
          </w:p>
        </w:tc>
        <w:tc>
          <w:tcPr>
            <w:tcW w:type="dxa" w:w="2552"/>
            <w:vAlign w:val="center"/>
            <w:tcMar>
              <w:top w:w="80" w:type="dxa"/>
              <w:start w:w="120" w:type="dxa"/>
              <w:bottom w:w="80" w:type="dxa"/>
              <w:end w:w="120" w:type="dxa"/>
            </w:tcMar>
          </w:tcPr>
          <w:p>
            <w:pPr>
              <w:spacing w:before="0" w:after="0" w:line="259" w:lineRule="auto"/>
              <w:jc w:val="center"/>
            </w:pPr>
            <w:r>
              <w:rPr>
                <w:rFonts w:ascii="Calibri" w:hAnsi="Calibri" w:eastAsia="Microsoft YaHei"/>
                <w:sz w:val="18"/>
              </w:rPr>
              <w:t>截断上界</w:t>
            </w:r>
          </w:p>
        </w:tc>
        <w:tc>
          <w:tcPr>
            <w:tcW w:type="dxa" w:w="2430"/>
            <w:vAlign w:val="center"/>
            <w:tcMar>
              <w:top w:w="80" w:type="dxa"/>
              <w:start w:w="120" w:type="dxa"/>
              <w:bottom w:w="80" w:type="dxa"/>
              <w:end w:w="120" w:type="dxa"/>
            </w:tcMar>
          </w:tcPr>
          <w:p>
            <w:pPr>
              <w:spacing w:before="0" w:after="0" w:line="259" w:lineRule="auto"/>
              <w:jc w:val="center"/>
            </w:pPr>
            <w:r>
              <w:rPr>
                <w:rFonts w:ascii="Calibri" w:hAnsi="Calibri" w:eastAsia="Microsoft YaHei"/>
                <w:sz w:val="18"/>
              </w:rPr>
              <w:t>校准数据的组内最大值</w:t>
            </w:r>
          </w:p>
        </w:tc>
      </w:tr>
    </w:tbl>
    <w:p>
      <w:pPr>
        <w:spacing w:after="40"/>
      </w:pPr>
    </w:p>
    <w:p>
      <w:pPr/>
      <w:r>
        <w:t>其中 v 被约束在 [-0.5, 0.5] 区间。v_i &gt; 0 时对应权重倾向于向上取整，v_i &lt; 0 时倾向于向下取整。这使得原本不连续的"round-up or round-down"决策变成了连续空间中的搜索。</w:t>
      </w:r>
    </w:p>
    <w:p>
      <w:pPr>
        <w:pStyle w:val="Heading2"/>
      </w:pPr>
      <w:r>
        <w:t>为什么选择块级（Block-wise）优化</w:t>
      </w:r>
    </w:p>
    <w:p>
      <w:pPr/>
      <w:r>
        <w:t xml:space="preserve">AutoRound 不在单个 Linear 层做校准，而是以 </w:t>
      </w:r>
      <w:r>
        <w:rPr>
          <w:b/>
        </w:rPr>
        <w:t>Transformer Decoder Block</w:t>
      </w:r>
      <w:r>
        <w:t xml:space="preserve"> 为单位。一个 Block 内包含 Attention 与 MLP 等多个子层，量化误差会在子层之间传播和叠加。块级优化能够让下游子层的误差信号回传到上游权重，从而捕捉层间耦合效应。</w:t>
      </w:r>
    </w:p>
    <w:p>
      <w:pPr/>
      <w:r>
        <w:t>与全局优化相比，块级方案的显存占用仅与单个 Block 的参数量成正比。对于拥有数十个 Decoder Block 的大模型，逐块串行处理即可在单卡上完成量化。</w:t>
      </w:r>
    </w:p>
    <w:p>
      <w:pPr>
        <w:pStyle w:val="Heading2"/>
      </w:pPr>
      <w:r>
        <w:t>算法流程</w:t>
      </w:r>
    </w:p>
    <w:p>
      <w:pPr/>
      <w:r>
        <w:t>对应图中右侧流程图，每个 Block 的优化步骤为：</w:t>
      </w:r>
    </w:p>
    <w:p>
      <w:pPr>
        <w:spacing w:after="80" w:line="290" w:lineRule="auto"/>
        <w:numPr>
          <w:ilvl w:val="0"/>
          <w:numId w:val="14"/>
        </w:numPr>
      </w:pPr>
      <w:r>
        <w:rPr>
          <w:b/>
        </w:rPr>
        <w:t>Wrap</w:t>
      </w:r>
      <w:r>
        <w:t>：将当前 Block 中的 Linear 层替换为 QDQ（Quantize-Dequantize，伪量化）形式，插入 v、min、max 三组可学习参数。</w:t>
      </w:r>
    </w:p>
    <w:p>
      <w:pPr>
        <w:spacing w:after="80" w:line="290" w:lineRule="auto"/>
        <w:numPr>
          <w:ilvl w:val="0"/>
          <w:numId w:val="14"/>
        </w:numPr>
      </w:pPr>
      <w:r>
        <w:rPr>
          <w:b/>
        </w:rPr>
        <w:t>BF16 基准前向</w:t>
      </w:r>
      <w:r>
        <w:t>：用原始 BF16 权重对校准数据做一次前向，收集该 Block 的输出作为参考。</w:t>
      </w:r>
    </w:p>
    <w:p>
      <w:pPr>
        <w:spacing w:after="80" w:line="290" w:lineRule="auto"/>
        <w:numPr>
          <w:ilvl w:val="0"/>
          <w:numId w:val="14"/>
        </w:numPr>
      </w:pPr>
      <w:r>
        <w:rPr>
          <w:b/>
        </w:rPr>
        <w:t>QDQ 前向</w:t>
      </w:r>
      <w:r>
        <w:t>：用带伪量化的权重再做一次前向，得到量化输出。</w:t>
      </w:r>
    </w:p>
    <w:p>
      <w:pPr>
        <w:spacing w:after="80" w:line="290" w:lineRule="auto"/>
        <w:numPr>
          <w:ilvl w:val="0"/>
          <w:numId w:val="14"/>
        </w:numPr>
      </w:pPr>
      <w:r>
        <w:rPr>
          <w:b/>
        </w:rPr>
        <w:t>Backward</w:t>
      </w:r>
      <w:r>
        <w:t>：计算 BF16 参考输出与 QDQ 输出之间的 MSE 损失，回传梯度。</w:t>
      </w:r>
    </w:p>
    <w:p>
      <w:pPr>
        <w:spacing w:after="80" w:line="290" w:lineRule="auto"/>
        <w:numPr>
          <w:ilvl w:val="0"/>
          <w:numId w:val="14"/>
        </w:numPr>
      </w:pPr>
      <w:r>
        <w:rPr>
          <w:b/>
        </w:rPr>
        <w:t>SignSGD 更新</w:t>
      </w:r>
      <w:r>
        <w:t>：使用 SignSGD 更新 v、min、max。</w:t>
      </w:r>
    </w:p>
    <w:p>
      <w:pPr>
        <w:spacing w:after="80" w:line="290" w:lineRule="auto"/>
        <w:numPr>
          <w:ilvl w:val="0"/>
          <w:numId w:val="14"/>
        </w:numPr>
      </w:pPr>
      <w:r>
        <w:rPr>
          <w:b/>
        </w:rPr>
        <w:t>迭代</w:t>
      </w:r>
      <w:r>
        <w:t>：重复步骤 3—5，默认约 200 轮（经验超参）。</w:t>
      </w:r>
    </w:p>
    <w:p>
      <w:pPr>
        <w:spacing w:after="80" w:line="290" w:lineRule="auto"/>
        <w:numPr>
          <w:ilvl w:val="0"/>
          <w:numId w:val="14"/>
        </w:numPr>
      </w:pPr>
      <w:r>
        <w:t>当前 Block 优化完毕后，冻结参数，将量化后的输出传递给下一个 Block。</w:t>
      </w:r>
    </w:p>
    <w:p>
      <w:pPr>
        <w:pStyle w:val="Heading2"/>
      </w:pPr>
      <w:r>
        <w:t>SignSGD：为什么只用梯度的符号</w:t>
      </w:r>
    </w:p>
    <w:p>
      <w:pPr/>
      <w:r>
        <w:t>量化函数本质上是阶梯函数，不可微。实践中使用直通估计器（STE, Straight-Through Estimator）近似梯度，但 STE 梯度的</w:t>
      </w:r>
      <w:r>
        <w:rPr>
          <w:b/>
        </w:rPr>
        <w:t>幅度</w:t>
      </w:r>
      <w:r>
        <w:t>噪声很大，其</w:t>
      </w:r>
      <w:r>
        <w:rPr>
          <w:b/>
        </w:rPr>
        <w:t>符号</w:t>
      </w:r>
      <w:r>
        <w:t>（正或负）却相对稳定——它已足以指明"当前 v_i 该增大还是减小"。</w:t>
      </w:r>
    </w:p>
    <w:p>
      <w:pPr/>
      <w:r>
        <w:t>SignSGD（符号随机梯度下降，Sign Stochastic Gradient Descent）的更新规则为：</w:t>
      </w:r>
    </w:p>
    <w:p>
      <w:pPr/>
      <w:r>
        <w:t>$Δ w = α · sign(∇_w L)$</w:t>
      </w:r>
    </w:p>
    <w:p>
      <w:pPr/>
      <w:r>
        <w:t>其中 α 为固定学习率，∇_w L 为损失对参数的梯度。更新量与梯度幅度无关，每步只做 ±α 的等幅移动。对于 v 的搜索空间仅有 [-0.5, 0.5]，等幅步进天然匹配这一有界离散问题。</w:t>
      </w:r>
    </w:p>
    <w:p>
      <w:pPr>
        <w:pStyle w:val="Heading2"/>
      </w:pPr>
      <w:r>
        <w:t>最小状态演进示例</w:t>
      </w:r>
    </w:p>
    <w:p>
      <w:pPr/>
      <w:r>
        <w:t>假设某个权重的浮点值为 3.3：</w:t>
      </w:r>
    </w:p>
    <w:p>
      <w:pPr>
        <w:spacing w:after="80" w:line="290" w:lineRule="auto"/>
        <w:numPr>
          <w:ilvl w:val="0"/>
          <w:numId w:val="10"/>
        </w:numPr>
      </w:pPr>
      <w:r>
        <w:rPr>
          <w:b/>
        </w:rPr>
        <w:t>默认就近舍入</w:t>
      </w:r>
      <w:r>
        <w:t>：v=0，量化值为 3，舍入误差 0.3。</w:t>
      </w:r>
    </w:p>
    <w:p>
      <w:pPr>
        <w:spacing w:after="80" w:line="290" w:lineRule="auto"/>
        <w:numPr>
          <w:ilvl w:val="0"/>
          <w:numId w:val="10"/>
        </w:numPr>
      </w:pPr>
      <w:r>
        <w:rPr>
          <w:b/>
        </w:rPr>
        <w:t>经过若干轮 SignSGD</w:t>
      </w:r>
      <w:r>
        <w:t>：优化器发现将 v 增大（向上舍入到 4）虽然局部误差变为 0.7，但整个 Block 输出的 MSE 反而更低——因为下游层对该权重的敏感度较高，4 比 3 的传播误差更小。</w:t>
      </w:r>
    </w:p>
    <w:p>
      <w:pPr>
        <w:spacing w:after="80" w:line="290" w:lineRule="auto"/>
        <w:numPr>
          <w:ilvl w:val="0"/>
          <w:numId w:val="10"/>
        </w:numPr>
      </w:pPr>
      <w:r>
        <w:rPr>
          <w:b/>
        </w:rPr>
        <w:t>同时</w:t>
      </w:r>
      <w:r>
        <w:t>，min/max 也在调整，可能适度收窄截断范围以减少异常值对 scale 的拉伸。</w:t>
      </w:r>
    </w:p>
    <w:p>
      <w:pPr/>
      <w:r>
        <w:t>三者协同，使 Block 输出的 MSE 在迭代过程中收敛到联合最优点。</w:t>
      </w:r>
    </w:p>
    <w:p>
      <w:pPr>
        <w:pStyle w:val="Heading2"/>
      </w:pPr>
      <w:r>
        <w:t>小结与边界</w:t>
      </w:r>
    </w:p>
    <w:p>
      <w:pPr/>
      <w:r>
        <w:t>AutoRound 通过将舍入偏移和截断边界统一为可学习参数，在 Decoder Block 粒度上用 SignSGD 迭代求解，以较低显存和计算代价打破了舍入与截断之间的静态折中。其边界在于：默认 200 轮迭代是经验超参，极低比特（如 2-bit 或 MXFP4）场景下需要 SignRound V2 引入的自适应混合精度与轻量稳定化策略来进一步缩小精度损失（SignRound V2 于 arXiv 2025 发表）。</w:t>
      </w:r>
    </w:p>
    <w:p>
      <w:pPr/>
      <w:r>
        <w:t>算法设计在数学上成立后，工程实现中的 QDQ 伪量化机制如何在不引入真实低精度运算开销的前提下完成梯度回传？</w:t>
      </w:r>
    </w:p>
    <w:p>
      <w:pPr>
        <w:pStyle w:val="Heading1"/>
      </w:pPr>
      <w:r>
        <w:t>四、数据结构与执行：QDQ 伪量化与真实推理</w:t>
      </w:r>
    </w:p>
    <w:p>
      <w:pPr/>
      <w:r>
        <w:rPr>
          <w:b/>
        </w:rPr>
        <w:t>本节核心问题：</w:t>
      </w:r>
      <w:r>
        <w:t xml:space="preserve"> 同一个量化模型，在离线微调（Tuning）和在线推理（Inference）两个阶段，张量究竟以什么精度参与运算？两条路径为何必须分开设计？</w:t>
      </w:r>
    </w:p>
    <w:p>
      <w:pPr>
        <w:pStyle w:val="Heading2"/>
      </w:pPr>
      <w:r>
        <w:t>两条数据通路的对比</w:t>
      </w:r>
    </w:p>
    <w:p>
      <w:pPr/>
      <w:r>
        <w:t>下图将微调阶段与推理阶段的计算流程并排展示，直观揭示了"伪量化"与"真实量化"的本质差异。</w:t>
      </w:r>
    </w:p>
    <w:p>
      <w:pPr>
        <w:keepNext/>
        <w:keepLines/>
        <w:spacing w:before="120" w:after="0"/>
        <w:jc w:val="center"/>
      </w:pPr>
      <w:r>
        <w:drawing>
          <wp:inline xmlns:a="http://schemas.openxmlformats.org/drawingml/2006/main" xmlns:pic="http://schemas.openxmlformats.org/drawingml/2006/picture">
            <wp:extent cx="5943600" cy="2706664"/>
            <wp:docPr id="4" name="Picture 4" descr="QDQ 伪量化流程与真实 INT4 推理流程对比" title="QDQ 伪量化流程与真实 INT4 推理流程对比"/>
            <wp:cNvGraphicFramePr>
              <a:graphicFrameLocks noChangeAspect="1"/>
            </wp:cNvGraphicFramePr>
            <a:graphic>
              <a:graphicData uri="http://schemas.openxmlformats.org/drawingml/2006/picture">
                <pic:pic>
                  <pic:nvPicPr>
                    <pic:cNvPr id="0" name="slide-14.png"/>
                    <pic:cNvPicPr/>
                  </pic:nvPicPr>
                  <pic:blipFill>
                    <a:blip r:embed="rId16"/>
                    <a:stretch>
                      <a:fillRect/>
                    </a:stretch>
                  </pic:blipFill>
                  <pic:spPr>
                    <a:xfrm>
                      <a:off x="0" y="0"/>
                      <a:ext cx="5943600" cy="2706664"/>
                    </a:xfrm>
                    <a:prstGeom prst="rect"/>
                  </pic:spPr>
                </pic:pic>
              </a:graphicData>
            </a:graphic>
          </wp:inline>
        </w:drawing>
      </w:r>
    </w:p>
    <w:p>
      <w:pPr/>
      <w:r>
        <w:rPr>
          <w:i/>
        </w:rPr>
        <w:t>图注：左侧为推理阶段的 Real INT4 Kernel 通路，右侧为微调阶段的 QDQ 伪量化通路。来源：演讲 PPT 第 14 页。</w:t>
      </w:r>
    </w:p>
    <w:tbl>
      <w:tblPr>
        <w:tblStyle w:val="TableGrid"/>
        <w:tblW w:type="dxa" w:w="9360"/>
        <w:jc w:val="left"/>
        <w:tblLayout w:type="fixed"/>
        <w:tblLook w:firstColumn="1" w:firstRow="1" w:lastColumn="0" w:lastRow="0" w:noHBand="0" w:noVBand="1" w:val="04A0"/>
        <w:tblInd w:w="120" w:type="dxa"/>
      </w:tblPr>
      <w:tblGrid>
        <w:gridCol w:w="1572"/>
        <w:gridCol w:w="3382"/>
        <w:gridCol w:w="4406"/>
      </w:tblGrid>
      <w:tr>
        <w:trPr>
          <w:tblHeader w:val="true"/>
        </w:trPr>
        <w:tc>
          <w:tcPr>
            <w:tcW w:type="dxa" w:w="1572"/>
            <w:vAlign w:val="center"/>
            <w:shd w:fill="F4F6F9"/>
            <w:tcMar>
              <w:top w:w="80" w:type="dxa"/>
              <w:start w:w="120" w:type="dxa"/>
              <w:bottom w:w="80" w:type="dxa"/>
              <w:end w:w="120" w:type="dxa"/>
            </w:tcMar>
          </w:tcPr>
          <w:p>
            <w:pPr>
              <w:spacing w:before="0" w:after="0" w:line="259" w:lineRule="auto"/>
            </w:pPr>
            <w:r>
              <w:rPr>
                <w:rFonts w:ascii="Calibri" w:hAnsi="Calibri" w:eastAsia="Microsoft YaHei"/>
                <w:b/>
                <w:color w:val="203748"/>
                <w:sz w:val="18"/>
              </w:rPr>
              <w:t>维度</w:t>
            </w:r>
          </w:p>
        </w:tc>
        <w:tc>
          <w:tcPr>
            <w:tcW w:type="dxa" w:w="3382"/>
            <w:vAlign w:val="center"/>
            <w:shd w:fill="F4F6F9"/>
            <w:tcMar>
              <w:top w:w="80" w:type="dxa"/>
              <w:start w:w="120" w:type="dxa"/>
              <w:bottom w:w="80" w:type="dxa"/>
              <w:end w:w="120" w:type="dxa"/>
            </w:tcMar>
          </w:tcPr>
          <w:p>
            <w:pPr>
              <w:spacing w:before="0" w:after="0" w:line="259" w:lineRule="auto"/>
            </w:pPr>
            <w:r>
              <w:rPr>
                <w:rFonts w:ascii="Calibri" w:hAnsi="Calibri" w:eastAsia="Microsoft YaHei"/>
                <w:b/>
                <w:color w:val="203748"/>
                <w:sz w:val="18"/>
              </w:rPr>
              <w:t>Real INT4 Kernel（推理）</w:t>
            </w:r>
          </w:p>
        </w:tc>
        <w:tc>
          <w:tcPr>
            <w:tcW w:type="dxa" w:w="4406"/>
            <w:vAlign w:val="center"/>
            <w:shd w:fill="F4F6F9"/>
            <w:tcMar>
              <w:top w:w="80" w:type="dxa"/>
              <w:start w:w="120" w:type="dxa"/>
              <w:bottom w:w="80" w:type="dxa"/>
              <w:end w:w="120" w:type="dxa"/>
            </w:tcMar>
          </w:tcPr>
          <w:p>
            <w:pPr>
              <w:spacing w:before="0" w:after="0" w:line="259" w:lineRule="auto"/>
            </w:pPr>
            <w:r>
              <w:rPr>
                <w:rFonts w:ascii="Calibri" w:hAnsi="Calibri" w:eastAsia="Microsoft YaHei"/>
                <w:b/>
                <w:color w:val="203748"/>
                <w:sz w:val="18"/>
              </w:rPr>
              <w:t>QDQ / Fake Quantization（微调）</w:t>
            </w:r>
          </w:p>
        </w:tc>
      </w:tr>
      <w:tr>
        <w:tc>
          <w:tcPr>
            <w:tcW w:type="dxa" w:w="1572"/>
            <w:vAlign w:val="center"/>
            <w:tcMar>
              <w:top w:w="80" w:type="dxa"/>
              <w:start w:w="120" w:type="dxa"/>
              <w:bottom w:w="80" w:type="dxa"/>
              <w:end w:w="120" w:type="dxa"/>
            </w:tcMar>
          </w:tcPr>
          <w:p>
            <w:pPr>
              <w:spacing w:before="0" w:after="0" w:line="259" w:lineRule="auto"/>
            </w:pPr>
            <w:r>
              <w:rPr>
                <w:rFonts w:ascii="Calibri" w:hAnsi="Calibri" w:eastAsia="Microsoft YaHei"/>
                <w:sz w:val="18"/>
              </w:rPr>
              <w:t>核心操作</w:t>
            </w:r>
          </w:p>
        </w:tc>
        <w:tc>
          <w:tcPr>
            <w:tcW w:type="dxa" w:w="3382"/>
            <w:vAlign w:val="center"/>
            <w:tcMar>
              <w:top w:w="80" w:type="dxa"/>
              <w:start w:w="120" w:type="dxa"/>
              <w:bottom w:w="80" w:type="dxa"/>
              <w:end w:w="120" w:type="dxa"/>
            </w:tcMar>
          </w:tcPr>
          <w:p>
            <w:pPr>
              <w:spacing w:before="0" w:after="0" w:line="259" w:lineRule="auto"/>
            </w:pPr>
            <w:r>
              <w:rPr>
                <w:rFonts w:ascii="Calibri" w:hAnsi="Calibri" w:eastAsia="Microsoft YaHei"/>
                <w:sz w:val="18"/>
              </w:rPr>
              <w:t>Kernel 内部融合反量化，直接执行 INT4 GEMM</w:t>
            </w:r>
          </w:p>
        </w:tc>
        <w:tc>
          <w:tcPr>
            <w:tcW w:type="dxa" w:w="4406"/>
            <w:vAlign w:val="center"/>
            <w:tcMar>
              <w:top w:w="80" w:type="dxa"/>
              <w:start w:w="120" w:type="dxa"/>
              <w:bottom w:w="80" w:type="dxa"/>
              <w:end w:w="120" w:type="dxa"/>
            </w:tcMar>
          </w:tcPr>
          <w:p>
            <w:pPr>
              <w:spacing w:before="0" w:after="0" w:line="259" w:lineRule="auto"/>
            </w:pPr>
            <w:r>
              <w:rPr>
                <w:rFonts w:ascii="Calibri" w:hAnsi="Calibri" w:eastAsia="Microsoft YaHei"/>
                <w:sz w:val="18"/>
              </w:rPr>
              <w:t>先 Quantize 到 INT4，再 Dequantize 回 FP，最后执行 FP GEMM</w:t>
            </w:r>
          </w:p>
        </w:tc>
      </w:tr>
      <w:tr>
        <w:tc>
          <w:tcPr>
            <w:tcW w:type="dxa" w:w="1572"/>
            <w:vAlign w:val="center"/>
            <w:tcMar>
              <w:top w:w="80" w:type="dxa"/>
              <w:start w:w="120" w:type="dxa"/>
              <w:bottom w:w="80" w:type="dxa"/>
              <w:end w:w="120" w:type="dxa"/>
            </w:tcMar>
          </w:tcPr>
          <w:p>
            <w:pPr>
              <w:spacing w:before="0" w:after="0" w:line="259" w:lineRule="auto"/>
            </w:pPr>
            <w:r>
              <w:rPr>
                <w:rFonts w:ascii="Calibri" w:hAnsi="Calibri" w:eastAsia="Microsoft YaHei"/>
                <w:sz w:val="18"/>
              </w:rPr>
              <w:t>输出精度</w:t>
            </w:r>
          </w:p>
        </w:tc>
        <w:tc>
          <w:tcPr>
            <w:tcW w:type="dxa" w:w="3382"/>
            <w:vAlign w:val="center"/>
            <w:tcMar>
              <w:top w:w="80" w:type="dxa"/>
              <w:start w:w="120" w:type="dxa"/>
              <w:bottom w:w="80" w:type="dxa"/>
              <w:end w:w="120" w:type="dxa"/>
            </w:tcMar>
          </w:tcPr>
          <w:p>
            <w:pPr>
              <w:spacing w:before="0" w:after="0" w:line="259" w:lineRule="auto"/>
              <w:jc w:val="center"/>
            </w:pPr>
            <w:r>
              <w:rPr>
                <w:rFonts w:ascii="Calibri" w:hAnsi="Calibri" w:eastAsia="Microsoft YaHei"/>
                <w:sz w:val="18"/>
              </w:rPr>
              <w:t>低比特结果经融合反量化后回到 FP</w:t>
            </w:r>
          </w:p>
        </w:tc>
        <w:tc>
          <w:tcPr>
            <w:tcW w:type="dxa" w:w="4406"/>
            <w:vAlign w:val="center"/>
            <w:tcMar>
              <w:top w:w="80" w:type="dxa"/>
              <w:start w:w="120" w:type="dxa"/>
              <w:bottom w:w="80" w:type="dxa"/>
              <w:end w:w="120" w:type="dxa"/>
            </w:tcMar>
          </w:tcPr>
          <w:p>
            <w:pPr>
              <w:spacing w:before="0" w:after="0" w:line="259" w:lineRule="auto"/>
              <w:jc w:val="center"/>
            </w:pPr>
            <w:r>
              <w:rPr>
                <w:rFonts w:ascii="Calibri" w:hAnsi="Calibri" w:eastAsia="Microsoft YaHei"/>
                <w:sz w:val="18"/>
              </w:rPr>
              <w:t>始终保持 FP</w:t>
            </w:r>
          </w:p>
        </w:tc>
      </w:tr>
      <w:tr>
        <w:tc>
          <w:tcPr>
            <w:tcW w:type="dxa" w:w="1572"/>
            <w:vAlign w:val="center"/>
            <w:tcMar>
              <w:top w:w="80" w:type="dxa"/>
              <w:start w:w="120" w:type="dxa"/>
              <w:bottom w:w="80" w:type="dxa"/>
              <w:end w:w="120" w:type="dxa"/>
            </w:tcMar>
          </w:tcPr>
          <w:p>
            <w:pPr>
              <w:spacing w:before="0" w:after="0" w:line="259" w:lineRule="auto"/>
            </w:pPr>
            <w:r>
              <w:rPr>
                <w:rFonts w:ascii="Calibri" w:hAnsi="Calibri" w:eastAsia="Microsoft YaHei"/>
                <w:sz w:val="18"/>
              </w:rPr>
              <w:t>是否保留梯度</w:t>
            </w:r>
          </w:p>
        </w:tc>
        <w:tc>
          <w:tcPr>
            <w:tcW w:type="dxa" w:w="3382"/>
            <w:vAlign w:val="center"/>
            <w:tcMar>
              <w:top w:w="80" w:type="dxa"/>
              <w:start w:w="120" w:type="dxa"/>
              <w:bottom w:w="80" w:type="dxa"/>
              <w:end w:w="120" w:type="dxa"/>
            </w:tcMar>
          </w:tcPr>
          <w:p>
            <w:pPr>
              <w:spacing w:before="0" w:after="0" w:line="259" w:lineRule="auto"/>
              <w:jc w:val="center"/>
            </w:pPr>
            <w:r>
              <w:rPr>
                <w:rFonts w:ascii="Calibri" w:hAnsi="Calibri" w:eastAsia="Microsoft YaHei"/>
                <w:sz w:val="18"/>
              </w:rPr>
              <w:t>否（纯前向推理）</w:t>
            </w:r>
          </w:p>
        </w:tc>
        <w:tc>
          <w:tcPr>
            <w:tcW w:type="dxa" w:w="4406"/>
            <w:vAlign w:val="center"/>
            <w:tcMar>
              <w:top w:w="80" w:type="dxa"/>
              <w:start w:w="120" w:type="dxa"/>
              <w:bottom w:w="80" w:type="dxa"/>
              <w:end w:w="120" w:type="dxa"/>
            </w:tcMar>
          </w:tcPr>
          <w:p>
            <w:pPr>
              <w:spacing w:before="0" w:after="0" w:line="259" w:lineRule="auto"/>
              <w:jc w:val="center"/>
            </w:pPr>
            <w:r>
              <w:rPr>
                <w:rFonts w:ascii="Calibri" w:hAnsi="Calibri" w:eastAsia="Microsoft YaHei"/>
                <w:sz w:val="18"/>
              </w:rPr>
              <w:t>是（FP 张量上可回传梯度）</w:t>
            </w:r>
          </w:p>
        </w:tc>
      </w:tr>
      <w:tr>
        <w:tc>
          <w:tcPr>
            <w:tcW w:type="dxa" w:w="1572"/>
            <w:vAlign w:val="center"/>
            <w:tcMar>
              <w:top w:w="80" w:type="dxa"/>
              <w:start w:w="120" w:type="dxa"/>
              <w:bottom w:w="80" w:type="dxa"/>
              <w:end w:w="120" w:type="dxa"/>
            </w:tcMar>
          </w:tcPr>
          <w:p>
            <w:pPr>
              <w:spacing w:before="0" w:after="0" w:line="259" w:lineRule="auto"/>
            </w:pPr>
            <w:r>
              <w:rPr>
                <w:rFonts w:ascii="Calibri" w:hAnsi="Calibri" w:eastAsia="Microsoft YaHei"/>
                <w:sz w:val="18"/>
              </w:rPr>
              <w:t>性能目标</w:t>
            </w:r>
          </w:p>
        </w:tc>
        <w:tc>
          <w:tcPr>
            <w:tcW w:type="dxa" w:w="3382"/>
            <w:vAlign w:val="center"/>
            <w:tcMar>
              <w:top w:w="80" w:type="dxa"/>
              <w:start w:w="120" w:type="dxa"/>
              <w:bottom w:w="80" w:type="dxa"/>
              <w:end w:w="120" w:type="dxa"/>
            </w:tcMar>
          </w:tcPr>
          <w:p>
            <w:pPr>
              <w:spacing w:before="0" w:after="0" w:line="259" w:lineRule="auto"/>
              <w:jc w:val="center"/>
            </w:pPr>
            <w:r>
              <w:rPr>
                <w:rFonts w:ascii="Calibri" w:hAnsi="Calibri" w:eastAsia="Microsoft YaHei"/>
                <w:sz w:val="18"/>
              </w:rPr>
              <w:t>消除浮点开销，追求吞吐</w:t>
            </w:r>
          </w:p>
        </w:tc>
        <w:tc>
          <w:tcPr>
            <w:tcW w:type="dxa" w:w="4406"/>
            <w:vAlign w:val="center"/>
            <w:tcMar>
              <w:top w:w="80" w:type="dxa"/>
              <w:start w:w="120" w:type="dxa"/>
              <w:bottom w:w="80" w:type="dxa"/>
              <w:end w:w="120" w:type="dxa"/>
            </w:tcMar>
          </w:tcPr>
          <w:p>
            <w:pPr>
              <w:spacing w:before="0" w:after="0" w:line="259" w:lineRule="auto"/>
              <w:jc w:val="center"/>
            </w:pPr>
            <w:r>
              <w:rPr>
                <w:rFonts w:ascii="Calibri" w:hAnsi="Calibri" w:eastAsia="Microsoft YaHei"/>
                <w:sz w:val="18"/>
              </w:rPr>
              <w:t>不追求速度，只追求误差模拟的保真度</w:t>
            </w:r>
          </w:p>
        </w:tc>
      </w:tr>
    </w:tbl>
    <w:p>
      <w:pPr>
        <w:spacing w:after="40"/>
      </w:pPr>
    </w:p>
    <w:p>
      <w:pPr/>
      <w:r>
        <w:rPr>
          <w:b/>
        </w:rPr>
        <w:t>左侧通路（推理）</w:t>
      </w:r>
      <w:r>
        <w:t>：FP 权重在进入 Kernel 前被量化为 INT4，Kernel 内部以整数指令完成矩阵乘，并在写回时完成融合反量化（fused dequantization）。整个过程不产生额外的浮点中间张量。</w:t>
      </w:r>
    </w:p>
    <w:p>
      <w:pPr/>
      <w:r>
        <w:rPr>
          <w:b/>
        </w:rPr>
        <w:t>右侧通路（微调）</w:t>
      </w:r>
      <w:r>
        <w:t xml:space="preserve">：同样先将 FP 张量 Quantize 到 INT4，但随即执行 Dequantize 把张量"拉回"到 FP 空间，此后参与的仍是标准 FP GEMM。这一"先压后放"的环节就是 </w:t>
      </w:r>
      <w:r>
        <w:rPr>
          <w:b/>
        </w:rPr>
        <w:t>QDQ（Quantize-Dequantize，伪量化）</w:t>
      </w:r>
      <w:r>
        <w:t>——它的作用不是加速，而是在 FP 计算图中注入一段"量化噪声"，让后续的 MSE Loss 能感知到低比特带来的精度偏差。</w:t>
      </w:r>
    </w:p>
    <w:p>
      <w:pPr>
        <w:pStyle w:val="Heading2"/>
      </w:pPr>
      <w:r>
        <w:t>微调阶段为何必须走 QDQ</w:t>
      </w:r>
    </w:p>
    <w:p>
      <w:pPr/>
      <w:r>
        <w:t>因果链可以用三步描述：</w:t>
      </w:r>
    </w:p>
    <w:p>
      <w:pPr>
        <w:spacing w:after="80" w:line="290" w:lineRule="auto"/>
        <w:numPr>
          <w:ilvl w:val="0"/>
          <w:numId w:val="15"/>
        </w:numPr>
      </w:pPr>
      <w:r>
        <w:rPr>
          <w:b/>
        </w:rPr>
        <w:t>梯度回传需要浮点张量。</w:t>
      </w:r>
      <w:r>
        <w:t xml:space="preserve"> 上一节介绍的 SignSGD 优化器需要对 v、min、max 做梯度更新。如果张量已被截断为整数，梯度无法沿计算图回传。</w:t>
      </w:r>
    </w:p>
    <w:p>
      <w:pPr>
        <w:spacing w:after="80" w:line="290" w:lineRule="auto"/>
        <w:numPr>
          <w:ilvl w:val="0"/>
          <w:numId w:val="15"/>
        </w:numPr>
      </w:pPr>
      <w:r>
        <w:rPr>
          <w:b/>
        </w:rPr>
        <w:t>误差模拟需要真实量化函数。</w:t>
      </w:r>
      <w:r>
        <w:t xml:space="preserve"> QDQ 中的 Quantize 步骤调用的映射与最终推理 Kernel 一致，因此模拟出的误差是"真实的"。</w:t>
      </w:r>
    </w:p>
    <w:p>
      <w:pPr>
        <w:spacing w:after="80" w:line="290" w:lineRule="auto"/>
        <w:numPr>
          <w:ilvl w:val="0"/>
          <w:numId w:val="15"/>
        </w:numPr>
      </w:pPr>
      <w:r>
        <w:rPr>
          <w:b/>
        </w:rPr>
        <w:t>数据类型解耦带来灵活性。</w:t>
      </w:r>
      <w:r>
        <w:t xml:space="preserve"> 当需要支持新的数据类型（如 FP8 或 MXFP4）时，只需实现一个 tensor 级别的 QDQ 函数并注册到 AutoRound，即可评估新 schema 对精度的影响，无需等待对应硬件 Kernel 就绪。</w:t>
      </w:r>
    </w:p>
    <w:p>
      <w:pPr>
        <w:pStyle w:val="Heading2"/>
      </w:pPr>
      <w:r>
        <w:t>配合逐块加载：大模型也能单卡量化</w:t>
      </w:r>
    </w:p>
    <w:p>
      <w:pPr/>
      <w:r>
        <w:t>QDQ 通路与 AutoRound 的</w:t>
      </w:r>
      <w:r>
        <w:rPr>
          <w:b/>
        </w:rPr>
        <w:t>逐 Decoder Block 加载</w:t>
      </w:r>
      <w:r>
        <w:t>策略天然兼容。量化时主流程将当前 Block 从 CPU DRAM 加载到 GPU VRAM，在该 Block 的每个 Linear 层前后插入 QDQ 节点，迭代优化完毕后 offload 回 DRAM，再加载下一个 Block。由于 QDQ 始终以 FP GEMM 运行，不依赖特定低比特硬件指令，任何支持 FP 运算的 GPU 均可执行。即便面对 600B 参数规模的模型，显存需求也仅等于单个 Block 的大小加上少量激活缓存。</w:t>
      </w:r>
    </w:p>
    <w:p>
      <w:pPr>
        <w:pStyle w:val="Heading2"/>
      </w:pPr>
      <w:r>
        <w:t>最小状态演进</w:t>
      </w:r>
    </w:p>
    <w:p>
      <w:pPr/>
      <w:r>
        <w:t xml:space="preserve">假设某层权重的一个元素原始值为 </w:t>
      </w:r>
      <w:r>
        <w:rPr>
          <w:rFonts w:ascii="Consolas" w:hAnsi="Consolas" w:eastAsia="Microsoft YaHei"/>
          <w:color w:val="1F4D78"/>
          <w:sz w:val="19"/>
          <w:shd w:fill="EEF2F6"/>
        </w:rPr>
        <w:t>w = 0.37</w:t>
      </w:r>
      <w:r>
        <w:t>（BF16），scale = 0.05，zero = 8：</w:t>
      </w:r>
    </w:p>
    <w:tbl>
      <w:tblPr>
        <w:tblStyle w:val="TableGrid"/>
        <w:tblW w:type="dxa" w:w="9360"/>
        <w:jc w:val="left"/>
        <w:tblLayout w:type="fixed"/>
        <w:tblLook w:firstColumn="1" w:firstRow="1" w:lastColumn="0" w:lastRow="0" w:noHBand="0" w:noVBand="1" w:val="04A0"/>
        <w:tblInd w:w="120" w:type="dxa"/>
      </w:tblPr>
      <w:tblGrid>
        <w:gridCol w:w="2110"/>
        <w:gridCol w:w="3353"/>
        <w:gridCol w:w="3897"/>
      </w:tblGrid>
      <w:tr>
        <w:trPr>
          <w:tblHeader w:val="true"/>
        </w:trPr>
        <w:tc>
          <w:tcPr>
            <w:tcW w:type="dxa" w:w="2110"/>
            <w:vAlign w:val="center"/>
            <w:shd w:fill="F4F6F9"/>
            <w:tcMar>
              <w:top w:w="80" w:type="dxa"/>
              <w:start w:w="120" w:type="dxa"/>
              <w:bottom w:w="80" w:type="dxa"/>
              <w:end w:w="120" w:type="dxa"/>
            </w:tcMar>
          </w:tcPr>
          <w:p>
            <w:pPr>
              <w:spacing w:before="0" w:after="0" w:line="259" w:lineRule="auto"/>
            </w:pPr>
            <w:r>
              <w:rPr>
                <w:rFonts w:ascii="Calibri" w:hAnsi="Calibri" w:eastAsia="Microsoft YaHei"/>
                <w:b/>
                <w:color w:val="203748"/>
                <w:sz w:val="18"/>
              </w:rPr>
              <w:t>步骤</w:t>
            </w:r>
          </w:p>
        </w:tc>
        <w:tc>
          <w:tcPr>
            <w:tcW w:type="dxa" w:w="3353"/>
            <w:vAlign w:val="center"/>
            <w:shd w:fill="F4F6F9"/>
            <w:tcMar>
              <w:top w:w="80" w:type="dxa"/>
              <w:start w:w="120" w:type="dxa"/>
              <w:bottom w:w="80" w:type="dxa"/>
              <w:end w:w="120" w:type="dxa"/>
            </w:tcMar>
          </w:tcPr>
          <w:p>
            <w:pPr>
              <w:spacing w:before="0" w:after="0" w:line="259" w:lineRule="auto"/>
              <w:jc w:val="center"/>
            </w:pPr>
            <w:r>
              <w:rPr>
                <w:rFonts w:ascii="Calibri" w:hAnsi="Calibri" w:eastAsia="Microsoft YaHei"/>
                <w:b/>
                <w:color w:val="203748"/>
                <w:sz w:val="18"/>
              </w:rPr>
              <w:t>操作</w:t>
            </w:r>
          </w:p>
        </w:tc>
        <w:tc>
          <w:tcPr>
            <w:tcW w:type="dxa" w:w="3897"/>
            <w:vAlign w:val="center"/>
            <w:shd w:fill="F4F6F9"/>
            <w:tcMar>
              <w:top w:w="80" w:type="dxa"/>
              <w:start w:w="120" w:type="dxa"/>
              <w:bottom w:w="80" w:type="dxa"/>
              <w:end w:w="120" w:type="dxa"/>
            </w:tcMar>
          </w:tcPr>
          <w:p>
            <w:pPr>
              <w:spacing w:before="0" w:after="0" w:line="259" w:lineRule="auto"/>
              <w:jc w:val="center"/>
            </w:pPr>
            <w:r>
              <w:rPr>
                <w:rFonts w:ascii="Calibri" w:hAnsi="Calibri" w:eastAsia="Microsoft YaHei"/>
                <w:b/>
                <w:color w:val="203748"/>
                <w:sz w:val="18"/>
              </w:rPr>
              <w:t>值</w:t>
            </w:r>
          </w:p>
        </w:tc>
      </w:tr>
      <w:tr>
        <w:tc>
          <w:tcPr>
            <w:tcW w:type="dxa" w:w="2110"/>
            <w:vAlign w:val="center"/>
            <w:tcMar>
              <w:top w:w="80" w:type="dxa"/>
              <w:start w:w="120" w:type="dxa"/>
              <w:bottom w:w="80" w:type="dxa"/>
              <w:end w:w="120" w:type="dxa"/>
            </w:tcMar>
          </w:tcPr>
          <w:p>
            <w:pPr>
              <w:spacing w:before="0" w:after="0" w:line="259" w:lineRule="auto"/>
            </w:pPr>
            <w:r>
              <w:rPr>
                <w:rFonts w:ascii="Calibri" w:hAnsi="Calibri" w:eastAsia="Microsoft YaHei"/>
                <w:sz w:val="18"/>
              </w:rPr>
              <w:t>① Quantize</w:t>
            </w:r>
          </w:p>
        </w:tc>
        <w:tc>
          <w:tcPr>
            <w:tcW w:type="dxa" w:w="3353"/>
            <w:vAlign w:val="center"/>
            <w:tcMar>
              <w:top w:w="80" w:type="dxa"/>
              <w:start w:w="120" w:type="dxa"/>
              <w:bottom w:w="80" w:type="dxa"/>
              <w:end w:w="120" w:type="dxa"/>
            </w:tcMar>
          </w:tcPr>
          <w:p>
            <w:pPr>
              <w:spacing w:before="0" w:after="0" w:line="259" w:lineRule="auto"/>
            </w:pPr>
            <w:r>
              <w:rPr>
                <w:rFonts w:ascii="Calibri" w:hAnsi="Calibri" w:eastAsia="Microsoft YaHei"/>
                <w:sz w:val="18"/>
              </w:rPr>
              <w:t>映射到 INT4 范围 [0, 15]</w:t>
            </w:r>
          </w:p>
        </w:tc>
        <w:tc>
          <w:tcPr>
            <w:tcW w:type="dxa" w:w="3897"/>
            <w:vAlign w:val="center"/>
            <w:tcMar>
              <w:top w:w="80" w:type="dxa"/>
              <w:start w:w="120" w:type="dxa"/>
              <w:bottom w:w="80" w:type="dxa"/>
              <w:end w:w="120" w:type="dxa"/>
            </w:tcMar>
          </w:tcPr>
          <w:p>
            <w:pPr>
              <w:spacing w:before="0" w:after="0" w:line="259" w:lineRule="auto"/>
            </w:pPr>
            <w:r>
              <w:rPr>
                <w:rFonts w:ascii="Consolas" w:hAnsi="Consolas" w:eastAsia="Microsoft YaHei"/>
                <w:color w:val="1F4D78"/>
                <w:sz w:val="19"/>
                <w:shd w:fill="EEF2F6"/>
              </w:rPr>
              <w:t>q = round(0.37/0.05) + 8 = 15</w:t>
            </w:r>
            <w:r>
              <w:rPr>
                <w:rFonts w:ascii="Calibri" w:hAnsi="Calibri" w:eastAsia="Microsoft YaHei"/>
                <w:sz w:val="18"/>
              </w:rPr>
              <w:t>（clamp）</w:t>
            </w:r>
          </w:p>
        </w:tc>
      </w:tr>
      <w:tr>
        <w:tc>
          <w:tcPr>
            <w:tcW w:type="dxa" w:w="2110"/>
            <w:vAlign w:val="center"/>
            <w:tcMar>
              <w:top w:w="80" w:type="dxa"/>
              <w:start w:w="120" w:type="dxa"/>
              <w:bottom w:w="80" w:type="dxa"/>
              <w:end w:w="120" w:type="dxa"/>
            </w:tcMar>
          </w:tcPr>
          <w:p>
            <w:pPr>
              <w:spacing w:before="0" w:after="0" w:line="259" w:lineRule="auto"/>
            </w:pPr>
            <w:r>
              <w:rPr>
                <w:rFonts w:ascii="Calibri" w:hAnsi="Calibri" w:eastAsia="Microsoft YaHei"/>
                <w:sz w:val="18"/>
              </w:rPr>
              <w:t>② Dequantize</w:t>
            </w:r>
          </w:p>
        </w:tc>
        <w:tc>
          <w:tcPr>
            <w:tcW w:type="dxa" w:w="3353"/>
            <w:vAlign w:val="center"/>
            <w:tcMar>
              <w:top w:w="80" w:type="dxa"/>
              <w:start w:w="120" w:type="dxa"/>
              <w:bottom w:w="80" w:type="dxa"/>
              <w:end w:w="120" w:type="dxa"/>
            </w:tcMar>
          </w:tcPr>
          <w:p>
            <w:pPr>
              <w:spacing w:before="0" w:after="0" w:line="259" w:lineRule="auto"/>
              <w:jc w:val="center"/>
            </w:pPr>
            <w:r>
              <w:rPr>
                <w:rFonts w:ascii="Calibri" w:hAnsi="Calibri" w:eastAsia="Microsoft YaHei"/>
                <w:sz w:val="18"/>
              </w:rPr>
              <w:t>反映射回 FP</w:t>
            </w:r>
          </w:p>
        </w:tc>
        <w:tc>
          <w:tcPr>
            <w:tcW w:type="dxa" w:w="3897"/>
            <w:vAlign w:val="center"/>
            <w:tcMar>
              <w:top w:w="80" w:type="dxa"/>
              <w:start w:w="120" w:type="dxa"/>
              <w:bottom w:w="80" w:type="dxa"/>
              <w:end w:w="120" w:type="dxa"/>
            </w:tcMar>
          </w:tcPr>
          <w:p>
            <w:pPr>
              <w:spacing w:before="0" w:after="0" w:line="259" w:lineRule="auto"/>
            </w:pPr>
            <w:r>
              <w:rPr>
                <w:rFonts w:ascii="Consolas" w:hAnsi="Consolas" w:eastAsia="Microsoft YaHei"/>
                <w:color w:val="1F4D78"/>
                <w:sz w:val="19"/>
                <w:shd w:fill="EEF2F6"/>
              </w:rPr>
              <w:t>w' = (15 − 8) × 0.05 = 0.35</w:t>
            </w:r>
          </w:p>
        </w:tc>
      </w:tr>
      <w:tr>
        <w:tc>
          <w:tcPr>
            <w:tcW w:type="dxa" w:w="2110"/>
            <w:vAlign w:val="center"/>
            <w:tcMar>
              <w:top w:w="80" w:type="dxa"/>
              <w:start w:w="120" w:type="dxa"/>
              <w:bottom w:w="80" w:type="dxa"/>
              <w:end w:w="120" w:type="dxa"/>
            </w:tcMar>
          </w:tcPr>
          <w:p>
            <w:pPr>
              <w:spacing w:before="0" w:after="0" w:line="259" w:lineRule="auto"/>
            </w:pPr>
            <w:r>
              <w:rPr>
                <w:rFonts w:ascii="Calibri" w:hAnsi="Calibri" w:eastAsia="Microsoft YaHei"/>
                <w:sz w:val="18"/>
              </w:rPr>
              <w:t>③ FP GEMM</w:t>
            </w:r>
          </w:p>
        </w:tc>
        <w:tc>
          <w:tcPr>
            <w:tcW w:type="dxa" w:w="3353"/>
            <w:vAlign w:val="center"/>
            <w:tcMar>
              <w:top w:w="80" w:type="dxa"/>
              <w:start w:w="120" w:type="dxa"/>
              <w:bottom w:w="80" w:type="dxa"/>
              <w:end w:w="120" w:type="dxa"/>
            </w:tcMar>
          </w:tcPr>
          <w:p>
            <w:pPr>
              <w:spacing w:before="0" w:after="0" w:line="259" w:lineRule="auto"/>
              <w:jc w:val="center"/>
            </w:pPr>
            <w:r>
              <w:rPr>
                <w:rFonts w:ascii="Calibri" w:hAnsi="Calibri" w:eastAsia="Microsoft YaHei"/>
                <w:sz w:val="18"/>
              </w:rPr>
              <w:t>用 w' = 0.35 参与矩阵乘</w:t>
            </w:r>
          </w:p>
        </w:tc>
        <w:tc>
          <w:tcPr>
            <w:tcW w:type="dxa" w:w="3897"/>
            <w:vAlign w:val="center"/>
            <w:tcMar>
              <w:top w:w="80" w:type="dxa"/>
              <w:start w:w="120" w:type="dxa"/>
              <w:bottom w:w="80" w:type="dxa"/>
              <w:end w:w="120" w:type="dxa"/>
            </w:tcMar>
          </w:tcPr>
          <w:p>
            <w:pPr>
              <w:spacing w:before="0" w:after="0" w:line="259" w:lineRule="auto"/>
              <w:jc w:val="center"/>
            </w:pPr>
            <w:r>
              <w:rPr>
                <w:rFonts w:ascii="Calibri" w:hAnsi="Calibri" w:eastAsia="Microsoft YaHei"/>
                <w:sz w:val="18"/>
              </w:rPr>
              <w:t>引入 Δ = 0.02 的量化误差</w:t>
            </w:r>
          </w:p>
        </w:tc>
      </w:tr>
      <w:tr>
        <w:tc>
          <w:tcPr>
            <w:tcW w:type="dxa" w:w="2110"/>
            <w:vAlign w:val="center"/>
            <w:tcMar>
              <w:top w:w="80" w:type="dxa"/>
              <w:start w:w="120" w:type="dxa"/>
              <w:bottom w:w="80" w:type="dxa"/>
              <w:end w:w="120" w:type="dxa"/>
            </w:tcMar>
          </w:tcPr>
          <w:p>
            <w:pPr>
              <w:spacing w:before="0" w:after="0" w:line="259" w:lineRule="auto"/>
            </w:pPr>
            <w:r>
              <w:rPr>
                <w:rFonts w:ascii="Calibri" w:hAnsi="Calibri" w:eastAsia="Microsoft YaHei"/>
                <w:sz w:val="18"/>
              </w:rPr>
              <w:t>④ Loss &amp; Grad</w:t>
            </w:r>
          </w:p>
        </w:tc>
        <w:tc>
          <w:tcPr>
            <w:tcW w:type="dxa" w:w="3353"/>
            <w:vAlign w:val="center"/>
            <w:tcMar>
              <w:top w:w="80" w:type="dxa"/>
              <w:start w:w="120" w:type="dxa"/>
              <w:bottom w:w="80" w:type="dxa"/>
              <w:end w:w="120" w:type="dxa"/>
            </w:tcMar>
          </w:tcPr>
          <w:p>
            <w:pPr>
              <w:spacing w:before="0" w:after="0" w:line="259" w:lineRule="auto"/>
            </w:pPr>
            <w:r>
              <w:rPr>
                <w:rFonts w:ascii="Calibri" w:hAnsi="Calibri" w:eastAsia="Microsoft YaHei"/>
                <w:sz w:val="18"/>
              </w:rPr>
              <w:t>MSE Loss 感知到 Δ，梯度回传至 scale 参数</w:t>
            </w:r>
          </w:p>
        </w:tc>
        <w:tc>
          <w:tcPr>
            <w:tcW w:type="dxa" w:w="3897"/>
            <w:vAlign w:val="center"/>
            <w:tcMar>
              <w:top w:w="80" w:type="dxa"/>
              <w:start w:w="120" w:type="dxa"/>
              <w:bottom w:w="80" w:type="dxa"/>
              <w:end w:w="120" w:type="dxa"/>
            </w:tcMar>
          </w:tcPr>
          <w:p>
            <w:pPr>
              <w:spacing w:before="0" w:after="0" w:line="259" w:lineRule="auto"/>
              <w:jc w:val="center"/>
            </w:pPr>
            <w:r>
              <w:rPr>
                <w:rFonts w:ascii="Calibri" w:hAnsi="Calibri" w:eastAsia="Microsoft YaHei"/>
                <w:sz w:val="18"/>
              </w:rPr>
              <w:t>scale 被微调</w:t>
            </w:r>
          </w:p>
        </w:tc>
      </w:tr>
    </w:tbl>
    <w:p>
      <w:pPr>
        <w:spacing w:after="40"/>
      </w:pPr>
    </w:p>
    <w:p>
      <w:pPr/>
      <w:r>
        <w:t>在推理阶段，步骤 ②③ 被融合进 INT4 Kernel，不再产生 FP 中间值。</w:t>
      </w:r>
    </w:p>
    <w:p>
      <w:pPr>
        <w:pStyle w:val="Heading2"/>
      </w:pPr>
      <w:r>
        <w:t>边界与局限</w:t>
      </w:r>
    </w:p>
    <w:p>
      <w:pPr>
        <w:spacing w:after="80" w:line="290" w:lineRule="auto"/>
        <w:numPr>
          <w:ilvl w:val="0"/>
          <w:numId w:val="10"/>
        </w:numPr>
      </w:pPr>
      <w:r>
        <w:t xml:space="preserve">对于 </w:t>
      </w:r>
      <w:r>
        <w:rPr>
          <w:b/>
        </w:rPr>
        <w:t>Weight-Only 量化</w:t>
      </w:r>
      <w:r>
        <w:t>（如 W4A16），激活侧不做量化，QDQ 仅作用于权重张量。</w:t>
      </w:r>
    </w:p>
    <w:p>
      <w:pPr>
        <w:spacing w:after="80" w:line="290" w:lineRule="auto"/>
        <w:numPr>
          <w:ilvl w:val="0"/>
          <w:numId w:val="10"/>
        </w:numPr>
      </w:pPr>
      <w:r>
        <w:t>QDQ 模拟的精度损失与实际 Kernel 之间可能存在微小数值差异（如舍入模式不同），演讲材料未给出二者的逐层偏差数据。</w:t>
      </w:r>
    </w:p>
    <w:p>
      <w:pPr>
        <w:spacing w:after="80" w:line="290" w:lineRule="auto"/>
        <w:numPr>
          <w:ilvl w:val="0"/>
          <w:numId w:val="10"/>
        </w:numPr>
      </w:pPr>
      <w:r>
        <w:t>当目标数据类型的硬件 Kernel 尚未就绪时，QDQ 是唯一的精度评估手段；一旦 Kernel 可用，部署阶段应始终切换到 Real Kernel 以获得实际加速。</w:t>
      </w:r>
    </w:p>
    <w:p>
      <w:pPr/>
      <w:r>
        <w:t>完成离线量化并导出 Checkpoint 后，接下来需要回答的问题是：这份低比特权重如何被 vLLM 推理框架自动识别并接入底层加速算子？</w:t>
      </w:r>
    </w:p>
    <w:p>
      <w:pPr>
        <w:pStyle w:val="Heading1"/>
      </w:pPr>
      <w:r>
        <w:t>五、系统全景：vLLM 架构中的量化拦截与分发</w:t>
      </w:r>
    </w:p>
    <w:p>
      <w:pPr/>
      <w:r>
        <w:rPr>
          <w:b/>
        </w:rPr>
        <w:t>本节要回答的问题：</w:t>
      </w:r>
      <w:r>
        <w:t xml:space="preserve"> AutoRound 产出的 Checkpoint 经过怎样的路径，才能在 vLLM（一个开源 LLM 服务框架）中被自动识别，并最终调用到 Marlin 等高度优化的底层算子？</w:t>
      </w:r>
    </w:p>
    <w:p>
      <w:pPr>
        <w:pStyle w:val="Heading2"/>
      </w:pPr>
      <w:r>
        <w:t>离线量化：从全精度到可部署 Checkpoint</w:t>
      </w:r>
    </w:p>
    <w:p>
      <w:pPr/>
      <w:r>
        <w:t>部署起点是一次</w:t>
      </w:r>
      <w:r>
        <w:rPr>
          <w:b/>
        </w:rPr>
        <w:t>离线量化过程</w:t>
      </w:r>
      <w:r>
        <w:t>，而非在线推理时的动态转换。下图展示了从全精度权重到在线服务的完整工作流。</w:t>
      </w:r>
    </w:p>
    <w:p>
      <w:pPr>
        <w:keepNext/>
        <w:keepLines/>
        <w:spacing w:before="120" w:after="0"/>
        <w:jc w:val="center"/>
      </w:pPr>
      <w:r>
        <w:drawing>
          <wp:inline xmlns:a="http://schemas.openxmlformats.org/drawingml/2006/main" xmlns:pic="http://schemas.openxmlformats.org/drawingml/2006/picture">
            <wp:extent cx="5943600" cy="2378096"/>
            <wp:docPr id="5" name="Picture 5" descr="AutoRound 离线量化到 vLLM 部署的完整工作流" title="AutoRound 离线量化到 vLLM 部署的完整工作流"/>
            <wp:cNvGraphicFramePr>
              <a:graphicFrameLocks noChangeAspect="1"/>
            </wp:cNvGraphicFramePr>
            <a:graphic>
              <a:graphicData uri="http://schemas.openxmlformats.org/drawingml/2006/picture">
                <pic:pic>
                  <pic:nvPicPr>
                    <pic:cNvPr id="0" name="slide-20.png"/>
                    <pic:cNvPicPr/>
                  </pic:nvPicPr>
                  <pic:blipFill>
                    <a:blip r:embed="rId17"/>
                    <a:stretch>
                      <a:fillRect/>
                    </a:stretch>
                  </pic:blipFill>
                  <pic:spPr>
                    <a:xfrm>
                      <a:off x="0" y="0"/>
                      <a:ext cx="5943600" cy="2378096"/>
                    </a:xfrm>
                    <a:prstGeom prst="rect"/>
                  </pic:spPr>
                </pic:pic>
              </a:graphicData>
            </a:graphic>
          </wp:inline>
        </w:drawing>
      </w:r>
    </w:p>
    <w:p>
      <w:pPr/>
      <w:r>
        <w:rPr>
          <w:i/>
        </w:rPr>
        <w:t>图注：AutoRound 部署工作流——从 HuggingFace 全精度权重到 vLLM 在线服务。来源：演讲 PPT 第 20 页。</w:t>
      </w:r>
    </w:p>
    <w:p>
      <w:pPr/>
      <w:r>
        <w:t>端到端流程中的关键节点：</w:t>
      </w:r>
    </w:p>
    <w:tbl>
      <w:tblPr>
        <w:tblStyle w:val="TableGrid"/>
        <w:tblW w:type="dxa" w:w="9360"/>
        <w:jc w:val="left"/>
        <w:tblLayout w:type="fixed"/>
        <w:tblLook w:firstColumn="1" w:firstRow="1" w:lastColumn="0" w:lastRow="0" w:noHBand="0" w:noVBand="1" w:val="04A0"/>
        <w:tblInd w:w="120" w:type="dxa"/>
      </w:tblPr>
      <w:tblGrid>
        <w:gridCol w:w="1328"/>
        <w:gridCol w:w="2525"/>
        <w:gridCol w:w="2810"/>
        <w:gridCol w:w="2697"/>
      </w:tblGrid>
      <w:tr>
        <w:trPr>
          <w:tblHeader w:val="true"/>
        </w:trPr>
        <w:tc>
          <w:tcPr>
            <w:tcW w:type="dxa" w:w="1328"/>
            <w:vAlign w:val="center"/>
            <w:shd w:fill="F4F6F9"/>
            <w:tcMar>
              <w:top w:w="80" w:type="dxa"/>
              <w:start w:w="120" w:type="dxa"/>
              <w:bottom w:w="80" w:type="dxa"/>
              <w:end w:w="120" w:type="dxa"/>
            </w:tcMar>
          </w:tcPr>
          <w:p>
            <w:pPr>
              <w:spacing w:before="0" w:after="0" w:line="259" w:lineRule="auto"/>
            </w:pPr>
            <w:r>
              <w:rPr>
                <w:rFonts w:ascii="Calibri" w:hAnsi="Calibri" w:eastAsia="Microsoft YaHei"/>
                <w:b/>
                <w:color w:val="203748"/>
                <w:sz w:val="18"/>
              </w:rPr>
              <w:t>阶段</w:t>
            </w:r>
          </w:p>
        </w:tc>
        <w:tc>
          <w:tcPr>
            <w:tcW w:type="dxa" w:w="2525"/>
            <w:vAlign w:val="center"/>
            <w:shd w:fill="F4F6F9"/>
            <w:tcMar>
              <w:top w:w="80" w:type="dxa"/>
              <w:start w:w="120" w:type="dxa"/>
              <w:bottom w:w="80" w:type="dxa"/>
              <w:end w:w="120" w:type="dxa"/>
            </w:tcMar>
          </w:tcPr>
          <w:p>
            <w:pPr>
              <w:spacing w:before="0" w:after="0" w:line="259" w:lineRule="auto"/>
              <w:jc w:val="center"/>
            </w:pPr>
            <w:r>
              <w:rPr>
                <w:rFonts w:ascii="Calibri" w:hAnsi="Calibri" w:eastAsia="Microsoft YaHei"/>
                <w:b/>
                <w:color w:val="203748"/>
                <w:sz w:val="18"/>
              </w:rPr>
              <w:t>输入</w:t>
            </w:r>
          </w:p>
        </w:tc>
        <w:tc>
          <w:tcPr>
            <w:tcW w:type="dxa" w:w="2810"/>
            <w:vAlign w:val="center"/>
            <w:shd w:fill="F4F6F9"/>
            <w:tcMar>
              <w:top w:w="80" w:type="dxa"/>
              <w:start w:w="120" w:type="dxa"/>
              <w:bottom w:w="80" w:type="dxa"/>
              <w:end w:w="120" w:type="dxa"/>
            </w:tcMar>
          </w:tcPr>
          <w:p>
            <w:pPr>
              <w:spacing w:before="0" w:after="0" w:line="259" w:lineRule="auto"/>
              <w:jc w:val="center"/>
            </w:pPr>
            <w:r>
              <w:rPr>
                <w:rFonts w:ascii="Calibri" w:hAnsi="Calibri" w:eastAsia="Microsoft YaHei"/>
                <w:b/>
                <w:color w:val="203748"/>
                <w:sz w:val="18"/>
              </w:rPr>
              <w:t>产出</w:t>
            </w:r>
          </w:p>
        </w:tc>
        <w:tc>
          <w:tcPr>
            <w:tcW w:type="dxa" w:w="2697"/>
            <w:vAlign w:val="center"/>
            <w:shd w:fill="F4F6F9"/>
            <w:tcMar>
              <w:top w:w="80" w:type="dxa"/>
              <w:start w:w="120" w:type="dxa"/>
              <w:bottom w:w="80" w:type="dxa"/>
              <w:end w:w="120" w:type="dxa"/>
            </w:tcMar>
          </w:tcPr>
          <w:p>
            <w:pPr>
              <w:spacing w:before="0" w:after="0" w:line="259" w:lineRule="auto"/>
              <w:jc w:val="center"/>
            </w:pPr>
            <w:r>
              <w:rPr>
                <w:rFonts w:ascii="Calibri" w:hAnsi="Calibri" w:eastAsia="Microsoft YaHei"/>
                <w:b/>
                <w:color w:val="203748"/>
                <w:sz w:val="18"/>
              </w:rPr>
              <w:t>说明</w:t>
            </w:r>
          </w:p>
        </w:tc>
      </w:tr>
      <w:tr>
        <w:tc>
          <w:tcPr>
            <w:tcW w:type="dxa" w:w="1328"/>
            <w:vAlign w:val="center"/>
            <w:tcMar>
              <w:top w:w="80" w:type="dxa"/>
              <w:start w:w="120" w:type="dxa"/>
              <w:bottom w:w="80" w:type="dxa"/>
              <w:end w:w="120" w:type="dxa"/>
            </w:tcMar>
          </w:tcPr>
          <w:p>
            <w:pPr>
              <w:spacing w:before="0" w:after="0" w:line="259" w:lineRule="auto"/>
            </w:pPr>
            <w:r>
              <w:rPr>
                <w:rFonts w:ascii="Calibri" w:hAnsi="Calibri" w:eastAsia="Microsoft YaHei"/>
                <w:sz w:val="18"/>
              </w:rPr>
              <w:t>离线量化</w:t>
            </w:r>
          </w:p>
        </w:tc>
        <w:tc>
          <w:tcPr>
            <w:tcW w:type="dxa" w:w="2525"/>
            <w:vAlign w:val="center"/>
            <w:tcMar>
              <w:top w:w="80" w:type="dxa"/>
              <w:start w:w="120" w:type="dxa"/>
              <w:bottom w:w="80" w:type="dxa"/>
              <w:end w:w="120" w:type="dxa"/>
            </w:tcMar>
          </w:tcPr>
          <w:p>
            <w:pPr>
              <w:spacing w:before="0" w:after="0" w:line="259" w:lineRule="auto"/>
            </w:pPr>
            <w:r>
              <w:rPr>
                <w:rFonts w:ascii="Calibri" w:hAnsi="Calibri" w:eastAsia="Microsoft YaHei"/>
                <w:sz w:val="18"/>
              </w:rPr>
              <w:t>HuggingFace 模型（FP16/BF16）</w:t>
            </w:r>
          </w:p>
        </w:tc>
        <w:tc>
          <w:tcPr>
            <w:tcW w:type="dxa" w:w="2810"/>
            <w:vAlign w:val="center"/>
            <w:tcMar>
              <w:top w:w="80" w:type="dxa"/>
              <w:start w:w="120" w:type="dxa"/>
              <w:bottom w:w="80" w:type="dxa"/>
              <w:end w:w="120" w:type="dxa"/>
            </w:tcMar>
          </w:tcPr>
          <w:p>
            <w:pPr>
              <w:spacing w:before="0" w:after="0" w:line="259" w:lineRule="auto"/>
            </w:pPr>
            <w:r>
              <w:rPr>
                <w:rFonts w:ascii="Calibri" w:hAnsi="Calibri" w:eastAsia="Microsoft YaHei"/>
                <w:sz w:val="18"/>
              </w:rPr>
              <w:t xml:space="preserve">Checkpoint（量化权重 + </w:t>
            </w:r>
            <w:r>
              <w:rPr>
                <w:rFonts w:ascii="Consolas" w:hAnsi="Consolas" w:eastAsia="Microsoft YaHei"/>
                <w:color w:val="1F4D78"/>
                <w:sz w:val="19"/>
                <w:shd w:fill="EEF2F6"/>
              </w:rPr>
              <w:t>config.json</w:t>
            </w:r>
            <w:r>
              <w:rPr>
                <w:rFonts w:ascii="Calibri" w:hAnsi="Calibri" w:eastAsia="Microsoft YaHei"/>
                <w:sz w:val="18"/>
              </w:rPr>
              <w:t>）</w:t>
            </w:r>
          </w:p>
        </w:tc>
        <w:tc>
          <w:tcPr>
            <w:tcW w:type="dxa" w:w="2697"/>
            <w:vAlign w:val="center"/>
            <w:tcMar>
              <w:top w:w="80" w:type="dxa"/>
              <w:start w:w="120" w:type="dxa"/>
              <w:bottom w:w="80" w:type="dxa"/>
              <w:end w:w="120" w:type="dxa"/>
            </w:tcMar>
          </w:tcPr>
          <w:p>
            <w:pPr>
              <w:spacing w:before="0" w:after="0" w:line="259" w:lineRule="auto"/>
              <w:jc w:val="center"/>
            </w:pPr>
            <w:r>
              <w:rPr>
                <w:rFonts w:ascii="Calibri" w:hAnsi="Calibri" w:eastAsia="Microsoft YaHei"/>
                <w:sz w:val="18"/>
              </w:rPr>
              <w:t>以 7B 模型为例约需 15 分钟</w:t>
            </w:r>
          </w:p>
        </w:tc>
      </w:tr>
      <w:tr>
        <w:tc>
          <w:tcPr>
            <w:tcW w:type="dxa" w:w="1328"/>
            <w:vAlign w:val="center"/>
            <w:tcMar>
              <w:top w:w="80" w:type="dxa"/>
              <w:start w:w="120" w:type="dxa"/>
              <w:bottom w:w="80" w:type="dxa"/>
              <w:end w:w="120" w:type="dxa"/>
            </w:tcMar>
          </w:tcPr>
          <w:p>
            <w:pPr>
              <w:spacing w:before="0" w:after="0" w:line="259" w:lineRule="auto"/>
            </w:pPr>
            <w:r>
              <w:rPr>
                <w:rFonts w:ascii="Calibri" w:hAnsi="Calibri" w:eastAsia="Microsoft YaHei"/>
                <w:sz w:val="18"/>
              </w:rPr>
              <w:t>加载服务</w:t>
            </w:r>
          </w:p>
        </w:tc>
        <w:tc>
          <w:tcPr>
            <w:tcW w:type="dxa" w:w="2525"/>
            <w:vAlign w:val="center"/>
            <w:tcMar>
              <w:top w:w="80" w:type="dxa"/>
              <w:start w:w="120" w:type="dxa"/>
              <w:bottom w:w="80" w:type="dxa"/>
              <w:end w:w="120" w:type="dxa"/>
            </w:tcMar>
          </w:tcPr>
          <w:p>
            <w:pPr>
              <w:spacing w:before="0" w:after="0" w:line="259" w:lineRule="auto"/>
              <w:jc w:val="center"/>
            </w:pPr>
            <w:r>
              <w:rPr>
                <w:rFonts w:ascii="Calibri" w:hAnsi="Calibri" w:eastAsia="Microsoft YaHei"/>
                <w:sz w:val="18"/>
              </w:rPr>
              <w:t>Checkpoint 目录</w:t>
            </w:r>
          </w:p>
        </w:tc>
        <w:tc>
          <w:tcPr>
            <w:tcW w:type="dxa" w:w="2810"/>
            <w:vAlign w:val="center"/>
            <w:tcMar>
              <w:top w:w="80" w:type="dxa"/>
              <w:start w:w="120" w:type="dxa"/>
              <w:bottom w:w="80" w:type="dxa"/>
              <w:end w:w="120" w:type="dxa"/>
            </w:tcMar>
          </w:tcPr>
          <w:p>
            <w:pPr>
              <w:spacing w:before="0" w:after="0" w:line="259" w:lineRule="auto"/>
            </w:pPr>
            <w:r>
              <w:rPr>
                <w:rFonts w:ascii="Calibri" w:hAnsi="Calibri" w:eastAsia="Microsoft YaHei"/>
                <w:sz w:val="18"/>
              </w:rPr>
              <w:t>vLLM / vLLM-Omni 在线引擎</w:t>
            </w:r>
          </w:p>
        </w:tc>
        <w:tc>
          <w:tcPr>
            <w:tcW w:type="dxa" w:w="2697"/>
            <w:vAlign w:val="center"/>
            <w:tcMar>
              <w:top w:w="80" w:type="dxa"/>
              <w:start w:w="120" w:type="dxa"/>
              <w:bottom w:w="80" w:type="dxa"/>
              <w:end w:w="120" w:type="dxa"/>
            </w:tcMar>
          </w:tcPr>
          <w:p>
            <w:pPr>
              <w:spacing w:before="0" w:after="0" w:line="259" w:lineRule="auto"/>
            </w:pPr>
            <w:r>
              <w:rPr>
                <w:rFonts w:ascii="Calibri" w:hAnsi="Calibri" w:eastAsia="Microsoft YaHei"/>
                <w:sz w:val="18"/>
              </w:rPr>
              <w:t xml:space="preserve">vLLM 读取 </w:t>
            </w:r>
            <w:r>
              <w:rPr>
                <w:rFonts w:ascii="Consolas" w:hAnsi="Consolas" w:eastAsia="Microsoft YaHei"/>
                <w:color w:val="1F4D78"/>
                <w:sz w:val="19"/>
                <w:shd w:fill="EEF2F6"/>
              </w:rPr>
              <w:t>config.json</w:t>
            </w:r>
            <w:r>
              <w:rPr>
                <w:rFonts w:ascii="Calibri" w:hAnsi="Calibri" w:eastAsia="Microsoft YaHei"/>
                <w:sz w:val="18"/>
              </w:rPr>
              <w:t xml:space="preserve"> 自动识别量化格式</w:t>
            </w:r>
          </w:p>
        </w:tc>
      </w:tr>
      <w:tr>
        <w:tc>
          <w:tcPr>
            <w:tcW w:type="dxa" w:w="1328"/>
            <w:vAlign w:val="center"/>
            <w:tcMar>
              <w:top w:w="80" w:type="dxa"/>
              <w:start w:w="120" w:type="dxa"/>
              <w:bottom w:w="80" w:type="dxa"/>
              <w:end w:w="120" w:type="dxa"/>
            </w:tcMar>
          </w:tcPr>
          <w:p>
            <w:pPr>
              <w:spacing w:before="0" w:after="0" w:line="259" w:lineRule="auto"/>
            </w:pPr>
            <w:r>
              <w:rPr>
                <w:rFonts w:ascii="Calibri" w:hAnsi="Calibri" w:eastAsia="Microsoft YaHei"/>
                <w:sz w:val="18"/>
              </w:rPr>
              <w:t>评估反馈</w:t>
            </w:r>
          </w:p>
        </w:tc>
        <w:tc>
          <w:tcPr>
            <w:tcW w:type="dxa" w:w="2525"/>
            <w:vAlign w:val="center"/>
            <w:tcMar>
              <w:top w:w="80" w:type="dxa"/>
              <w:start w:w="120" w:type="dxa"/>
              <w:bottom w:w="80" w:type="dxa"/>
              <w:end w:w="120" w:type="dxa"/>
            </w:tcMar>
          </w:tcPr>
          <w:p>
            <w:pPr>
              <w:spacing w:before="0" w:after="0" w:line="259" w:lineRule="auto"/>
              <w:jc w:val="center"/>
            </w:pPr>
            <w:r>
              <w:rPr>
                <w:rFonts w:ascii="Calibri" w:hAnsi="Calibri" w:eastAsia="Microsoft YaHei"/>
                <w:sz w:val="18"/>
              </w:rPr>
              <w:t>精度与性能指标</w:t>
            </w:r>
          </w:p>
        </w:tc>
        <w:tc>
          <w:tcPr>
            <w:tcW w:type="dxa" w:w="2810"/>
            <w:vAlign w:val="center"/>
            <w:tcMar>
              <w:top w:w="80" w:type="dxa"/>
              <w:start w:w="120" w:type="dxa"/>
              <w:bottom w:w="80" w:type="dxa"/>
              <w:end w:w="120" w:type="dxa"/>
            </w:tcMar>
          </w:tcPr>
          <w:p>
            <w:pPr>
              <w:spacing w:before="0" w:after="0" w:line="259" w:lineRule="auto"/>
              <w:jc w:val="center"/>
            </w:pPr>
            <w:r>
              <w:rPr>
                <w:rFonts w:ascii="Calibri" w:hAnsi="Calibri" w:eastAsia="Microsoft YaHei"/>
                <w:sz w:val="18"/>
              </w:rPr>
              <w:t>决策：上线或迭代</w:t>
            </w:r>
          </w:p>
        </w:tc>
        <w:tc>
          <w:tcPr>
            <w:tcW w:type="dxa" w:w="2697"/>
            <w:vAlign w:val="center"/>
            <w:tcMar>
              <w:top w:w="80" w:type="dxa"/>
              <w:start w:w="120" w:type="dxa"/>
              <w:bottom w:w="80" w:type="dxa"/>
              <w:end w:w="120" w:type="dxa"/>
            </w:tcMar>
          </w:tcPr>
          <w:p>
            <w:pPr>
              <w:spacing w:before="0" w:after="0" w:line="259" w:lineRule="auto"/>
            </w:pPr>
            <w:r>
              <w:rPr>
                <w:rFonts w:ascii="Calibri" w:hAnsi="Calibri" w:eastAsia="Microsoft YaHei"/>
                <w:sz w:val="18"/>
              </w:rPr>
              <w:t>若指标未达预期，可更换量化方案后重新量化</w:t>
            </w:r>
          </w:p>
        </w:tc>
      </w:tr>
    </w:tbl>
    <w:p>
      <w:pPr>
        <w:spacing w:after="40"/>
      </w:pPr>
    </w:p>
    <w:p>
      <w:pPr>
        <w:spacing w:before="80" w:after="200" w:line="300" w:lineRule="auto"/>
        <w:ind w:left="317" w:right="173"/>
        <w:pBdr>
          <w:left w:val="single" w:sz="18" w:space="8" w:color="2E74B5"/>
        </w:pBdr>
        <w:shd w:fill="F4F6F9"/>
      </w:pPr>
      <w:r>
        <w:rPr>
          <w:rFonts w:ascii="Calibri" w:hAnsi="Calibri" w:eastAsia="Microsoft YaHei"/>
          <w:b/>
          <w:color w:val="203748"/>
          <w:sz w:val="23"/>
        </w:rPr>
        <w:t>注意</w:t>
      </w:r>
      <w:r>
        <w:rPr>
          <w:rFonts w:ascii="Calibri" w:hAnsi="Calibri" w:eastAsia="Microsoft YaHei"/>
          <w:color w:val="203748"/>
          <w:sz w:val="23"/>
        </w:rPr>
        <w:t>：15 分钟的量化耗时特指 7B 规模模型，更大模型耗时会相应增长。</w:t>
      </w:r>
    </w:p>
    <w:p>
      <w:pPr/>
      <w:r>
        <w:t>核心产物是一个</w:t>
      </w:r>
      <w:r>
        <w:rPr>
          <w:b/>
        </w:rPr>
        <w:t>设备无关（device-agnostic）的 Checkpoint</w:t>
      </w:r>
      <w:r>
        <w:t>。量化后的权重文件可以在 Intel XPU、CUDA GPU、HPU 乃至 CPU 之间共享，只要目标设备上有对应的推理 Kernel 支持即可。</w:t>
      </w:r>
    </w:p>
    <w:p>
      <w:pPr>
        <w:pStyle w:val="Heading2"/>
      </w:pPr>
      <w:r>
        <w:t>vLLM 内部：从层分发到量化算子</w:t>
      </w:r>
    </w:p>
    <w:p>
      <w:pPr/>
      <w:r>
        <w:t xml:space="preserve">Checkpoint 被加载后，低比特权重并非简单地以普通 Tensor 参与标准 </w:t>
      </w:r>
      <w:r>
        <w:rPr>
          <w:rFonts w:ascii="Consolas" w:hAnsi="Consolas" w:eastAsia="Microsoft YaHei"/>
          <w:color w:val="1F4D78"/>
          <w:sz w:val="19"/>
          <w:shd w:fill="EEF2F6"/>
        </w:rPr>
        <w:t>forward</w:t>
      </w:r>
      <w:r>
        <w:t xml:space="preserve">。vLLM 在模型初始化阶段依据 </w:t>
      </w:r>
      <w:r>
        <w:rPr>
          <w:rFonts w:ascii="Consolas" w:hAnsi="Consolas" w:eastAsia="Microsoft YaHei"/>
          <w:color w:val="1F4D78"/>
          <w:sz w:val="19"/>
          <w:shd w:fill="EEF2F6"/>
        </w:rPr>
        <w:t>config.json</w:t>
      </w:r>
      <w:r>
        <w:t xml:space="preserve"> 中声明的量化元信息，将标准线性层</w:t>
      </w:r>
      <w:r>
        <w:rPr>
          <w:b/>
        </w:rPr>
        <w:t>替换</w:t>
      </w:r>
      <w:r>
        <w:t>为专用的量化线性层（Quantization Layer），运行时自动走入优化路径。</w:t>
      </w:r>
    </w:p>
    <w:p>
      <w:pPr/>
      <w:r>
        <w:t>下图展示了 vLLM 的架构分层和量化 Linear 的调用栈，帮助理解"层替换"在整个系统中的位置。</w:t>
      </w:r>
    </w:p>
    <w:p>
      <w:pPr>
        <w:keepNext/>
        <w:keepLines/>
        <w:spacing w:before="120" w:after="0"/>
        <w:jc w:val="center"/>
      </w:pPr>
      <w:r>
        <w:drawing>
          <wp:inline xmlns:a="http://schemas.openxmlformats.org/drawingml/2006/main" xmlns:pic="http://schemas.openxmlformats.org/drawingml/2006/picture">
            <wp:extent cx="5943600" cy="2540967"/>
            <wp:docPr id="6" name="Picture 6" descr="vLLM 架构分层与量化 Linear 的执行栈" title="vLLM 架构分层与量化 Linear 的执行栈"/>
            <wp:cNvGraphicFramePr>
              <a:graphicFrameLocks noChangeAspect="1"/>
            </wp:cNvGraphicFramePr>
            <a:graphic>
              <a:graphicData uri="http://schemas.openxmlformats.org/drawingml/2006/picture">
                <pic:pic>
                  <pic:nvPicPr>
                    <pic:cNvPr id="0" name="slide-08.png"/>
                    <pic:cNvPicPr/>
                  </pic:nvPicPr>
                  <pic:blipFill>
                    <a:blip r:embed="rId18"/>
                    <a:stretch>
                      <a:fillRect/>
                    </a:stretch>
                  </pic:blipFill>
                  <pic:spPr>
                    <a:xfrm>
                      <a:off x="0" y="0"/>
                      <a:ext cx="5943600" cy="2540967"/>
                    </a:xfrm>
                    <a:prstGeom prst="rect"/>
                  </pic:spPr>
                </pic:pic>
              </a:graphicData>
            </a:graphic>
          </wp:inline>
        </w:drawing>
      </w:r>
    </w:p>
    <w:p>
      <w:pPr/>
      <w:r>
        <w:rPr>
          <w:i/>
        </w:rPr>
        <w:t>图注：左侧为 vLLM 架构分层，右侧为量化 Linear Forward 到 Marlin Kernel 的调用栈。来源：演讲 PPT 第 8 页。</w:t>
      </w:r>
    </w:p>
    <w:p>
      <w:pPr/>
      <w:r>
        <w:rPr>
          <w:b/>
        </w:rPr>
        <w:t>左侧——架构分层（自顶向下）：</w:t>
      </w:r>
      <w:r>
        <w:t xml:space="preserve"> API Server 接收请求 → Scheduler 组批调度 → Model Runner 驱动前向计算 → Layer Dispatch 遍历每一层并决定执行路径 → </w:t>
      </w:r>
      <w:r>
        <w:rPr>
          <w:b/>
        </w:rPr>
        <w:t>Quantization Layer（AutoRound）</w:t>
      </w:r>
      <w:r>
        <w:t xml:space="preserve"> 在此拦截标准线性运算 → Hardware 执行实际计算。AutoRound 嵌入在 Layer Dispatch 与 Hardware 之间，上层调度无需感知权重是否被量化，实现了</w:t>
      </w:r>
      <w:r>
        <w:rPr>
          <w:b/>
        </w:rPr>
        <w:t>调度与算子的解耦</w:t>
      </w:r>
      <w:r>
        <w:t>。</w:t>
      </w:r>
    </w:p>
    <w:p>
      <w:pPr/>
      <w:r>
        <w:rPr>
          <w:b/>
        </w:rPr>
        <w:t>右侧——调用栈：</w:t>
      </w:r>
      <w:r>
        <w:t xml:space="preserve"> 从 PyTorch 层面的线性投影（如 QKV Projection）出发，经过 vLLM 的量化分发逻辑，最终落到 C++ 层的 </w:t>
      </w:r>
      <w:r>
        <w:rPr>
          <w:b/>
        </w:rPr>
        <w:t>Marlin GEMM</w:t>
      </w:r>
      <w:r>
        <w:t xml:space="preserve"> 算子——一种针对低比特权重高度优化的矩阵乘 Kernel。Python 层只负责"选择路径"，计算密集部分完全交给 C++ 层完成。</w:t>
      </w:r>
    </w:p>
    <w:p>
      <w:pPr>
        <w:pStyle w:val="Heading2"/>
      </w:pPr>
      <w:r>
        <w:t>最小例子：一次量化推理请求的生命周期</w:t>
      </w:r>
    </w:p>
    <w:p>
      <w:pPr/>
      <w:r>
        <w:t>以一个 INT4 量化的 7B 模型为例：</w:t>
      </w:r>
    </w:p>
    <w:p>
      <w:pPr>
        <w:spacing w:after="80" w:line="290" w:lineRule="auto"/>
        <w:numPr>
          <w:ilvl w:val="0"/>
          <w:numId w:val="16"/>
        </w:numPr>
      </w:pPr>
      <w:r>
        <w:rPr>
          <w:b/>
        </w:rPr>
        <w:t>离线</w:t>
      </w:r>
      <w:r>
        <w:t>：AutoRound 对 BF16 权重执行量化，</w:t>
      </w:r>
      <w:r>
        <w:rPr>
          <w:rFonts w:ascii="Consolas" w:hAnsi="Consolas" w:eastAsia="Microsoft YaHei"/>
          <w:color w:val="1F4D78"/>
          <w:sz w:val="19"/>
          <w:shd w:fill="EEF2F6"/>
        </w:rPr>
        <w:t>config.json</w:t>
      </w:r>
      <w:r>
        <w:t xml:space="preserve"> 标记 </w:t>
      </w:r>
      <w:r>
        <w:rPr>
          <w:rFonts w:ascii="Consolas" w:hAnsi="Consolas" w:eastAsia="Microsoft YaHei"/>
          <w:color w:val="1F4D78"/>
          <w:sz w:val="19"/>
          <w:shd w:fill="EEF2F6"/>
        </w:rPr>
        <w:t>"quant_method": "auto_round"</w:t>
      </w:r>
      <w:r>
        <w:t>。</w:t>
      </w:r>
    </w:p>
    <w:p>
      <w:pPr>
        <w:spacing w:after="80" w:line="290" w:lineRule="auto"/>
        <w:numPr>
          <w:ilvl w:val="0"/>
          <w:numId w:val="16"/>
        </w:numPr>
      </w:pPr>
      <w:r>
        <w:rPr>
          <w:b/>
        </w:rPr>
        <w:t>加载</w:t>
      </w:r>
      <w:r>
        <w:t xml:space="preserve">：vLLM 启动时扫描 </w:t>
      </w:r>
      <w:r>
        <w:rPr>
          <w:rFonts w:ascii="Consolas" w:hAnsi="Consolas" w:eastAsia="Microsoft YaHei"/>
          <w:color w:val="1F4D78"/>
          <w:sz w:val="19"/>
          <w:shd w:fill="EEF2F6"/>
        </w:rPr>
        <w:t>config.json</w:t>
      </w:r>
      <w:r>
        <w:t xml:space="preserve">，识别量化方案，将所有适用的 </w:t>
      </w:r>
      <w:r>
        <w:rPr>
          <w:rFonts w:ascii="Consolas" w:hAnsi="Consolas" w:eastAsia="Microsoft YaHei"/>
          <w:color w:val="1F4D78"/>
          <w:sz w:val="19"/>
          <w:shd w:fill="EEF2F6"/>
        </w:rPr>
        <w:t>nn.Linear</w:t>
      </w:r>
      <w:r>
        <w:t xml:space="preserve"> 替换为量化线性层。</w:t>
      </w:r>
    </w:p>
    <w:p>
      <w:pPr>
        <w:spacing w:after="80" w:line="290" w:lineRule="auto"/>
        <w:numPr>
          <w:ilvl w:val="0"/>
          <w:numId w:val="16"/>
        </w:numPr>
      </w:pPr>
      <w:r>
        <w:rPr>
          <w:b/>
        </w:rPr>
        <w:t>推理</w:t>
      </w:r>
      <w:r>
        <w:t>：请求进入 → Scheduler 组批 → 到达 Attention QKV 投影时，Layer Dispatch 将调用路由到 Quantization Layer → 调用 Marlin Kernel 完成 INT4 × FP16 矩阵乘 → 结果返回上层。</w:t>
      </w:r>
    </w:p>
    <w:p>
      <w:pPr>
        <w:spacing w:after="80" w:line="290" w:lineRule="auto"/>
        <w:numPr>
          <w:ilvl w:val="0"/>
          <w:numId w:val="16"/>
        </w:numPr>
      </w:pPr>
      <w:r>
        <w:rPr>
          <w:b/>
        </w:rPr>
        <w:t>评估</w:t>
      </w:r>
      <w:r>
        <w:t>：若精度或吞吐不达预期，回到离线阶段更换配方后重新迭代。</w:t>
      </w:r>
    </w:p>
    <w:p>
      <w:pPr>
        <w:pStyle w:val="Heading2"/>
      </w:pPr>
      <w:r>
        <w:t>小结与边界</w:t>
      </w:r>
    </w:p>
    <w:p>
      <w:pPr/>
      <w:r>
        <w:t>vLLM 采用"</w:t>
      </w:r>
      <w:r>
        <w:rPr>
          <w:b/>
        </w:rPr>
        <w:t>元信息驱动的层替换</w:t>
      </w:r>
      <w:r>
        <w:t xml:space="preserve">"策略：离线阶段把量化决策固化进 </w:t>
      </w:r>
      <w:r>
        <w:rPr>
          <w:rFonts w:ascii="Consolas" w:hAnsi="Consolas" w:eastAsia="Microsoft YaHei"/>
          <w:color w:val="1F4D78"/>
          <w:sz w:val="19"/>
          <w:shd w:fill="EEF2F6"/>
        </w:rPr>
        <w:t>config.json</w:t>
      </w:r>
      <w:r>
        <w:t xml:space="preserve">，在线阶段由框架自动完成层替换与 Kernel 分发。需要注意：若 </w:t>
      </w:r>
      <w:r>
        <w:rPr>
          <w:rFonts w:ascii="Consolas" w:hAnsi="Consolas" w:eastAsia="Microsoft YaHei"/>
          <w:color w:val="1F4D78"/>
          <w:sz w:val="19"/>
          <w:shd w:fill="EEF2F6"/>
        </w:rPr>
        <w:t>config.json</w:t>
      </w:r>
      <w:r>
        <w:t xml:space="preserve"> 中量化字段缺失或格式异常，vLLM 将回退到标准精度路径；量化层替换发生在模型加载阶段而非运行时，切换方案需要重新加载模型。</w:t>
      </w:r>
    </w:p>
    <w:p>
      <w:pPr/>
      <w:r>
        <w:t>系统集成打通后，量化带来的收益不仅是显存的减少——更重要的是，显存缩减可以解锁全新的计算架构优化。</w:t>
      </w:r>
    </w:p>
    <w:p>
      <w:pPr>
        <w:pStyle w:val="Heading1"/>
      </w:pPr>
      <w:r>
        <w:t>六、优化原理与性能：显存缩减解锁 CFG 并行</w:t>
      </w:r>
    </w:p>
    <w:p>
      <w:pPr/>
      <w:r>
        <w:rPr>
          <w:b/>
        </w:rPr>
        <w:t>本节要回答的问题：</w:t>
      </w:r>
      <w:r>
        <w:t xml:space="preserve"> 除了"模型变小、能塞进更少的卡"，量化还能如何从架构层面成倍提升推理速度？</w:t>
      </w:r>
    </w:p>
    <w:p>
      <w:pPr>
        <w:pStyle w:val="Heading2"/>
      </w:pPr>
      <w:r>
        <w:t>背景与瓶颈：BF16 下 FLUX 的资源困局</w:t>
      </w:r>
    </w:p>
    <w:p>
      <w:pPr/>
      <w:r>
        <w:t xml:space="preserve">FLUX（一种扩散模型）的 Transformer 部分在 BF16 精度下占用约 </w:t>
      </w:r>
      <w:r>
        <w:rPr>
          <w:b/>
        </w:rPr>
        <w:t>23 GB</w:t>
      </w:r>
      <w:r>
        <w:t xml:space="preserve"> 显存。Intel XPU B60 单卡显存为 </w:t>
      </w:r>
      <w:r>
        <w:rPr>
          <w:b/>
        </w:rPr>
        <w:t>24 GB</w:t>
      </w:r>
      <w:r>
        <w:t xml:space="preserve">——即便不加载 VAE、文本编码器等其他组件，单卡也几乎无法放下 Transformer 本身。在不启用 CPU Offloading 的前提下，至少需要 </w:t>
      </w:r>
      <w:r>
        <w:rPr>
          <w:b/>
        </w:rPr>
        <w:t>4 卡张量并行（Tensor Parallel, TP = 4）</w:t>
      </w:r>
      <w:r>
        <w:t xml:space="preserve"> 才能启动推理。</w:t>
      </w:r>
    </w:p>
    <w:p>
      <w:pPr/>
      <w:r>
        <w:t>4 卡 TP 带来两个代价：一是每次 All-Reduce 引入跨卡通信延迟，Transformer 层数越多通信占比越高；二是每张卡除模型分片外还需维持通信缓冲与中间激活，有效利用率下降。</w:t>
      </w:r>
    </w:p>
    <w:p>
      <w:pPr/>
      <w:r>
        <w:t>在扩散模型中，</w:t>
      </w:r>
      <w:r>
        <w:rPr>
          <w:b/>
        </w:rPr>
        <w:t>CFG（Classifier-Free Guidance，无分类器引导）</w:t>
      </w:r>
      <w:r>
        <w:t xml:space="preserve"> 需要对同一噪声输入执行有条件分支和无条件分支两次前向计算，再将结果加权合并。BF16 + TP = 4 的配置下，4 张卡的显存已被模型占满，两个 CFG 分支只能</w:t>
      </w:r>
      <w:r>
        <w:rPr>
          <w:b/>
        </w:rPr>
        <w:t>串行执行</w:t>
      </w:r>
      <w:r>
        <w:t>，延迟直接翻倍。</w:t>
      </w:r>
    </w:p>
    <w:p>
      <w:pPr>
        <w:pStyle w:val="Heading2"/>
      </w:pPr>
      <w:r>
        <w:t>核心转折：W4A16 把 23 GB 压到 7 GB</w:t>
      </w:r>
    </w:p>
    <w:p>
      <w:pPr/>
      <w:r>
        <w:t xml:space="preserve">对 FLUX Transformer 施加 W4A16（权重 4-bit、激活 16-bit）AutoRound 量化后，权重显存从 23 GB 降至约 </w:t>
      </w:r>
      <w:r>
        <w:rPr>
          <w:b/>
        </w:rPr>
        <w:t>7 GB</w:t>
      </w:r>
      <w:r>
        <w:t>，与 4-bit / 16-bit ≈ 1/4 的理论值大致吻合（额外开销来自 Scale、Zero-Point 等元数据）。7 GB 的模型可以放入单张 24 GB B60 卡中，</w:t>
      </w:r>
      <w:r>
        <w:rPr>
          <w:b/>
        </w:rPr>
        <w:t>TP = 1 即可运行</w:t>
      </w:r>
      <w:r>
        <w:t>。若机器配备 4 张卡，则每张卡都拥有约 17 GB 空闲显存，为并行策略提供了空间。</w:t>
      </w:r>
    </w:p>
    <w:p>
      <w:pPr>
        <w:pStyle w:val="Heading2"/>
      </w:pPr>
      <w:r>
        <w:t>架构级加速：CFG 并行</w:t>
      </w:r>
    </w:p>
    <w:p>
      <w:pPr/>
      <w:r>
        <w:rPr>
          <w:b/>
        </w:rPr>
        <w:t>CFG Parallel（CFG 并行）</w:t>
      </w:r>
      <w:r>
        <w:t xml:space="preserve"> 的思路是：既然显存足够，就把有条件分支和无条件分支分别放到不同的卡上同时执行。以 TP = 2、CFG = 2 为例：</w:t>
      </w:r>
    </w:p>
    <w:p>
      <w:pPr>
        <w:spacing w:after="80" w:line="290" w:lineRule="auto"/>
        <w:numPr>
          <w:ilvl w:val="0"/>
          <w:numId w:val="17"/>
        </w:numPr>
      </w:pPr>
      <w:r>
        <w:rPr>
          <w:b/>
        </w:rPr>
        <w:t>卡 0 + 卡 1</w:t>
      </w:r>
      <w:r>
        <w:t xml:space="preserve"> 以 TP = 2 计算有条件分支；</w:t>
      </w:r>
    </w:p>
    <w:p>
      <w:pPr>
        <w:spacing w:after="80" w:line="290" w:lineRule="auto"/>
        <w:numPr>
          <w:ilvl w:val="0"/>
          <w:numId w:val="17"/>
        </w:numPr>
      </w:pPr>
      <w:r>
        <w:rPr>
          <w:b/>
        </w:rPr>
        <w:t>卡 2 + 卡 3</w:t>
      </w:r>
      <w:r>
        <w:t xml:space="preserve"> 同一时刻以 TP = 2 计算无条件分支；</w:t>
      </w:r>
    </w:p>
    <w:p>
      <w:pPr>
        <w:spacing w:after="80" w:line="290" w:lineRule="auto"/>
        <w:numPr>
          <w:ilvl w:val="0"/>
          <w:numId w:val="17"/>
        </w:numPr>
      </w:pPr>
      <w:r>
        <w:t>两个分支完成后合并引导结果，进入下一去噪步。</w:t>
      </w:r>
    </w:p>
    <w:p>
      <w:pPr/>
      <w:r>
        <w:t>对比 BF16 TP = 4、CFG = 1 的串行路径——4 张卡先算分支 A 再算分支 B——CFG 并行将两次串行前向折叠为一次并行前向。</w:t>
      </w:r>
    </w:p>
    <w:p>
      <w:pPr>
        <w:pStyle w:val="Heading2"/>
      </w:pPr>
      <w:r>
        <w:t>实测数据</w:t>
      </w:r>
    </w:p>
    <w:p>
      <w:pPr/>
      <w:r>
        <w:t>下图展示了不同配置下的显存与延迟对比，是量化工程价值的关键证据。</w:t>
      </w:r>
    </w:p>
    <w:p>
      <w:pPr>
        <w:keepNext/>
        <w:keepLines/>
        <w:spacing w:before="120" w:after="0"/>
        <w:jc w:val="center"/>
      </w:pPr>
      <w:r>
        <w:drawing>
          <wp:inline xmlns:a="http://schemas.openxmlformats.org/drawingml/2006/main" xmlns:pic="http://schemas.openxmlformats.org/drawingml/2006/picture">
            <wp:extent cx="5943600" cy="2597948"/>
            <wp:docPr id="7" name="Picture 7" descr="FLUX W4A16 量化在 Intel XPU B60 上的显存与延迟对比" title="FLUX W4A16 量化在 Intel XPU B60 上的显存与延迟对比"/>
            <wp:cNvGraphicFramePr>
              <a:graphicFrameLocks noChangeAspect="1"/>
            </wp:cNvGraphicFramePr>
            <a:graphic>
              <a:graphicData uri="http://schemas.openxmlformats.org/drawingml/2006/picture">
                <pic:pic>
                  <pic:nvPicPr>
                    <pic:cNvPr id="0" name="slide-25.png"/>
                    <pic:cNvPicPr/>
                  </pic:nvPicPr>
                  <pic:blipFill>
                    <a:blip r:embed="rId19"/>
                    <a:stretch>
                      <a:fillRect/>
                    </a:stretch>
                  </pic:blipFill>
                  <pic:spPr>
                    <a:xfrm>
                      <a:off x="0" y="0"/>
                      <a:ext cx="5943600" cy="2597948"/>
                    </a:xfrm>
                    <a:prstGeom prst="rect"/>
                  </pic:spPr>
                </pic:pic>
              </a:graphicData>
            </a:graphic>
          </wp:inline>
        </w:drawing>
      </w:r>
    </w:p>
    <w:p>
      <w:pPr/>
      <w:r>
        <w:rPr>
          <w:i/>
        </w:rPr>
        <w:t>图注：演讲 PPT 第 25 页。左侧柱状图展示 W4A16 在不同 TP 配置下相对于 BF16 TP = 4 的显存与延迟比；右侧展示 CFG 并行在 1024×1024 分辨率下的加速倍率。</w:t>
      </w:r>
    </w:p>
    <w:p>
      <w:pPr/>
      <w:r>
        <w:t>图中关键数据：</w:t>
      </w:r>
    </w:p>
    <w:tbl>
      <w:tblPr>
        <w:tblStyle w:val="TableGrid"/>
        <w:tblW w:type="dxa" w:w="9360"/>
        <w:jc w:val="left"/>
        <w:tblLayout w:type="fixed"/>
        <w:tblLook w:firstColumn="1" w:firstRow="1" w:lastColumn="0" w:lastRow="0" w:noHBand="0" w:noVBand="1" w:val="04A0"/>
        <w:tblInd w:w="120" w:type="dxa"/>
      </w:tblPr>
      <w:tblGrid>
        <w:gridCol w:w="3159"/>
        <w:gridCol w:w="1942"/>
        <w:gridCol w:w="2317"/>
        <w:gridCol w:w="1942"/>
      </w:tblGrid>
      <w:tr>
        <w:trPr>
          <w:tblHeader w:val="true"/>
        </w:trPr>
        <w:tc>
          <w:tcPr>
            <w:tcW w:type="dxa" w:w="3159"/>
            <w:vAlign w:val="center"/>
            <w:shd w:fill="F4F6F9"/>
            <w:tcMar>
              <w:top w:w="80" w:type="dxa"/>
              <w:start w:w="120" w:type="dxa"/>
              <w:bottom w:w="80" w:type="dxa"/>
              <w:end w:w="120" w:type="dxa"/>
            </w:tcMar>
          </w:tcPr>
          <w:p>
            <w:pPr>
              <w:spacing w:before="0" w:after="0" w:line="259" w:lineRule="auto"/>
            </w:pPr>
            <w:r>
              <w:rPr>
                <w:rFonts w:ascii="Calibri" w:hAnsi="Calibri" w:eastAsia="Microsoft YaHei"/>
                <w:b/>
                <w:color w:val="203748"/>
                <w:sz w:val="18"/>
              </w:rPr>
              <w:t>配置</w:t>
            </w:r>
          </w:p>
        </w:tc>
        <w:tc>
          <w:tcPr>
            <w:tcW w:type="dxa" w:w="1942"/>
            <w:vAlign w:val="center"/>
            <w:shd w:fill="F4F6F9"/>
            <w:tcMar>
              <w:top w:w="80" w:type="dxa"/>
              <w:start w:w="120" w:type="dxa"/>
              <w:bottom w:w="80" w:type="dxa"/>
              <w:end w:w="120" w:type="dxa"/>
            </w:tcMar>
          </w:tcPr>
          <w:p>
            <w:pPr>
              <w:spacing w:before="0" w:after="0" w:line="259" w:lineRule="auto"/>
              <w:jc w:val="center"/>
            </w:pPr>
            <w:r>
              <w:rPr>
                <w:rFonts w:ascii="Calibri" w:hAnsi="Calibri" w:eastAsia="Microsoft YaHei"/>
                <w:b/>
                <w:color w:val="203748"/>
                <w:sz w:val="18"/>
              </w:rPr>
              <w:t>相对显存</w:t>
            </w:r>
          </w:p>
        </w:tc>
        <w:tc>
          <w:tcPr>
            <w:tcW w:type="dxa" w:w="2317"/>
            <w:vAlign w:val="center"/>
            <w:shd w:fill="F4F6F9"/>
            <w:tcMar>
              <w:top w:w="80" w:type="dxa"/>
              <w:start w:w="120" w:type="dxa"/>
              <w:bottom w:w="80" w:type="dxa"/>
              <w:end w:w="120" w:type="dxa"/>
            </w:tcMar>
          </w:tcPr>
          <w:p>
            <w:pPr>
              <w:spacing w:before="0" w:after="0" w:line="259" w:lineRule="auto"/>
              <w:jc w:val="center"/>
            </w:pPr>
            <w:r>
              <w:rPr>
                <w:rFonts w:ascii="Calibri" w:hAnsi="Calibri" w:eastAsia="Microsoft YaHei"/>
                <w:b/>
                <w:color w:val="203748"/>
                <w:sz w:val="18"/>
              </w:rPr>
              <w:t>相对延迟</w:t>
            </w:r>
          </w:p>
        </w:tc>
        <w:tc>
          <w:tcPr>
            <w:tcW w:type="dxa" w:w="1942"/>
            <w:vAlign w:val="center"/>
            <w:shd w:fill="F4F6F9"/>
            <w:tcMar>
              <w:top w:w="80" w:type="dxa"/>
              <w:start w:w="120" w:type="dxa"/>
              <w:bottom w:w="80" w:type="dxa"/>
              <w:end w:w="120" w:type="dxa"/>
            </w:tcMar>
          </w:tcPr>
          <w:p>
            <w:pPr>
              <w:spacing w:before="0" w:after="0" w:line="259" w:lineRule="auto"/>
              <w:jc w:val="center"/>
            </w:pPr>
            <w:r>
              <w:rPr>
                <w:rFonts w:ascii="Calibri" w:hAnsi="Calibri" w:eastAsia="Microsoft YaHei"/>
                <w:b/>
                <w:color w:val="203748"/>
                <w:sz w:val="18"/>
              </w:rPr>
              <w:t>说明</w:t>
            </w:r>
          </w:p>
        </w:tc>
      </w:tr>
      <w:tr>
        <w:tc>
          <w:tcPr>
            <w:tcW w:type="dxa" w:w="3159"/>
            <w:vAlign w:val="center"/>
            <w:tcMar>
              <w:top w:w="80" w:type="dxa"/>
              <w:start w:w="120" w:type="dxa"/>
              <w:bottom w:w="80" w:type="dxa"/>
              <w:end w:w="120" w:type="dxa"/>
            </w:tcMar>
          </w:tcPr>
          <w:p>
            <w:pPr>
              <w:spacing w:before="0" w:after="0" w:line="259" w:lineRule="auto"/>
            </w:pPr>
            <w:r>
              <w:rPr>
                <w:rFonts w:ascii="Calibri" w:hAnsi="Calibri" w:eastAsia="Microsoft YaHei"/>
                <w:sz w:val="18"/>
              </w:rPr>
              <w:t>BF16, TP = 4, CFG = 1</w:t>
            </w:r>
          </w:p>
        </w:tc>
        <w:tc>
          <w:tcPr>
            <w:tcW w:type="dxa" w:w="1942"/>
            <w:vAlign w:val="center"/>
            <w:tcMar>
              <w:top w:w="80" w:type="dxa"/>
              <w:start w:w="120" w:type="dxa"/>
              <w:bottom w:w="80" w:type="dxa"/>
              <w:end w:w="120" w:type="dxa"/>
            </w:tcMar>
          </w:tcPr>
          <w:p>
            <w:pPr>
              <w:spacing w:before="0" w:after="0" w:line="259" w:lineRule="auto"/>
              <w:jc w:val="center"/>
            </w:pPr>
            <w:r>
              <w:rPr>
                <w:rFonts w:ascii="Calibri" w:hAnsi="Calibri" w:eastAsia="Microsoft YaHei"/>
                <w:sz w:val="18"/>
              </w:rPr>
              <w:t>1.00×（基线）</w:t>
            </w:r>
          </w:p>
        </w:tc>
        <w:tc>
          <w:tcPr>
            <w:tcW w:type="dxa" w:w="2317"/>
            <w:vAlign w:val="center"/>
            <w:tcMar>
              <w:top w:w="80" w:type="dxa"/>
              <w:start w:w="120" w:type="dxa"/>
              <w:bottom w:w="80" w:type="dxa"/>
              <w:end w:w="120" w:type="dxa"/>
            </w:tcMar>
          </w:tcPr>
          <w:p>
            <w:pPr>
              <w:spacing w:before="0" w:after="0" w:line="259" w:lineRule="auto"/>
              <w:jc w:val="center"/>
            </w:pPr>
            <w:r>
              <w:rPr>
                <w:rFonts w:ascii="Calibri" w:hAnsi="Calibri" w:eastAsia="Microsoft YaHei"/>
                <w:sz w:val="18"/>
              </w:rPr>
              <w:t>1.00×（基线）</w:t>
            </w:r>
          </w:p>
        </w:tc>
        <w:tc>
          <w:tcPr>
            <w:tcW w:type="dxa" w:w="1942"/>
            <w:vAlign w:val="center"/>
            <w:tcMar>
              <w:top w:w="80" w:type="dxa"/>
              <w:start w:w="120" w:type="dxa"/>
              <w:bottom w:w="80" w:type="dxa"/>
              <w:end w:w="120" w:type="dxa"/>
            </w:tcMar>
          </w:tcPr>
          <w:p>
            <w:pPr>
              <w:spacing w:before="0" w:after="0" w:line="259" w:lineRule="auto"/>
              <w:jc w:val="center"/>
            </w:pPr>
            <w:r>
              <w:rPr>
                <w:rFonts w:ascii="Calibri" w:hAnsi="Calibri" w:eastAsia="Microsoft YaHei"/>
                <w:sz w:val="18"/>
              </w:rPr>
              <w:t>4 卡串行 CFG</w:t>
            </w:r>
          </w:p>
        </w:tc>
      </w:tr>
      <w:tr>
        <w:tc>
          <w:tcPr>
            <w:tcW w:type="dxa" w:w="3159"/>
            <w:vAlign w:val="center"/>
            <w:tcMar>
              <w:top w:w="80" w:type="dxa"/>
              <w:start w:w="120" w:type="dxa"/>
              <w:bottom w:w="80" w:type="dxa"/>
              <w:end w:w="120" w:type="dxa"/>
            </w:tcMar>
          </w:tcPr>
          <w:p>
            <w:pPr>
              <w:spacing w:before="0" w:after="0" w:line="259" w:lineRule="auto"/>
            </w:pPr>
            <w:r>
              <w:rPr>
                <w:rFonts w:ascii="Calibri" w:hAnsi="Calibri" w:eastAsia="Microsoft YaHei"/>
                <w:sz w:val="18"/>
              </w:rPr>
              <w:t>W4A16, TP = 1</w:t>
            </w:r>
          </w:p>
        </w:tc>
        <w:tc>
          <w:tcPr>
            <w:tcW w:type="dxa" w:w="1942"/>
            <w:vAlign w:val="center"/>
            <w:tcMar>
              <w:top w:w="80" w:type="dxa"/>
              <w:start w:w="120" w:type="dxa"/>
              <w:bottom w:w="80" w:type="dxa"/>
              <w:end w:w="120" w:type="dxa"/>
            </w:tcMar>
          </w:tcPr>
          <w:p>
            <w:pPr>
              <w:spacing w:before="0" w:after="0" w:line="259" w:lineRule="auto"/>
              <w:jc w:val="center"/>
            </w:pPr>
            <w:r>
              <w:rPr>
                <w:rFonts w:ascii="Calibri" w:hAnsi="Calibri" w:eastAsia="Microsoft YaHei"/>
                <w:sz w:val="18"/>
              </w:rPr>
              <w:t>约 0.51×</w:t>
            </w:r>
          </w:p>
        </w:tc>
        <w:tc>
          <w:tcPr>
            <w:tcW w:type="dxa" w:w="2317"/>
            <w:vAlign w:val="center"/>
            <w:tcMar>
              <w:top w:w="80" w:type="dxa"/>
              <w:start w:w="120" w:type="dxa"/>
              <w:bottom w:w="80" w:type="dxa"/>
              <w:end w:w="120" w:type="dxa"/>
            </w:tcMar>
          </w:tcPr>
          <w:p>
            <w:pPr>
              <w:spacing w:before="0" w:after="0" w:line="259" w:lineRule="auto"/>
              <w:jc w:val="center"/>
            </w:pPr>
            <w:r>
              <w:rPr>
                <w:rFonts w:ascii="Calibri" w:hAnsi="Calibri" w:eastAsia="Microsoft YaHei"/>
                <w:sz w:val="18"/>
              </w:rPr>
              <w:t>—</w:t>
            </w:r>
          </w:p>
        </w:tc>
        <w:tc>
          <w:tcPr>
            <w:tcW w:type="dxa" w:w="1942"/>
            <w:vAlign w:val="center"/>
            <w:tcMar>
              <w:top w:w="80" w:type="dxa"/>
              <w:start w:w="120" w:type="dxa"/>
              <w:bottom w:w="80" w:type="dxa"/>
              <w:end w:w="120" w:type="dxa"/>
            </w:tcMar>
          </w:tcPr>
          <w:p>
            <w:pPr>
              <w:spacing w:before="0" w:after="0" w:line="259" w:lineRule="auto"/>
              <w:jc w:val="center"/>
            </w:pPr>
            <w:r>
              <w:rPr>
                <w:rFonts w:ascii="Calibri" w:hAnsi="Calibri" w:eastAsia="Microsoft YaHei"/>
                <w:sz w:val="18"/>
              </w:rPr>
              <w:t>单卡可运行</w:t>
            </w:r>
          </w:p>
        </w:tc>
      </w:tr>
      <w:tr>
        <w:tc>
          <w:tcPr>
            <w:tcW w:type="dxa" w:w="3159"/>
            <w:vAlign w:val="center"/>
            <w:tcMar>
              <w:top w:w="80" w:type="dxa"/>
              <w:start w:w="120" w:type="dxa"/>
              <w:bottom w:w="80" w:type="dxa"/>
              <w:end w:w="120" w:type="dxa"/>
            </w:tcMar>
          </w:tcPr>
          <w:p>
            <w:pPr>
              <w:spacing w:before="0" w:after="0" w:line="259" w:lineRule="auto"/>
            </w:pPr>
            <w:r>
              <w:rPr>
                <w:rFonts w:ascii="Calibri" w:hAnsi="Calibri" w:eastAsia="Microsoft YaHei"/>
                <w:sz w:val="18"/>
              </w:rPr>
              <w:t>W4A16, TP = 2, CFG = 2</w:t>
            </w:r>
          </w:p>
        </w:tc>
        <w:tc>
          <w:tcPr>
            <w:tcW w:type="dxa" w:w="1942"/>
            <w:vAlign w:val="center"/>
            <w:tcMar>
              <w:top w:w="80" w:type="dxa"/>
              <w:start w:w="120" w:type="dxa"/>
              <w:bottom w:w="80" w:type="dxa"/>
              <w:end w:w="120" w:type="dxa"/>
            </w:tcMar>
          </w:tcPr>
          <w:p>
            <w:pPr>
              <w:spacing w:before="0" w:after="0" w:line="259" w:lineRule="auto"/>
              <w:jc w:val="center"/>
            </w:pPr>
            <w:r>
              <w:rPr>
                <w:rFonts w:ascii="Calibri" w:hAnsi="Calibri" w:eastAsia="Microsoft YaHei"/>
                <w:sz w:val="18"/>
              </w:rPr>
              <w:t>—</w:t>
            </w:r>
          </w:p>
        </w:tc>
        <w:tc>
          <w:tcPr>
            <w:tcW w:type="dxa" w:w="2317"/>
            <w:vAlign w:val="center"/>
            <w:tcMar>
              <w:top w:w="80" w:type="dxa"/>
              <w:start w:w="120" w:type="dxa"/>
              <w:bottom w:w="80" w:type="dxa"/>
              <w:end w:w="120" w:type="dxa"/>
            </w:tcMar>
          </w:tcPr>
          <w:p>
            <w:pPr>
              <w:spacing w:before="0" w:after="0" w:line="259" w:lineRule="auto"/>
              <w:jc w:val="center"/>
            </w:pPr>
            <w:r>
              <w:rPr>
                <w:rFonts w:ascii="Calibri" w:hAnsi="Calibri" w:eastAsia="Microsoft YaHei"/>
                <w:sz w:val="18"/>
              </w:rPr>
              <w:t>约 0.61×–0.65×</w:t>
            </w:r>
          </w:p>
        </w:tc>
        <w:tc>
          <w:tcPr>
            <w:tcW w:type="dxa" w:w="1942"/>
            <w:vAlign w:val="center"/>
            <w:tcMar>
              <w:top w:w="80" w:type="dxa"/>
              <w:start w:w="120" w:type="dxa"/>
              <w:bottom w:w="80" w:type="dxa"/>
              <w:end w:w="120" w:type="dxa"/>
            </w:tcMar>
          </w:tcPr>
          <w:p>
            <w:pPr>
              <w:spacing w:before="0" w:after="0" w:line="259" w:lineRule="auto"/>
              <w:jc w:val="center"/>
            </w:pPr>
            <w:r>
              <w:rPr>
                <w:rFonts w:ascii="Calibri" w:hAnsi="Calibri" w:eastAsia="Microsoft YaHei"/>
                <w:sz w:val="18"/>
              </w:rPr>
              <w:t>两分支并行</w:t>
            </w:r>
          </w:p>
        </w:tc>
      </w:tr>
    </w:tbl>
    <w:p>
      <w:pPr>
        <w:spacing w:after="40"/>
      </w:pPr>
    </w:p>
    <w:p>
      <w:pPr/>
      <w:r>
        <w:t xml:space="preserve">在 </w:t>
      </w:r>
      <w:r>
        <w:rPr>
          <w:b/>
        </w:rPr>
        <w:t>1024×1024 分辨率、Intel XPU B60 硬件</w:t>
      </w:r>
      <w:r>
        <w:t xml:space="preserve">条件下，W4A16 TP = 2 + CFG Parallel 相对于 BF16 TP = 4 串行 CFG，实现了 </w:t>
      </w:r>
      <w:r>
        <w:rPr>
          <w:b/>
        </w:rPr>
        <w:t>1.55–1.67× 的端到端加速</w:t>
      </w:r>
      <w:r>
        <w:t>。加速来源可拆解为两部分：TP 从 4 降至 2 减少了通信开销；两个 CFG 分支并行执行使去噪循环的前向延迟近似减半。</w:t>
      </w:r>
    </w:p>
    <w:p>
      <w:pPr>
        <w:pStyle w:val="Heading2"/>
      </w:pPr>
      <w:r>
        <w:t>边界条件</w:t>
      </w:r>
    </w:p>
    <w:p>
      <w:pPr>
        <w:spacing w:after="80" w:line="290" w:lineRule="auto"/>
        <w:numPr>
          <w:ilvl w:val="0"/>
          <w:numId w:val="18"/>
        </w:numPr>
      </w:pPr>
      <w:r>
        <w:t>上述数字严格对应 Intel XPU B60（24 GB 显存），不同显存容量和互联带宽的硬件上收益会有差异。</w:t>
      </w:r>
    </w:p>
    <w:p>
      <w:pPr>
        <w:spacing w:after="80" w:line="290" w:lineRule="auto"/>
        <w:numPr>
          <w:ilvl w:val="0"/>
          <w:numId w:val="18"/>
        </w:numPr>
      </w:pPr>
      <w:r>
        <w:t>仅展示了 1024×1024 分辨率的结果，更高分辨率下激活显存增大，并行余量减少，加速比可能回落。</w:t>
      </w:r>
    </w:p>
    <w:p>
      <w:pPr>
        <w:spacing w:after="80" w:line="290" w:lineRule="auto"/>
        <w:numPr>
          <w:ilvl w:val="0"/>
          <w:numId w:val="18"/>
        </w:numPr>
      </w:pPr>
      <w:r>
        <w:t>CFG 并行仅适用于需要多分支引导的扩散模型推理场景，不能直接迁移至自回归 LLM 的 Decode 阶段。</w:t>
      </w:r>
    </w:p>
    <w:p>
      <w:pPr>
        <w:spacing w:after="80" w:line="290" w:lineRule="auto"/>
        <w:numPr>
          <w:ilvl w:val="0"/>
          <w:numId w:val="18"/>
        </w:numPr>
      </w:pPr>
      <w:r>
        <w:t>整条链路成立的前提是 W4A16 量化后的生成质量可接受——这正是下一节要检验的内容。</w:t>
      </w:r>
    </w:p>
    <w:p>
      <w:pPr>
        <w:pStyle w:val="Heading1"/>
      </w:pPr>
      <w:r>
        <w:t>七、边界情形：视频生成模型的一致性表现</w:t>
      </w:r>
    </w:p>
    <w:p>
      <w:pPr/>
      <w:r>
        <w:rPr>
          <w:b/>
        </w:rPr>
        <w:t>本节要回答的问题：</w:t>
      </w:r>
      <w:r>
        <w:t xml:space="preserve"> 将扩散模型权重从 BF16 压缩到 4-bit（W4A16），生成视频的时空一致性是否会出现可感知的退化？</w:t>
      </w:r>
    </w:p>
    <w:p>
      <w:pPr/>
      <w:r>
        <w:t>这一问题之所以关键，在于视频帧间的主体一致性和背景一致性对量化噪声极为敏感——细微的权重偏移可能在时间轴上被逐帧累积放大，最终导致闪烁、形变甚至结构崩坏。</w:t>
      </w:r>
    </w:p>
    <w:p>
      <w:pPr>
        <w:pStyle w:val="Heading2"/>
      </w:pPr>
      <w:r>
        <w:t>客观指标对比</w:t>
      </w:r>
    </w:p>
    <w:p>
      <w:pPr/>
      <w:r>
        <w:t>下图对比了 Wan2.2 系列模型在 T2V（Text-to-Video）和 I2V（Image-to-Video）两个任务上的多维度评估得分，用于判断量化是否造成了结构性退化。</w:t>
      </w:r>
    </w:p>
    <w:p>
      <w:pPr>
        <w:keepNext/>
        <w:keepLines/>
        <w:spacing w:before="120" w:after="0"/>
        <w:jc w:val="center"/>
      </w:pPr>
      <w:r>
        <w:drawing>
          <wp:inline xmlns:a="http://schemas.openxmlformats.org/drawingml/2006/main" xmlns:pic="http://schemas.openxmlformats.org/drawingml/2006/picture">
            <wp:extent cx="5943600" cy="2495454"/>
            <wp:docPr id="8" name="Picture 8" descr="Wan2.2 T2V 与 I2V 模型在 BF16 和 W4A16 下的多维度评估得分" title="Wan2.2 T2V 与 I2V 模型在 BF16 和 W4A16 下的多维度评估得分"/>
            <wp:cNvGraphicFramePr>
              <a:graphicFrameLocks noChangeAspect="1"/>
            </wp:cNvGraphicFramePr>
            <a:graphic>
              <a:graphicData uri="http://schemas.openxmlformats.org/drawingml/2006/picture">
                <pic:pic>
                  <pic:nvPicPr>
                    <pic:cNvPr id="0" name="slide-24.png"/>
                    <pic:cNvPicPr/>
                  </pic:nvPicPr>
                  <pic:blipFill>
                    <a:blip r:embed="rId20"/>
                    <a:stretch>
                      <a:fillRect/>
                    </a:stretch>
                  </pic:blipFill>
                  <pic:spPr>
                    <a:xfrm>
                      <a:off x="0" y="0"/>
                      <a:ext cx="5943600" cy="2495454"/>
                    </a:xfrm>
                    <a:prstGeom prst="rect"/>
                  </pic:spPr>
                </pic:pic>
              </a:graphicData>
            </a:graphic>
          </wp:inline>
        </w:drawing>
      </w:r>
    </w:p>
    <w:p>
      <w:pPr/>
      <w:r>
        <w:rPr>
          <w:i/>
        </w:rPr>
        <w:t>图注：Wan2.2 T2V-A14B 与 I2V-A14B 在 BF16 / W4A16 两种精度下的五项客观指标对比。来源：演讲 PPT 第 24 页。</w:t>
      </w:r>
    </w:p>
    <w:p>
      <w:pPr/>
      <w:r>
        <w:t>关键数值整理如下（加粗项表示量化后得分高于 BF16 基线）：</w:t>
      </w:r>
    </w:p>
    <w:tbl>
      <w:tblPr>
        <w:tblStyle w:val="TableGrid"/>
        <w:tblW w:type="dxa" w:w="9360"/>
        <w:jc w:val="left"/>
        <w:tblLayout w:type="fixed"/>
        <w:tblLook w:firstColumn="1" w:firstRow="1" w:lastColumn="0" w:lastRow="0" w:noHBand="0" w:noVBand="1" w:val="04A0"/>
        <w:tblInd w:w="120" w:type="dxa"/>
      </w:tblPr>
      <w:tblGrid>
        <w:gridCol w:w="2983"/>
        <w:gridCol w:w="1543"/>
        <w:gridCol w:w="1646"/>
        <w:gridCol w:w="1543"/>
        <w:gridCol w:w="1645"/>
      </w:tblGrid>
      <w:tr>
        <w:trPr>
          <w:tblHeader w:val="true"/>
        </w:trPr>
        <w:tc>
          <w:tcPr>
            <w:tcW w:type="dxa" w:w="2983"/>
            <w:vAlign w:val="center"/>
            <w:shd w:fill="F4F6F9"/>
            <w:tcMar>
              <w:top w:w="80" w:type="dxa"/>
              <w:start w:w="120" w:type="dxa"/>
              <w:bottom w:w="80" w:type="dxa"/>
              <w:end w:w="120" w:type="dxa"/>
            </w:tcMar>
          </w:tcPr>
          <w:p>
            <w:pPr>
              <w:spacing w:before="0" w:after="0" w:line="259" w:lineRule="auto"/>
            </w:pPr>
            <w:r>
              <w:rPr>
                <w:rFonts w:ascii="Calibri" w:hAnsi="Calibri" w:eastAsia="Microsoft YaHei"/>
                <w:b/>
                <w:color w:val="203748"/>
                <w:sz w:val="18"/>
              </w:rPr>
              <w:t>维度</w:t>
            </w:r>
          </w:p>
        </w:tc>
        <w:tc>
          <w:tcPr>
            <w:tcW w:type="dxa" w:w="1543"/>
            <w:vAlign w:val="center"/>
            <w:shd w:fill="F4F6F9"/>
            <w:tcMar>
              <w:top w:w="80" w:type="dxa"/>
              <w:start w:w="120" w:type="dxa"/>
              <w:bottom w:w="80" w:type="dxa"/>
              <w:end w:w="120" w:type="dxa"/>
            </w:tcMar>
          </w:tcPr>
          <w:p>
            <w:pPr>
              <w:spacing w:before="0" w:after="0" w:line="259" w:lineRule="auto"/>
              <w:jc w:val="center"/>
            </w:pPr>
            <w:r>
              <w:rPr>
                <w:rFonts w:ascii="Calibri" w:hAnsi="Calibri" w:eastAsia="Microsoft YaHei"/>
                <w:b/>
                <w:color w:val="203748"/>
                <w:sz w:val="18"/>
              </w:rPr>
              <w:t>T2V BF16</w:t>
            </w:r>
          </w:p>
        </w:tc>
        <w:tc>
          <w:tcPr>
            <w:tcW w:type="dxa" w:w="1646"/>
            <w:vAlign w:val="center"/>
            <w:shd w:fill="F4F6F9"/>
            <w:tcMar>
              <w:top w:w="80" w:type="dxa"/>
              <w:start w:w="120" w:type="dxa"/>
              <w:bottom w:w="80" w:type="dxa"/>
              <w:end w:w="120" w:type="dxa"/>
            </w:tcMar>
          </w:tcPr>
          <w:p>
            <w:pPr>
              <w:spacing w:before="0" w:after="0" w:line="259" w:lineRule="auto"/>
              <w:jc w:val="center"/>
            </w:pPr>
            <w:r>
              <w:rPr>
                <w:rFonts w:ascii="Calibri" w:hAnsi="Calibri" w:eastAsia="Microsoft YaHei"/>
                <w:b/>
                <w:color w:val="203748"/>
                <w:sz w:val="18"/>
              </w:rPr>
              <w:t>T2V W4A16</w:t>
            </w:r>
          </w:p>
        </w:tc>
        <w:tc>
          <w:tcPr>
            <w:tcW w:type="dxa" w:w="1543"/>
            <w:vAlign w:val="center"/>
            <w:shd w:fill="F4F6F9"/>
            <w:tcMar>
              <w:top w:w="80" w:type="dxa"/>
              <w:start w:w="120" w:type="dxa"/>
              <w:bottom w:w="80" w:type="dxa"/>
              <w:end w:w="120" w:type="dxa"/>
            </w:tcMar>
          </w:tcPr>
          <w:p>
            <w:pPr>
              <w:spacing w:before="0" w:after="0" w:line="259" w:lineRule="auto"/>
              <w:jc w:val="center"/>
            </w:pPr>
            <w:r>
              <w:rPr>
                <w:rFonts w:ascii="Calibri" w:hAnsi="Calibri" w:eastAsia="Microsoft YaHei"/>
                <w:b/>
                <w:color w:val="203748"/>
                <w:sz w:val="18"/>
              </w:rPr>
              <w:t>I2V BF16</w:t>
            </w:r>
          </w:p>
        </w:tc>
        <w:tc>
          <w:tcPr>
            <w:tcW w:type="dxa" w:w="1645"/>
            <w:vAlign w:val="center"/>
            <w:shd w:fill="F4F6F9"/>
            <w:tcMar>
              <w:top w:w="80" w:type="dxa"/>
              <w:start w:w="120" w:type="dxa"/>
              <w:bottom w:w="80" w:type="dxa"/>
              <w:end w:w="120" w:type="dxa"/>
            </w:tcMar>
          </w:tcPr>
          <w:p>
            <w:pPr>
              <w:spacing w:before="0" w:after="0" w:line="259" w:lineRule="auto"/>
              <w:jc w:val="center"/>
            </w:pPr>
            <w:r>
              <w:rPr>
                <w:rFonts w:ascii="Calibri" w:hAnsi="Calibri" w:eastAsia="Microsoft YaHei"/>
                <w:b/>
                <w:color w:val="203748"/>
                <w:sz w:val="18"/>
              </w:rPr>
              <w:t>I2V W4A16</w:t>
            </w:r>
          </w:p>
        </w:tc>
      </w:tr>
      <w:tr>
        <w:tc>
          <w:tcPr>
            <w:tcW w:type="dxa" w:w="2983"/>
            <w:vAlign w:val="center"/>
            <w:tcMar>
              <w:top w:w="80" w:type="dxa"/>
              <w:start w:w="120" w:type="dxa"/>
              <w:bottom w:w="80" w:type="dxa"/>
              <w:end w:w="120" w:type="dxa"/>
            </w:tcMar>
          </w:tcPr>
          <w:p>
            <w:pPr>
              <w:spacing w:before="0" w:after="0" w:line="259" w:lineRule="auto"/>
            </w:pPr>
            <w:r>
              <w:rPr>
                <w:rFonts w:ascii="Calibri" w:hAnsi="Calibri" w:eastAsia="Microsoft YaHei"/>
                <w:sz w:val="18"/>
              </w:rPr>
              <w:t>Subject Consistency</w:t>
            </w:r>
          </w:p>
        </w:tc>
        <w:tc>
          <w:tcPr>
            <w:tcW w:type="dxa" w:w="1543"/>
            <w:vAlign w:val="center"/>
            <w:tcMar>
              <w:top w:w="80" w:type="dxa"/>
              <w:start w:w="120" w:type="dxa"/>
              <w:bottom w:w="80" w:type="dxa"/>
              <w:end w:w="120" w:type="dxa"/>
            </w:tcMar>
          </w:tcPr>
          <w:p>
            <w:pPr>
              <w:spacing w:before="0" w:after="0" w:line="259" w:lineRule="auto"/>
              <w:jc w:val="center"/>
            </w:pPr>
            <w:r>
              <w:rPr>
                <w:rFonts w:ascii="Calibri" w:hAnsi="Calibri" w:eastAsia="Microsoft YaHei"/>
                <w:sz w:val="18"/>
              </w:rPr>
              <w:t>0.9508</w:t>
            </w:r>
          </w:p>
        </w:tc>
        <w:tc>
          <w:tcPr>
            <w:tcW w:type="dxa" w:w="1646"/>
            <w:vAlign w:val="center"/>
            <w:tcMar>
              <w:top w:w="80" w:type="dxa"/>
              <w:start w:w="120" w:type="dxa"/>
              <w:bottom w:w="80" w:type="dxa"/>
              <w:end w:w="120" w:type="dxa"/>
            </w:tcMar>
          </w:tcPr>
          <w:p>
            <w:pPr>
              <w:spacing w:before="0" w:after="0" w:line="259" w:lineRule="auto"/>
              <w:jc w:val="center"/>
            </w:pPr>
            <w:r>
              <w:rPr>
                <w:rFonts w:ascii="Calibri" w:hAnsi="Calibri" w:eastAsia="Microsoft YaHei"/>
                <w:b/>
                <w:sz w:val="18"/>
              </w:rPr>
              <w:t>0.9578</w:t>
            </w:r>
          </w:p>
        </w:tc>
        <w:tc>
          <w:tcPr>
            <w:tcW w:type="dxa" w:w="1543"/>
            <w:vAlign w:val="center"/>
            <w:tcMar>
              <w:top w:w="80" w:type="dxa"/>
              <w:start w:w="120" w:type="dxa"/>
              <w:bottom w:w="80" w:type="dxa"/>
              <w:end w:w="120" w:type="dxa"/>
            </w:tcMar>
          </w:tcPr>
          <w:p>
            <w:pPr>
              <w:spacing w:before="0" w:after="0" w:line="259" w:lineRule="auto"/>
              <w:jc w:val="center"/>
            </w:pPr>
            <w:r>
              <w:rPr>
                <w:rFonts w:ascii="Calibri" w:hAnsi="Calibri" w:eastAsia="Microsoft YaHei"/>
                <w:sz w:val="18"/>
              </w:rPr>
              <w:t>0.9752</w:t>
            </w:r>
          </w:p>
        </w:tc>
        <w:tc>
          <w:tcPr>
            <w:tcW w:type="dxa" w:w="1645"/>
            <w:vAlign w:val="center"/>
            <w:tcMar>
              <w:top w:w="80" w:type="dxa"/>
              <w:start w:w="120" w:type="dxa"/>
              <w:bottom w:w="80" w:type="dxa"/>
              <w:end w:w="120" w:type="dxa"/>
            </w:tcMar>
          </w:tcPr>
          <w:p>
            <w:pPr>
              <w:spacing w:before="0" w:after="0" w:line="259" w:lineRule="auto"/>
              <w:jc w:val="center"/>
            </w:pPr>
            <w:r>
              <w:rPr>
                <w:rFonts w:ascii="Calibri" w:hAnsi="Calibri" w:eastAsia="Microsoft YaHei"/>
                <w:sz w:val="18"/>
              </w:rPr>
              <w:t>0.9741</w:t>
            </w:r>
          </w:p>
        </w:tc>
      </w:tr>
      <w:tr>
        <w:tc>
          <w:tcPr>
            <w:tcW w:type="dxa" w:w="2983"/>
            <w:vAlign w:val="center"/>
            <w:tcMar>
              <w:top w:w="80" w:type="dxa"/>
              <w:start w:w="120" w:type="dxa"/>
              <w:bottom w:w="80" w:type="dxa"/>
              <w:end w:w="120" w:type="dxa"/>
            </w:tcMar>
          </w:tcPr>
          <w:p>
            <w:pPr>
              <w:spacing w:before="0" w:after="0" w:line="259" w:lineRule="auto"/>
            </w:pPr>
            <w:r>
              <w:rPr>
                <w:rFonts w:ascii="Calibri" w:hAnsi="Calibri" w:eastAsia="Microsoft YaHei"/>
                <w:sz w:val="18"/>
              </w:rPr>
              <w:t>Background Consistency</w:t>
            </w:r>
          </w:p>
        </w:tc>
        <w:tc>
          <w:tcPr>
            <w:tcW w:type="dxa" w:w="1543"/>
            <w:vAlign w:val="center"/>
            <w:tcMar>
              <w:top w:w="80" w:type="dxa"/>
              <w:start w:w="120" w:type="dxa"/>
              <w:bottom w:w="80" w:type="dxa"/>
              <w:end w:w="120" w:type="dxa"/>
            </w:tcMar>
          </w:tcPr>
          <w:p>
            <w:pPr>
              <w:spacing w:before="0" w:after="0" w:line="259" w:lineRule="auto"/>
              <w:jc w:val="center"/>
            </w:pPr>
            <w:r>
              <w:rPr>
                <w:rFonts w:ascii="Calibri" w:hAnsi="Calibri" w:eastAsia="Microsoft YaHei"/>
                <w:sz w:val="18"/>
              </w:rPr>
              <w:t>0.9449</w:t>
            </w:r>
          </w:p>
        </w:tc>
        <w:tc>
          <w:tcPr>
            <w:tcW w:type="dxa" w:w="1646"/>
            <w:vAlign w:val="center"/>
            <w:tcMar>
              <w:top w:w="80" w:type="dxa"/>
              <w:start w:w="120" w:type="dxa"/>
              <w:bottom w:w="80" w:type="dxa"/>
              <w:end w:w="120" w:type="dxa"/>
            </w:tcMar>
          </w:tcPr>
          <w:p>
            <w:pPr>
              <w:spacing w:before="0" w:after="0" w:line="259" w:lineRule="auto"/>
              <w:jc w:val="center"/>
            </w:pPr>
            <w:r>
              <w:rPr>
                <w:rFonts w:ascii="Calibri" w:hAnsi="Calibri" w:eastAsia="Microsoft YaHei"/>
                <w:b/>
                <w:sz w:val="18"/>
              </w:rPr>
              <w:t>0.9465</w:t>
            </w:r>
          </w:p>
        </w:tc>
        <w:tc>
          <w:tcPr>
            <w:tcW w:type="dxa" w:w="1543"/>
            <w:vAlign w:val="center"/>
            <w:tcMar>
              <w:top w:w="80" w:type="dxa"/>
              <w:start w:w="120" w:type="dxa"/>
              <w:bottom w:w="80" w:type="dxa"/>
              <w:end w:w="120" w:type="dxa"/>
            </w:tcMar>
          </w:tcPr>
          <w:p>
            <w:pPr>
              <w:spacing w:before="0" w:after="0" w:line="259" w:lineRule="auto"/>
              <w:jc w:val="center"/>
            </w:pPr>
            <w:r>
              <w:rPr>
                <w:rFonts w:ascii="Calibri" w:hAnsi="Calibri" w:eastAsia="Microsoft YaHei"/>
                <w:sz w:val="18"/>
              </w:rPr>
              <w:t>0.9704</w:t>
            </w:r>
          </w:p>
        </w:tc>
        <w:tc>
          <w:tcPr>
            <w:tcW w:type="dxa" w:w="1645"/>
            <w:vAlign w:val="center"/>
            <w:tcMar>
              <w:top w:w="80" w:type="dxa"/>
              <w:start w:w="120" w:type="dxa"/>
              <w:bottom w:w="80" w:type="dxa"/>
              <w:end w:w="120" w:type="dxa"/>
            </w:tcMar>
          </w:tcPr>
          <w:p>
            <w:pPr>
              <w:spacing w:before="0" w:after="0" w:line="259" w:lineRule="auto"/>
              <w:jc w:val="center"/>
            </w:pPr>
            <w:r>
              <w:rPr>
                <w:rFonts w:ascii="Calibri" w:hAnsi="Calibri" w:eastAsia="Microsoft YaHei"/>
                <w:sz w:val="18"/>
              </w:rPr>
              <w:t>0.9691</w:t>
            </w:r>
          </w:p>
        </w:tc>
      </w:tr>
      <w:tr>
        <w:tc>
          <w:tcPr>
            <w:tcW w:type="dxa" w:w="2983"/>
            <w:vAlign w:val="center"/>
            <w:tcMar>
              <w:top w:w="80" w:type="dxa"/>
              <w:start w:w="120" w:type="dxa"/>
              <w:bottom w:w="80" w:type="dxa"/>
              <w:end w:w="120" w:type="dxa"/>
            </w:tcMar>
          </w:tcPr>
          <w:p>
            <w:pPr>
              <w:spacing w:before="0" w:after="0" w:line="259" w:lineRule="auto"/>
            </w:pPr>
            <w:r>
              <w:rPr>
                <w:rFonts w:ascii="Calibri" w:hAnsi="Calibri" w:eastAsia="Microsoft YaHei"/>
                <w:sz w:val="18"/>
              </w:rPr>
              <w:t>Aesthetic Quality</w:t>
            </w:r>
          </w:p>
        </w:tc>
        <w:tc>
          <w:tcPr>
            <w:tcW w:type="dxa" w:w="1543"/>
            <w:vAlign w:val="center"/>
            <w:tcMar>
              <w:top w:w="80" w:type="dxa"/>
              <w:start w:w="120" w:type="dxa"/>
              <w:bottom w:w="80" w:type="dxa"/>
              <w:end w:w="120" w:type="dxa"/>
            </w:tcMar>
          </w:tcPr>
          <w:p>
            <w:pPr>
              <w:spacing w:before="0" w:after="0" w:line="259" w:lineRule="auto"/>
              <w:jc w:val="center"/>
            </w:pPr>
            <w:r>
              <w:rPr>
                <w:rFonts w:ascii="Calibri" w:hAnsi="Calibri" w:eastAsia="Microsoft YaHei"/>
                <w:sz w:val="18"/>
              </w:rPr>
              <w:t>0.5730</w:t>
            </w:r>
          </w:p>
        </w:tc>
        <w:tc>
          <w:tcPr>
            <w:tcW w:type="dxa" w:w="1646"/>
            <w:vAlign w:val="center"/>
            <w:tcMar>
              <w:top w:w="80" w:type="dxa"/>
              <w:start w:w="120" w:type="dxa"/>
              <w:bottom w:w="80" w:type="dxa"/>
              <w:end w:w="120" w:type="dxa"/>
            </w:tcMar>
          </w:tcPr>
          <w:p>
            <w:pPr>
              <w:spacing w:before="0" w:after="0" w:line="259" w:lineRule="auto"/>
              <w:jc w:val="center"/>
            </w:pPr>
            <w:r>
              <w:rPr>
                <w:rFonts w:ascii="Calibri" w:hAnsi="Calibri" w:eastAsia="Microsoft YaHei"/>
                <w:b/>
                <w:sz w:val="18"/>
              </w:rPr>
              <w:t>0.5980</w:t>
            </w:r>
          </w:p>
        </w:tc>
        <w:tc>
          <w:tcPr>
            <w:tcW w:type="dxa" w:w="1543"/>
            <w:vAlign w:val="center"/>
            <w:tcMar>
              <w:top w:w="80" w:type="dxa"/>
              <w:start w:w="120" w:type="dxa"/>
              <w:bottom w:w="80" w:type="dxa"/>
              <w:end w:w="120" w:type="dxa"/>
            </w:tcMar>
          </w:tcPr>
          <w:p>
            <w:pPr>
              <w:spacing w:before="0" w:after="0" w:line="259" w:lineRule="auto"/>
              <w:jc w:val="center"/>
            </w:pPr>
            <w:r>
              <w:rPr>
                <w:rFonts w:ascii="Calibri" w:hAnsi="Calibri" w:eastAsia="Microsoft YaHei"/>
                <w:sz w:val="18"/>
              </w:rPr>
              <w:t>0.6241</w:t>
            </w:r>
          </w:p>
        </w:tc>
        <w:tc>
          <w:tcPr>
            <w:tcW w:type="dxa" w:w="1645"/>
            <w:vAlign w:val="center"/>
            <w:tcMar>
              <w:top w:w="80" w:type="dxa"/>
              <w:start w:w="120" w:type="dxa"/>
              <w:bottom w:w="80" w:type="dxa"/>
              <w:end w:w="120" w:type="dxa"/>
            </w:tcMar>
          </w:tcPr>
          <w:p>
            <w:pPr>
              <w:spacing w:before="0" w:after="0" w:line="259" w:lineRule="auto"/>
              <w:jc w:val="center"/>
            </w:pPr>
            <w:r>
              <w:rPr>
                <w:rFonts w:ascii="Calibri" w:hAnsi="Calibri" w:eastAsia="Microsoft YaHei"/>
                <w:sz w:val="18"/>
              </w:rPr>
              <w:t>0.6089</w:t>
            </w:r>
          </w:p>
        </w:tc>
      </w:tr>
      <w:tr>
        <w:tc>
          <w:tcPr>
            <w:tcW w:type="dxa" w:w="2983"/>
            <w:vAlign w:val="center"/>
            <w:tcMar>
              <w:top w:w="80" w:type="dxa"/>
              <w:start w:w="120" w:type="dxa"/>
              <w:bottom w:w="80" w:type="dxa"/>
              <w:end w:w="120" w:type="dxa"/>
            </w:tcMar>
          </w:tcPr>
          <w:p>
            <w:pPr>
              <w:spacing w:before="0" w:after="0" w:line="259" w:lineRule="auto"/>
            </w:pPr>
            <w:r>
              <w:rPr>
                <w:rFonts w:ascii="Calibri" w:hAnsi="Calibri" w:eastAsia="Microsoft YaHei"/>
                <w:sz w:val="18"/>
              </w:rPr>
              <w:t>Imaging Quality</w:t>
            </w:r>
          </w:p>
        </w:tc>
        <w:tc>
          <w:tcPr>
            <w:tcW w:type="dxa" w:w="1543"/>
            <w:vAlign w:val="center"/>
            <w:tcMar>
              <w:top w:w="80" w:type="dxa"/>
              <w:start w:w="120" w:type="dxa"/>
              <w:bottom w:w="80" w:type="dxa"/>
              <w:end w:w="120" w:type="dxa"/>
            </w:tcMar>
          </w:tcPr>
          <w:p>
            <w:pPr>
              <w:spacing w:before="0" w:after="0" w:line="259" w:lineRule="auto"/>
              <w:jc w:val="center"/>
            </w:pPr>
            <w:r>
              <w:rPr>
                <w:rFonts w:ascii="Calibri" w:hAnsi="Calibri" w:eastAsia="Microsoft YaHei"/>
                <w:sz w:val="18"/>
              </w:rPr>
              <w:t>0.6623</w:t>
            </w:r>
          </w:p>
        </w:tc>
        <w:tc>
          <w:tcPr>
            <w:tcW w:type="dxa" w:w="1646"/>
            <w:vAlign w:val="center"/>
            <w:tcMar>
              <w:top w:w="80" w:type="dxa"/>
              <w:start w:w="120" w:type="dxa"/>
              <w:bottom w:w="80" w:type="dxa"/>
              <w:end w:w="120" w:type="dxa"/>
            </w:tcMar>
          </w:tcPr>
          <w:p>
            <w:pPr>
              <w:spacing w:before="0" w:after="0" w:line="259" w:lineRule="auto"/>
              <w:jc w:val="center"/>
            </w:pPr>
            <w:r>
              <w:rPr>
                <w:rFonts w:ascii="Calibri" w:hAnsi="Calibri" w:eastAsia="Microsoft YaHei"/>
                <w:sz w:val="18"/>
              </w:rPr>
              <w:t>0.6591</w:t>
            </w:r>
          </w:p>
        </w:tc>
        <w:tc>
          <w:tcPr>
            <w:tcW w:type="dxa" w:w="1543"/>
            <w:vAlign w:val="center"/>
            <w:tcMar>
              <w:top w:w="80" w:type="dxa"/>
              <w:start w:w="120" w:type="dxa"/>
              <w:bottom w:w="80" w:type="dxa"/>
              <w:end w:w="120" w:type="dxa"/>
            </w:tcMar>
          </w:tcPr>
          <w:p>
            <w:pPr>
              <w:spacing w:before="0" w:after="0" w:line="259" w:lineRule="auto"/>
              <w:jc w:val="center"/>
            </w:pPr>
            <w:r>
              <w:rPr>
                <w:rFonts w:ascii="Calibri" w:hAnsi="Calibri" w:eastAsia="Microsoft YaHei"/>
                <w:sz w:val="18"/>
              </w:rPr>
              <w:t>0.6832</w:t>
            </w:r>
          </w:p>
        </w:tc>
        <w:tc>
          <w:tcPr>
            <w:tcW w:type="dxa" w:w="1645"/>
            <w:vAlign w:val="center"/>
            <w:tcMar>
              <w:top w:w="80" w:type="dxa"/>
              <w:start w:w="120" w:type="dxa"/>
              <w:bottom w:w="80" w:type="dxa"/>
              <w:end w:w="120" w:type="dxa"/>
            </w:tcMar>
          </w:tcPr>
          <w:p>
            <w:pPr>
              <w:spacing w:before="0" w:after="0" w:line="259" w:lineRule="auto"/>
              <w:jc w:val="center"/>
            </w:pPr>
            <w:r>
              <w:rPr>
                <w:rFonts w:ascii="Calibri" w:hAnsi="Calibri" w:eastAsia="Microsoft YaHei"/>
                <w:sz w:val="18"/>
              </w:rPr>
              <w:t>0.6679</w:t>
            </w:r>
          </w:p>
        </w:tc>
      </w:tr>
      <w:tr>
        <w:tc>
          <w:tcPr>
            <w:tcW w:type="dxa" w:w="2983"/>
            <w:vAlign w:val="center"/>
            <w:tcMar>
              <w:top w:w="80" w:type="dxa"/>
              <w:start w:w="120" w:type="dxa"/>
              <w:bottom w:w="80" w:type="dxa"/>
              <w:end w:w="120" w:type="dxa"/>
            </w:tcMar>
          </w:tcPr>
          <w:p>
            <w:pPr>
              <w:spacing w:before="0" w:after="0" w:line="259" w:lineRule="auto"/>
            </w:pPr>
            <w:r>
              <w:rPr>
                <w:rFonts w:ascii="Calibri" w:hAnsi="Calibri" w:eastAsia="Microsoft YaHei"/>
                <w:sz w:val="18"/>
              </w:rPr>
              <w:t>Weighted Average</w:t>
            </w:r>
          </w:p>
        </w:tc>
        <w:tc>
          <w:tcPr>
            <w:tcW w:type="dxa" w:w="1543"/>
            <w:vAlign w:val="center"/>
            <w:tcMar>
              <w:top w:w="80" w:type="dxa"/>
              <w:start w:w="120" w:type="dxa"/>
              <w:bottom w:w="80" w:type="dxa"/>
              <w:end w:w="120" w:type="dxa"/>
            </w:tcMar>
          </w:tcPr>
          <w:p>
            <w:pPr>
              <w:spacing w:before="0" w:after="0" w:line="259" w:lineRule="auto"/>
              <w:jc w:val="center"/>
            </w:pPr>
            <w:r>
              <w:rPr>
                <w:rFonts w:ascii="Calibri" w:hAnsi="Calibri" w:eastAsia="Microsoft YaHei"/>
                <w:sz w:val="18"/>
              </w:rPr>
              <w:t>0.7827</w:t>
            </w:r>
          </w:p>
        </w:tc>
        <w:tc>
          <w:tcPr>
            <w:tcW w:type="dxa" w:w="1646"/>
            <w:vAlign w:val="center"/>
            <w:tcMar>
              <w:top w:w="80" w:type="dxa"/>
              <w:start w:w="120" w:type="dxa"/>
              <w:bottom w:w="80" w:type="dxa"/>
              <w:end w:w="120" w:type="dxa"/>
            </w:tcMar>
          </w:tcPr>
          <w:p>
            <w:pPr>
              <w:spacing w:before="0" w:after="0" w:line="259" w:lineRule="auto"/>
              <w:jc w:val="center"/>
            </w:pPr>
            <w:r>
              <w:rPr>
                <w:rFonts w:ascii="Calibri" w:hAnsi="Calibri" w:eastAsia="Microsoft YaHei"/>
                <w:b/>
                <w:sz w:val="18"/>
              </w:rPr>
              <w:t>0.7904</w:t>
            </w:r>
          </w:p>
        </w:tc>
        <w:tc>
          <w:tcPr>
            <w:tcW w:type="dxa" w:w="1543"/>
            <w:vAlign w:val="center"/>
            <w:tcMar>
              <w:top w:w="80" w:type="dxa"/>
              <w:start w:w="120" w:type="dxa"/>
              <w:bottom w:w="80" w:type="dxa"/>
              <w:end w:w="120" w:type="dxa"/>
            </w:tcMar>
          </w:tcPr>
          <w:p>
            <w:pPr>
              <w:spacing w:before="0" w:after="0" w:line="259" w:lineRule="auto"/>
              <w:jc w:val="center"/>
            </w:pPr>
            <w:r>
              <w:rPr>
                <w:rFonts w:ascii="Calibri" w:hAnsi="Calibri" w:eastAsia="Microsoft YaHei"/>
                <w:sz w:val="18"/>
              </w:rPr>
              <w:t>0.8132</w:t>
            </w:r>
          </w:p>
        </w:tc>
        <w:tc>
          <w:tcPr>
            <w:tcW w:type="dxa" w:w="1645"/>
            <w:vAlign w:val="center"/>
            <w:tcMar>
              <w:top w:w="80" w:type="dxa"/>
              <w:start w:w="120" w:type="dxa"/>
              <w:bottom w:w="80" w:type="dxa"/>
              <w:end w:w="120" w:type="dxa"/>
            </w:tcMar>
          </w:tcPr>
          <w:p>
            <w:pPr>
              <w:spacing w:before="0" w:after="0" w:line="259" w:lineRule="auto"/>
              <w:jc w:val="center"/>
            </w:pPr>
            <w:r>
              <w:rPr>
                <w:rFonts w:ascii="Calibri" w:hAnsi="Calibri" w:eastAsia="Microsoft YaHei"/>
                <w:sz w:val="18"/>
              </w:rPr>
              <w:t>0.8050</w:t>
            </w:r>
          </w:p>
        </w:tc>
      </w:tr>
    </w:tbl>
    <w:p>
      <w:pPr>
        <w:spacing w:after="40"/>
      </w:pPr>
    </w:p>
    <w:p>
      <w:pPr/>
      <w:r>
        <w:rPr>
          <w:b/>
        </w:rPr>
        <w:t>T2V 场景</w:t>
      </w:r>
      <w:r>
        <w:t>：W4A16 的 Subject Consistency 从 0.9508 上升至 0.9578，Background Consistency 同样有约 0.002 的正向偏移。加权平均从 0.7827 升至 0.7904，量化版本整体略优。唯一轻微下降的维度是 Imaging Quality（0.6623→0.6591），绝对差值仅 0.003。</w:t>
      </w:r>
    </w:p>
    <w:p>
      <w:pPr/>
      <w:r>
        <w:rPr>
          <w:b/>
        </w:rPr>
        <w:t>I2V 场景</w:t>
      </w:r>
      <w:r>
        <w:t>：所有五项指标的 W4A16 得分均略低于 BF16 基线，但下降幅度极小——最大差距出现在 Aesthetic Quality 上，约 0.015。时间一致性相关的两项核心指标降幅均不超过 0.002，说明 4-bit 量化并未在时间轴上引入可累积的退化。</w:t>
      </w:r>
    </w:p>
    <w:p>
      <w:pPr>
        <w:pStyle w:val="Heading2"/>
      </w:pPr>
      <w:r>
        <w:t>为什么量化没有导致画面崩坏</w:t>
      </w:r>
    </w:p>
    <w:p>
      <w:pPr/>
      <w:r>
        <w:t>AutoRound 的截断优化在校准阶段联合调整每组权重的截断边界与舍入策略：截断边界收窄使量化区间更紧凑，有效抑制离群值对重建误差的贡献；舍入方向联合优化使每层输出分布与 BF16 基线的逐块误差被最小化。两者叠加后，决定主体轮廓和背景结构的关键特征通道的分布得以保留。</w:t>
      </w:r>
    </w:p>
    <w:p>
      <w:pPr/>
      <w:r>
        <w:t>对于 T2V 中出现的微幅提升，一个合理推断是：截断优化在收窄权重范围时客观上起到了类似正则化（Regularization）的作用，削弱了极端权重值对生成帧的干扰。需要强调，这种提升幅度很小，演讲材料将其定性为边缘（marginal）改善，不能作为量化优于全精度的一般性结论。</w:t>
      </w:r>
    </w:p>
    <w:p>
      <w:pPr>
        <w:pStyle w:val="Heading2"/>
      </w:pPr>
      <w:r>
        <w:t>边界条件</w:t>
      </w:r>
    </w:p>
    <w:p>
      <w:pPr/>
      <w:r>
        <w:t>演讲材料未给出所用评估数据集的具体规模与采样策略，也未提供更低比特（如 W2 或 W3）下的对应数据。上述结论目前仅适用于 W4A16 精度与 Wan2.2-A14B 规模模型；更小模型或更低比特设定下的表现仍待验证。</w:t>
      </w:r>
    </w:p>
    <w:p>
      <w:pPr>
        <w:pStyle w:val="Heading1"/>
      </w:pPr>
      <w:r>
        <w:t>八、局限与实践：硬件原生支持与配置权衡</w:t>
      </w:r>
    </w:p>
    <w:p>
      <w:pPr/>
      <w:r>
        <w:rPr>
          <w:b/>
        </w:rPr>
        <w:t>本节要回答的问题：</w:t>
      </w:r>
      <w:r>
        <w:t xml:space="preserve"> 在实际部署中，量化模型无法获得预期加速的最常见原因是什么？</w:t>
      </w:r>
    </w:p>
    <w:p>
      <w:pPr/>
      <w:r>
        <w:t>答案可以归结为两点：底层硬件缺少对目标低比特数据类型的原生 Kernel 支持；量化配方的参数选择与业务场景不匹配。</w:t>
      </w:r>
    </w:p>
    <w:p>
      <w:pPr>
        <w:pStyle w:val="Heading2"/>
      </w:pPr>
      <w:r>
        <w:t>第一道关卡：硬件支持什么</w:t>
      </w:r>
    </w:p>
    <w:p>
      <w:pPr/>
      <w:r>
        <w:t>在选择量化方案之前，首先需要确认的不是"哪个精度最低"，而是"目标 GPU 原生支持哪些低比特类型"。如果硬件没有成熟的 Kernel 实现，量化的理论收益只停留在纸面。</w:t>
      </w:r>
    </w:p>
    <w:p>
      <w:pPr/>
      <w:r>
        <w:t>以 Intel 当前及规划中的硬件为例：</w:t>
      </w:r>
    </w:p>
    <w:tbl>
      <w:tblPr>
        <w:tblStyle w:val="TableGrid"/>
        <w:tblW w:type="dxa" w:w="9360"/>
        <w:jc w:val="left"/>
        <w:tblLayout w:type="fixed"/>
        <w:tblLook w:firstColumn="1" w:firstRow="1" w:lastColumn="0" w:lastRow="0" w:noHBand="0" w:noVBand="1" w:val="04A0"/>
        <w:tblInd w:w="120" w:type="dxa"/>
      </w:tblPr>
      <w:tblGrid>
        <w:gridCol w:w="4004"/>
        <w:gridCol w:w="3246"/>
        <w:gridCol w:w="2110"/>
      </w:tblGrid>
      <w:tr>
        <w:trPr>
          <w:tblHeader w:val="true"/>
        </w:trPr>
        <w:tc>
          <w:tcPr>
            <w:tcW w:type="dxa" w:w="4004"/>
            <w:vAlign w:val="center"/>
            <w:shd w:fill="F4F6F9"/>
            <w:tcMar>
              <w:top w:w="80" w:type="dxa"/>
              <w:start w:w="120" w:type="dxa"/>
              <w:bottom w:w="80" w:type="dxa"/>
              <w:end w:w="120" w:type="dxa"/>
            </w:tcMar>
          </w:tcPr>
          <w:p>
            <w:pPr>
              <w:spacing w:before="0" w:after="0" w:line="259" w:lineRule="auto"/>
            </w:pPr>
            <w:r>
              <w:rPr>
                <w:rFonts w:ascii="Calibri" w:hAnsi="Calibri" w:eastAsia="Microsoft YaHei"/>
                <w:b/>
                <w:color w:val="203748"/>
                <w:sz w:val="18"/>
              </w:rPr>
              <w:t>硬件产品</w:t>
            </w:r>
          </w:p>
        </w:tc>
        <w:tc>
          <w:tcPr>
            <w:tcW w:type="dxa" w:w="3246"/>
            <w:vAlign w:val="center"/>
            <w:shd w:fill="F4F6F9"/>
            <w:tcMar>
              <w:top w:w="80" w:type="dxa"/>
              <w:start w:w="120" w:type="dxa"/>
              <w:bottom w:w="80" w:type="dxa"/>
              <w:end w:w="120" w:type="dxa"/>
            </w:tcMar>
          </w:tcPr>
          <w:p>
            <w:pPr>
              <w:spacing w:before="0" w:after="0" w:line="259" w:lineRule="auto"/>
              <w:jc w:val="center"/>
            </w:pPr>
            <w:r>
              <w:rPr>
                <w:rFonts w:ascii="Calibri" w:hAnsi="Calibri" w:eastAsia="Microsoft YaHei"/>
                <w:b/>
                <w:color w:val="203748"/>
                <w:sz w:val="18"/>
              </w:rPr>
              <w:t>原生支持的低比特类型</w:t>
            </w:r>
          </w:p>
        </w:tc>
        <w:tc>
          <w:tcPr>
            <w:tcW w:type="dxa" w:w="2110"/>
            <w:vAlign w:val="center"/>
            <w:shd w:fill="F4F6F9"/>
            <w:tcMar>
              <w:top w:w="80" w:type="dxa"/>
              <w:start w:w="120" w:type="dxa"/>
              <w:bottom w:w="80" w:type="dxa"/>
              <w:end w:w="120" w:type="dxa"/>
            </w:tcMar>
          </w:tcPr>
          <w:p>
            <w:pPr>
              <w:spacing w:before="0" w:after="0" w:line="259" w:lineRule="auto"/>
              <w:jc w:val="center"/>
            </w:pPr>
            <w:r>
              <w:rPr>
                <w:rFonts w:ascii="Calibri" w:hAnsi="Calibri" w:eastAsia="Microsoft YaHei"/>
                <w:b/>
                <w:color w:val="203748"/>
                <w:sz w:val="18"/>
              </w:rPr>
              <w:t>可用时间</w:t>
            </w:r>
          </w:p>
        </w:tc>
      </w:tr>
      <w:tr>
        <w:tc>
          <w:tcPr>
            <w:tcW w:type="dxa" w:w="4004"/>
            <w:vAlign w:val="center"/>
            <w:tcMar>
              <w:top w:w="80" w:type="dxa"/>
              <w:start w:w="120" w:type="dxa"/>
              <w:bottom w:w="80" w:type="dxa"/>
              <w:end w:w="120" w:type="dxa"/>
            </w:tcMar>
          </w:tcPr>
          <w:p>
            <w:pPr>
              <w:spacing w:before="0" w:after="0" w:line="259" w:lineRule="auto"/>
            </w:pPr>
            <w:r>
              <w:rPr>
                <w:rFonts w:ascii="Calibri" w:hAnsi="Calibri" w:eastAsia="Microsoft YaHei"/>
                <w:sz w:val="18"/>
              </w:rPr>
              <w:t>Intel Arc GPU B60 / B70</w:t>
            </w:r>
          </w:p>
        </w:tc>
        <w:tc>
          <w:tcPr>
            <w:tcW w:type="dxa" w:w="3246"/>
            <w:vAlign w:val="center"/>
            <w:tcMar>
              <w:top w:w="80" w:type="dxa"/>
              <w:start w:w="120" w:type="dxa"/>
              <w:bottom w:w="80" w:type="dxa"/>
              <w:end w:w="120" w:type="dxa"/>
            </w:tcMar>
          </w:tcPr>
          <w:p>
            <w:pPr>
              <w:spacing w:before="0" w:after="0" w:line="259" w:lineRule="auto"/>
              <w:jc w:val="center"/>
            </w:pPr>
            <w:r>
              <w:rPr>
                <w:rFonts w:ascii="Calibri" w:hAnsi="Calibri" w:eastAsia="Microsoft YaHei"/>
                <w:sz w:val="18"/>
              </w:rPr>
              <w:t>INT8（含 INT4 推理路径）</w:t>
            </w:r>
          </w:p>
        </w:tc>
        <w:tc>
          <w:tcPr>
            <w:tcW w:type="dxa" w:w="2110"/>
            <w:vAlign w:val="center"/>
            <w:tcMar>
              <w:top w:w="80" w:type="dxa"/>
              <w:start w:w="120" w:type="dxa"/>
              <w:bottom w:w="80" w:type="dxa"/>
              <w:end w:w="120" w:type="dxa"/>
            </w:tcMar>
          </w:tcPr>
          <w:p>
            <w:pPr>
              <w:spacing w:before="0" w:after="0" w:line="259" w:lineRule="auto"/>
              <w:jc w:val="center"/>
            </w:pPr>
            <w:r>
              <w:rPr>
                <w:rFonts w:ascii="Calibri" w:hAnsi="Calibri" w:eastAsia="Microsoft YaHei"/>
                <w:sz w:val="18"/>
              </w:rPr>
              <w:t>已发布</w:t>
            </w:r>
          </w:p>
        </w:tc>
      </w:tr>
      <w:tr>
        <w:tc>
          <w:tcPr>
            <w:tcW w:type="dxa" w:w="4004"/>
            <w:vAlign w:val="center"/>
            <w:tcMar>
              <w:top w:w="80" w:type="dxa"/>
              <w:start w:w="120" w:type="dxa"/>
              <w:bottom w:w="80" w:type="dxa"/>
              <w:end w:w="120" w:type="dxa"/>
            </w:tcMar>
          </w:tcPr>
          <w:p>
            <w:pPr>
              <w:spacing w:before="0" w:after="0" w:line="259" w:lineRule="auto"/>
            </w:pPr>
            <w:r>
              <w:rPr>
                <w:rFonts w:ascii="Calibri" w:hAnsi="Calibri" w:eastAsia="Microsoft YaHei"/>
                <w:sz w:val="18"/>
              </w:rPr>
              <w:t>Intel Gaudi</w:t>
            </w:r>
          </w:p>
        </w:tc>
        <w:tc>
          <w:tcPr>
            <w:tcW w:type="dxa" w:w="3246"/>
            <w:vAlign w:val="center"/>
            <w:tcMar>
              <w:top w:w="80" w:type="dxa"/>
              <w:start w:w="120" w:type="dxa"/>
              <w:bottom w:w="80" w:type="dxa"/>
              <w:end w:w="120" w:type="dxa"/>
            </w:tcMar>
          </w:tcPr>
          <w:p>
            <w:pPr>
              <w:spacing w:before="0" w:after="0" w:line="259" w:lineRule="auto"/>
              <w:jc w:val="center"/>
            </w:pPr>
            <w:r>
              <w:rPr>
                <w:rFonts w:ascii="Calibri" w:hAnsi="Calibri" w:eastAsia="Microsoft YaHei"/>
                <w:sz w:val="18"/>
              </w:rPr>
              <w:t>FP8</w:t>
            </w:r>
          </w:p>
        </w:tc>
        <w:tc>
          <w:tcPr>
            <w:tcW w:type="dxa" w:w="2110"/>
            <w:vAlign w:val="center"/>
            <w:tcMar>
              <w:top w:w="80" w:type="dxa"/>
              <w:start w:w="120" w:type="dxa"/>
              <w:bottom w:w="80" w:type="dxa"/>
              <w:end w:w="120" w:type="dxa"/>
            </w:tcMar>
          </w:tcPr>
          <w:p>
            <w:pPr>
              <w:spacing w:before="0" w:after="0" w:line="259" w:lineRule="auto"/>
              <w:jc w:val="center"/>
            </w:pPr>
            <w:r>
              <w:rPr>
                <w:rFonts w:ascii="Calibri" w:hAnsi="Calibri" w:eastAsia="Microsoft YaHei"/>
                <w:sz w:val="18"/>
              </w:rPr>
              <w:t>已发布</w:t>
            </w:r>
          </w:p>
        </w:tc>
      </w:tr>
      <w:tr>
        <w:tc>
          <w:tcPr>
            <w:tcW w:type="dxa" w:w="4004"/>
            <w:vAlign w:val="center"/>
            <w:tcMar>
              <w:top w:w="80" w:type="dxa"/>
              <w:start w:w="120" w:type="dxa"/>
              <w:bottom w:w="80" w:type="dxa"/>
              <w:end w:w="120" w:type="dxa"/>
            </w:tcMar>
          </w:tcPr>
          <w:p>
            <w:pPr>
              <w:spacing w:before="0" w:after="0" w:line="259" w:lineRule="auto"/>
            </w:pPr>
            <w:r>
              <w:rPr>
                <w:rFonts w:ascii="Calibri" w:hAnsi="Calibri" w:eastAsia="Microsoft YaHei"/>
                <w:sz w:val="18"/>
              </w:rPr>
              <w:t>CRI GPU（下一代）</w:t>
            </w:r>
          </w:p>
        </w:tc>
        <w:tc>
          <w:tcPr>
            <w:tcW w:type="dxa" w:w="3246"/>
            <w:vAlign w:val="center"/>
            <w:tcMar>
              <w:top w:w="80" w:type="dxa"/>
              <w:start w:w="120" w:type="dxa"/>
              <w:bottom w:w="80" w:type="dxa"/>
              <w:end w:w="120" w:type="dxa"/>
            </w:tcMar>
          </w:tcPr>
          <w:p>
            <w:pPr>
              <w:spacing w:before="0" w:after="0" w:line="259" w:lineRule="auto"/>
              <w:jc w:val="center"/>
            </w:pPr>
            <w:r>
              <w:rPr>
                <w:rFonts w:ascii="Calibri" w:hAnsi="Calibri" w:eastAsia="Microsoft YaHei"/>
                <w:sz w:val="18"/>
              </w:rPr>
              <w:t>MXFP4 / MXFP8</w:t>
            </w:r>
          </w:p>
        </w:tc>
        <w:tc>
          <w:tcPr>
            <w:tcW w:type="dxa" w:w="2110"/>
            <w:vAlign w:val="center"/>
            <w:tcMar>
              <w:top w:w="80" w:type="dxa"/>
              <w:start w:w="120" w:type="dxa"/>
              <w:bottom w:w="80" w:type="dxa"/>
              <w:end w:w="120" w:type="dxa"/>
            </w:tcMar>
          </w:tcPr>
          <w:p>
            <w:pPr>
              <w:spacing w:before="0" w:after="0" w:line="259" w:lineRule="auto"/>
              <w:jc w:val="center"/>
            </w:pPr>
            <w:r>
              <w:rPr>
                <w:rFonts w:ascii="Calibri" w:hAnsi="Calibri" w:eastAsia="Microsoft YaHei"/>
                <w:sz w:val="18"/>
              </w:rPr>
              <w:t>2026 下半年</w:t>
            </w:r>
          </w:p>
        </w:tc>
      </w:tr>
    </w:tbl>
    <w:p>
      <w:pPr>
        <w:spacing w:after="40"/>
      </w:pPr>
    </w:p>
    <w:p>
      <w:pPr>
        <w:spacing w:before="80" w:after="200" w:line="300" w:lineRule="auto"/>
        <w:ind w:left="317" w:right="173"/>
        <w:pBdr>
          <w:left w:val="single" w:sz="18" w:space="8" w:color="2E74B5"/>
        </w:pBdr>
        <w:shd w:fill="F4F6F9"/>
      </w:pPr>
      <w:r>
        <w:rPr>
          <w:rFonts w:ascii="Calibri" w:hAnsi="Calibri" w:eastAsia="Microsoft YaHei"/>
          <w:b/>
          <w:color w:val="203748"/>
          <w:sz w:val="23"/>
        </w:rPr>
        <w:t>MXFP4</w:t>
      </w:r>
      <w:r>
        <w:rPr>
          <w:rFonts w:ascii="Calibri" w:hAnsi="Calibri" w:eastAsia="Microsoft YaHei"/>
          <w:color w:val="203748"/>
          <w:sz w:val="23"/>
        </w:rPr>
        <w:t>（Microscaling 4-bit Floating Point）是一种微缩放 4 位浮点格式，需要硬件层面的专用矩阵运算单元才能获得吞吐收益。</w:t>
      </w:r>
    </w:p>
    <w:p>
      <w:pPr/>
      <w:r>
        <w:t>因果链很清晰：用户将模型量化到 W4 并部署，若 GPU 无 INT4 原生指令，Kernel 会先将 INT4 反量化到 FP16/BF16 再执行通用 GEMM——反量化本身消耗算力与带宽，抵消了低比特存储节省带来的收益，最终体现为"显存省了，速度没变甚至更慢"。</w:t>
      </w:r>
    </w:p>
    <w:p>
      <w:pPr/>
      <w:r>
        <w:t>上一节中 FLUX 模型在 B60 上获得 1.55–1.67× 加速，正是因为 B60 原生支持 INT8/INT4 路径。反过来，如果将 MXFP4 量化模型部署到尚不支持该格式的现有硬件上，就不会观察到类似收益。</w:t>
      </w:r>
    </w:p>
    <w:p>
      <w:pPr>
        <w:pStyle w:val="Heading2"/>
      </w:pPr>
      <w:r>
        <w:t>第二道关卡：量化配方的参数权衡</w:t>
      </w:r>
    </w:p>
    <w:p>
      <w:pPr/>
      <w:r>
        <w:t>确认硬件可行后，需要根据业务优先级选择量化方案与超参数。AutoRound 提供了四种预设模式，下图列出了它们的参数差异与适用场景。</w:t>
      </w:r>
    </w:p>
    <w:p>
      <w:pPr>
        <w:keepNext/>
        <w:keepLines/>
        <w:spacing w:before="120" w:after="0"/>
        <w:jc w:val="center"/>
      </w:pPr>
      <w:r>
        <w:drawing>
          <wp:inline xmlns:a="http://schemas.openxmlformats.org/drawingml/2006/main" xmlns:pic="http://schemas.openxmlformats.org/drawingml/2006/picture">
            <wp:extent cx="5943600" cy="2369104"/>
            <wp:docPr id="9" name="Picture 9" descr="AutoRound 四种量化模式的参数对比表" title="AutoRound 四种量化模式的参数对比表"/>
            <wp:cNvGraphicFramePr>
              <a:graphicFrameLocks noChangeAspect="1"/>
            </wp:cNvGraphicFramePr>
            <a:graphic>
              <a:graphicData uri="http://schemas.openxmlformats.org/drawingml/2006/picture">
                <pic:pic>
                  <pic:nvPicPr>
                    <pic:cNvPr id="0" name="slide-28.png"/>
                    <pic:cNvPicPr/>
                  </pic:nvPicPr>
                  <pic:blipFill>
                    <a:blip r:embed="rId21"/>
                    <a:stretch>
                      <a:fillRect/>
                    </a:stretch>
                  </pic:blipFill>
                  <pic:spPr>
                    <a:xfrm>
                      <a:off x="0" y="0"/>
                      <a:ext cx="5943600" cy="2369104"/>
                    </a:xfrm>
                    <a:prstGeom prst="rect"/>
                  </pic:spPr>
                </pic:pic>
              </a:graphicData>
            </a:graphic>
          </wp:inline>
        </w:drawing>
      </w:r>
    </w:p>
    <w:p>
      <w:pPr/>
      <w:r>
        <w:rPr>
          <w:i/>
        </w:rPr>
        <w:t>图注：AutoRound 提供的 default、best、light、fast 四种预设模式参数对比。来源：演讲 PPT 第 28 页。</w:t>
      </w:r>
    </w:p>
    <w:p>
      <w:pPr/>
      <w:r>
        <w:t>核心参数差异如下：</w:t>
      </w:r>
    </w:p>
    <w:tbl>
      <w:tblPr>
        <w:tblStyle w:val="TableGrid"/>
        <w:tblW w:type="dxa" w:w="9360"/>
        <w:jc w:val="left"/>
        <w:tblLayout w:type="fixed"/>
        <w:tblLook w:firstColumn="1" w:firstRow="1" w:lastColumn="0" w:lastRow="0" w:noHBand="0" w:noVBand="1" w:val="04A0"/>
        <w:tblInd w:w="120" w:type="dxa"/>
      </w:tblPr>
      <w:tblGrid>
        <w:gridCol w:w="1190"/>
        <w:gridCol w:w="1392"/>
        <w:gridCol w:w="1392"/>
        <w:gridCol w:w="1190"/>
        <w:gridCol w:w="1594"/>
        <w:gridCol w:w="2602"/>
      </w:tblGrid>
      <w:tr>
        <w:trPr>
          <w:tblHeader w:val="true"/>
        </w:trPr>
        <w:tc>
          <w:tcPr>
            <w:tcW w:type="dxa" w:w="1190"/>
            <w:vAlign w:val="center"/>
            <w:shd w:fill="F4F6F9"/>
            <w:tcMar>
              <w:top w:w="80" w:type="dxa"/>
              <w:start w:w="120" w:type="dxa"/>
              <w:bottom w:w="80" w:type="dxa"/>
              <w:end w:w="120" w:type="dxa"/>
            </w:tcMar>
          </w:tcPr>
          <w:p>
            <w:pPr>
              <w:spacing w:before="0" w:after="0" w:line="259" w:lineRule="auto"/>
            </w:pPr>
            <w:r>
              <w:rPr>
                <w:rFonts w:ascii="Calibri" w:hAnsi="Calibri" w:eastAsia="Microsoft YaHei"/>
                <w:b/>
                <w:color w:val="203748"/>
                <w:sz w:val="18"/>
              </w:rPr>
              <w:t>模式</w:t>
            </w:r>
          </w:p>
        </w:tc>
        <w:tc>
          <w:tcPr>
            <w:tcW w:type="dxa" w:w="1392"/>
            <w:vAlign w:val="center"/>
            <w:shd w:fill="F4F6F9"/>
            <w:tcMar>
              <w:top w:w="80" w:type="dxa"/>
              <w:start w:w="120" w:type="dxa"/>
              <w:bottom w:w="80" w:type="dxa"/>
              <w:end w:w="120" w:type="dxa"/>
            </w:tcMar>
          </w:tcPr>
          <w:p>
            <w:pPr>
              <w:spacing w:before="0" w:after="0" w:line="259" w:lineRule="auto"/>
              <w:jc w:val="center"/>
            </w:pPr>
            <w:r>
              <w:rPr>
                <w:rFonts w:ascii="Calibri" w:hAnsi="Calibri" w:eastAsia="Microsoft YaHei"/>
                <w:b/>
                <w:color w:val="203748"/>
                <w:sz w:val="18"/>
              </w:rPr>
              <w:t>Batch Size</w:t>
            </w:r>
          </w:p>
        </w:tc>
        <w:tc>
          <w:tcPr>
            <w:tcW w:type="dxa" w:w="1392"/>
            <w:vAlign w:val="center"/>
            <w:shd w:fill="F4F6F9"/>
            <w:tcMar>
              <w:top w:w="80" w:type="dxa"/>
              <w:start w:w="120" w:type="dxa"/>
              <w:bottom w:w="80" w:type="dxa"/>
              <w:end w:w="120" w:type="dxa"/>
            </w:tcMar>
          </w:tcPr>
          <w:p>
            <w:pPr>
              <w:spacing w:before="0" w:after="0" w:line="259" w:lineRule="auto"/>
              <w:jc w:val="center"/>
            </w:pPr>
            <w:r>
              <w:rPr>
                <w:rFonts w:ascii="Calibri" w:hAnsi="Calibri" w:eastAsia="Microsoft YaHei"/>
                <w:b/>
                <w:color w:val="203748"/>
                <w:sz w:val="18"/>
              </w:rPr>
              <w:t>Iterations</w:t>
            </w:r>
          </w:p>
        </w:tc>
        <w:tc>
          <w:tcPr>
            <w:tcW w:type="dxa" w:w="1190"/>
            <w:vAlign w:val="center"/>
            <w:shd w:fill="F4F6F9"/>
            <w:tcMar>
              <w:top w:w="80" w:type="dxa"/>
              <w:start w:w="120" w:type="dxa"/>
              <w:bottom w:w="80" w:type="dxa"/>
              <w:end w:w="120" w:type="dxa"/>
            </w:tcMar>
          </w:tcPr>
          <w:p>
            <w:pPr>
              <w:spacing w:before="0" w:after="0" w:line="259" w:lineRule="auto"/>
              <w:jc w:val="center"/>
            </w:pPr>
            <w:r>
              <w:rPr>
                <w:rFonts w:ascii="Calibri" w:hAnsi="Calibri" w:eastAsia="Microsoft YaHei"/>
                <w:b/>
                <w:color w:val="203748"/>
                <w:sz w:val="18"/>
              </w:rPr>
              <w:t>Seq Len</w:t>
            </w:r>
          </w:p>
        </w:tc>
        <w:tc>
          <w:tcPr>
            <w:tcW w:type="dxa" w:w="1594"/>
            <w:vAlign w:val="center"/>
            <w:shd w:fill="F4F6F9"/>
            <w:tcMar>
              <w:top w:w="80" w:type="dxa"/>
              <w:start w:w="120" w:type="dxa"/>
              <w:bottom w:w="80" w:type="dxa"/>
              <w:end w:w="120" w:type="dxa"/>
            </w:tcMar>
          </w:tcPr>
          <w:p>
            <w:pPr>
              <w:spacing w:before="0" w:after="0" w:line="259" w:lineRule="auto"/>
              <w:jc w:val="center"/>
            </w:pPr>
            <w:r>
              <w:rPr>
                <w:rFonts w:ascii="Calibri" w:hAnsi="Calibri" w:eastAsia="Microsoft YaHei"/>
                <w:b/>
                <w:color w:val="203748"/>
                <w:sz w:val="18"/>
              </w:rPr>
              <w:t>Calib Samples</w:t>
            </w:r>
          </w:p>
        </w:tc>
        <w:tc>
          <w:tcPr>
            <w:tcW w:type="dxa" w:w="2602"/>
            <w:vAlign w:val="center"/>
            <w:shd w:fill="F4F6F9"/>
            <w:tcMar>
              <w:top w:w="80" w:type="dxa"/>
              <w:start w:w="120" w:type="dxa"/>
              <w:bottom w:w="80" w:type="dxa"/>
              <w:end w:w="120" w:type="dxa"/>
            </w:tcMar>
          </w:tcPr>
          <w:p>
            <w:pPr>
              <w:spacing w:before="0" w:after="0" w:line="259" w:lineRule="auto"/>
              <w:jc w:val="center"/>
            </w:pPr>
            <w:r>
              <w:rPr>
                <w:rFonts w:ascii="Calibri" w:hAnsi="Calibri" w:eastAsia="Microsoft YaHei"/>
                <w:b/>
                <w:color w:val="203748"/>
                <w:sz w:val="18"/>
              </w:rPr>
              <w:t>适用场景</w:t>
            </w:r>
          </w:p>
        </w:tc>
      </w:tr>
      <w:tr>
        <w:tc>
          <w:tcPr>
            <w:tcW w:type="dxa" w:w="1190"/>
            <w:vAlign w:val="center"/>
            <w:tcMar>
              <w:top w:w="80" w:type="dxa"/>
              <w:start w:w="120" w:type="dxa"/>
              <w:bottom w:w="80" w:type="dxa"/>
              <w:end w:w="120" w:type="dxa"/>
            </w:tcMar>
          </w:tcPr>
          <w:p>
            <w:pPr>
              <w:spacing w:before="0" w:after="0" w:line="259" w:lineRule="auto"/>
            </w:pPr>
            <w:r>
              <w:rPr>
                <w:rFonts w:ascii="Calibri" w:hAnsi="Calibri" w:eastAsia="Microsoft YaHei"/>
                <w:b/>
                <w:sz w:val="18"/>
              </w:rPr>
              <w:t>default</w:t>
            </w:r>
          </w:p>
        </w:tc>
        <w:tc>
          <w:tcPr>
            <w:tcW w:type="dxa" w:w="1392"/>
            <w:vAlign w:val="center"/>
            <w:tcMar>
              <w:top w:w="80" w:type="dxa"/>
              <w:start w:w="120" w:type="dxa"/>
              <w:bottom w:w="80" w:type="dxa"/>
              <w:end w:w="120" w:type="dxa"/>
            </w:tcMar>
          </w:tcPr>
          <w:p>
            <w:pPr>
              <w:spacing w:before="0" w:after="0" w:line="259" w:lineRule="auto"/>
              <w:jc w:val="center"/>
            </w:pPr>
            <w:r>
              <w:rPr>
                <w:rFonts w:ascii="Calibri" w:hAnsi="Calibri" w:eastAsia="Microsoft YaHei"/>
                <w:sz w:val="18"/>
              </w:rPr>
              <w:t>8</w:t>
            </w:r>
          </w:p>
        </w:tc>
        <w:tc>
          <w:tcPr>
            <w:tcW w:type="dxa" w:w="1392"/>
            <w:vAlign w:val="center"/>
            <w:tcMar>
              <w:top w:w="80" w:type="dxa"/>
              <w:start w:w="120" w:type="dxa"/>
              <w:bottom w:w="80" w:type="dxa"/>
              <w:end w:w="120" w:type="dxa"/>
            </w:tcMar>
          </w:tcPr>
          <w:p>
            <w:pPr>
              <w:spacing w:before="0" w:after="0" w:line="259" w:lineRule="auto"/>
              <w:jc w:val="center"/>
            </w:pPr>
            <w:r>
              <w:rPr>
                <w:rFonts w:ascii="Calibri" w:hAnsi="Calibri" w:eastAsia="Microsoft YaHei"/>
                <w:sz w:val="18"/>
              </w:rPr>
              <w:t>200</w:t>
            </w:r>
          </w:p>
        </w:tc>
        <w:tc>
          <w:tcPr>
            <w:tcW w:type="dxa" w:w="1190"/>
            <w:vAlign w:val="center"/>
            <w:tcMar>
              <w:top w:w="80" w:type="dxa"/>
              <w:start w:w="120" w:type="dxa"/>
              <w:bottom w:w="80" w:type="dxa"/>
              <w:end w:w="120" w:type="dxa"/>
            </w:tcMar>
          </w:tcPr>
          <w:p>
            <w:pPr>
              <w:spacing w:before="0" w:after="0" w:line="259" w:lineRule="auto"/>
              <w:jc w:val="center"/>
            </w:pPr>
            <w:r>
              <w:rPr>
                <w:rFonts w:ascii="Calibri" w:hAnsi="Calibri" w:eastAsia="Microsoft YaHei"/>
                <w:sz w:val="18"/>
              </w:rPr>
              <w:t>2048</w:t>
            </w:r>
          </w:p>
        </w:tc>
        <w:tc>
          <w:tcPr>
            <w:tcW w:type="dxa" w:w="1594"/>
            <w:vAlign w:val="center"/>
            <w:tcMar>
              <w:top w:w="80" w:type="dxa"/>
              <w:start w:w="120" w:type="dxa"/>
              <w:bottom w:w="80" w:type="dxa"/>
              <w:end w:w="120" w:type="dxa"/>
            </w:tcMar>
          </w:tcPr>
          <w:p>
            <w:pPr>
              <w:spacing w:before="0" w:after="0" w:line="259" w:lineRule="auto"/>
              <w:jc w:val="center"/>
            </w:pPr>
            <w:r>
              <w:rPr>
                <w:rFonts w:ascii="Calibri" w:hAnsi="Calibri" w:eastAsia="Microsoft YaHei"/>
                <w:sz w:val="18"/>
              </w:rPr>
              <w:t>128</w:t>
            </w:r>
          </w:p>
        </w:tc>
        <w:tc>
          <w:tcPr>
            <w:tcW w:type="dxa" w:w="2602"/>
            <w:vAlign w:val="center"/>
            <w:tcMar>
              <w:top w:w="80" w:type="dxa"/>
              <w:start w:w="120" w:type="dxa"/>
              <w:bottom w:w="80" w:type="dxa"/>
              <w:end w:w="120" w:type="dxa"/>
            </w:tcMar>
          </w:tcPr>
          <w:p>
            <w:pPr>
              <w:spacing w:before="0" w:after="0" w:line="259" w:lineRule="auto"/>
              <w:jc w:val="center"/>
            </w:pPr>
            <w:r>
              <w:rPr>
                <w:rFonts w:ascii="Calibri" w:hAnsi="Calibri" w:eastAsia="Microsoft YaHei"/>
                <w:sz w:val="18"/>
              </w:rPr>
              <w:t>多数场景的平衡选择</w:t>
            </w:r>
          </w:p>
        </w:tc>
      </w:tr>
      <w:tr>
        <w:tc>
          <w:tcPr>
            <w:tcW w:type="dxa" w:w="1190"/>
            <w:vAlign w:val="center"/>
            <w:tcMar>
              <w:top w:w="80" w:type="dxa"/>
              <w:start w:w="120" w:type="dxa"/>
              <w:bottom w:w="80" w:type="dxa"/>
              <w:end w:w="120" w:type="dxa"/>
            </w:tcMar>
          </w:tcPr>
          <w:p>
            <w:pPr>
              <w:spacing w:before="0" w:after="0" w:line="259" w:lineRule="auto"/>
            </w:pPr>
            <w:r>
              <w:rPr>
                <w:rFonts w:ascii="Calibri" w:hAnsi="Calibri" w:eastAsia="Microsoft YaHei"/>
                <w:b/>
                <w:sz w:val="18"/>
              </w:rPr>
              <w:t>best</w:t>
            </w:r>
          </w:p>
        </w:tc>
        <w:tc>
          <w:tcPr>
            <w:tcW w:type="dxa" w:w="1392"/>
            <w:vAlign w:val="center"/>
            <w:tcMar>
              <w:top w:w="80" w:type="dxa"/>
              <w:start w:w="120" w:type="dxa"/>
              <w:bottom w:w="80" w:type="dxa"/>
              <w:end w:w="120" w:type="dxa"/>
            </w:tcMar>
          </w:tcPr>
          <w:p>
            <w:pPr>
              <w:spacing w:before="0" w:after="0" w:line="259" w:lineRule="auto"/>
              <w:jc w:val="center"/>
            </w:pPr>
            <w:r>
              <w:rPr>
                <w:rFonts w:ascii="Calibri" w:hAnsi="Calibri" w:eastAsia="Microsoft YaHei"/>
                <w:sz w:val="18"/>
              </w:rPr>
              <w:t>8</w:t>
            </w:r>
          </w:p>
        </w:tc>
        <w:tc>
          <w:tcPr>
            <w:tcW w:type="dxa" w:w="1392"/>
            <w:vAlign w:val="center"/>
            <w:tcMar>
              <w:top w:w="80" w:type="dxa"/>
              <w:start w:w="120" w:type="dxa"/>
              <w:bottom w:w="80" w:type="dxa"/>
              <w:end w:w="120" w:type="dxa"/>
            </w:tcMar>
          </w:tcPr>
          <w:p>
            <w:pPr>
              <w:spacing w:before="0" w:after="0" w:line="259" w:lineRule="auto"/>
              <w:jc w:val="center"/>
            </w:pPr>
            <w:r>
              <w:rPr>
                <w:rFonts w:ascii="Calibri" w:hAnsi="Calibri" w:eastAsia="Microsoft YaHei"/>
                <w:sz w:val="18"/>
              </w:rPr>
              <w:t>1000</w:t>
            </w:r>
          </w:p>
        </w:tc>
        <w:tc>
          <w:tcPr>
            <w:tcW w:type="dxa" w:w="1190"/>
            <w:vAlign w:val="center"/>
            <w:tcMar>
              <w:top w:w="80" w:type="dxa"/>
              <w:start w:w="120" w:type="dxa"/>
              <w:bottom w:w="80" w:type="dxa"/>
              <w:end w:w="120" w:type="dxa"/>
            </w:tcMar>
          </w:tcPr>
          <w:p>
            <w:pPr>
              <w:spacing w:before="0" w:after="0" w:line="259" w:lineRule="auto"/>
              <w:jc w:val="center"/>
            </w:pPr>
            <w:r>
              <w:rPr>
                <w:rFonts w:ascii="Calibri" w:hAnsi="Calibri" w:eastAsia="Microsoft YaHei"/>
                <w:sz w:val="18"/>
              </w:rPr>
              <w:t>2048</w:t>
            </w:r>
          </w:p>
        </w:tc>
        <w:tc>
          <w:tcPr>
            <w:tcW w:type="dxa" w:w="1594"/>
            <w:vAlign w:val="center"/>
            <w:tcMar>
              <w:top w:w="80" w:type="dxa"/>
              <w:start w:w="120" w:type="dxa"/>
              <w:bottom w:w="80" w:type="dxa"/>
              <w:end w:w="120" w:type="dxa"/>
            </w:tcMar>
          </w:tcPr>
          <w:p>
            <w:pPr>
              <w:spacing w:before="0" w:after="0" w:line="259" w:lineRule="auto"/>
              <w:jc w:val="center"/>
            </w:pPr>
            <w:r>
              <w:rPr>
                <w:rFonts w:ascii="Calibri" w:hAnsi="Calibri" w:eastAsia="Microsoft YaHei"/>
                <w:sz w:val="18"/>
              </w:rPr>
              <w:t>128</w:t>
            </w:r>
          </w:p>
        </w:tc>
        <w:tc>
          <w:tcPr>
            <w:tcW w:type="dxa" w:w="2602"/>
            <w:vAlign w:val="center"/>
            <w:tcMar>
              <w:top w:w="80" w:type="dxa"/>
              <w:start w:w="120" w:type="dxa"/>
              <w:bottom w:w="80" w:type="dxa"/>
              <w:end w:w="120" w:type="dxa"/>
            </w:tcMar>
          </w:tcPr>
          <w:p>
            <w:pPr>
              <w:spacing w:before="0" w:after="0" w:line="259" w:lineRule="auto"/>
            </w:pPr>
            <w:r>
              <w:rPr>
                <w:rFonts w:ascii="Calibri" w:hAnsi="Calibri" w:eastAsia="Microsoft YaHei"/>
                <w:sz w:val="18"/>
              </w:rPr>
              <w:t>生产级精度要求，耗时约为 default 的 2–3 倍</w:t>
            </w:r>
          </w:p>
        </w:tc>
      </w:tr>
      <w:tr>
        <w:tc>
          <w:tcPr>
            <w:tcW w:type="dxa" w:w="1190"/>
            <w:vAlign w:val="center"/>
            <w:tcMar>
              <w:top w:w="80" w:type="dxa"/>
              <w:start w:w="120" w:type="dxa"/>
              <w:bottom w:w="80" w:type="dxa"/>
              <w:end w:w="120" w:type="dxa"/>
            </w:tcMar>
          </w:tcPr>
          <w:p>
            <w:pPr>
              <w:spacing w:before="0" w:after="0" w:line="259" w:lineRule="auto"/>
            </w:pPr>
            <w:r>
              <w:rPr>
                <w:rFonts w:ascii="Calibri" w:hAnsi="Calibri" w:eastAsia="Microsoft YaHei"/>
                <w:b/>
                <w:sz w:val="18"/>
              </w:rPr>
              <w:t>light</w:t>
            </w:r>
          </w:p>
        </w:tc>
        <w:tc>
          <w:tcPr>
            <w:tcW w:type="dxa" w:w="1392"/>
            <w:vAlign w:val="center"/>
            <w:tcMar>
              <w:top w:w="80" w:type="dxa"/>
              <w:start w:w="120" w:type="dxa"/>
              <w:bottom w:w="80" w:type="dxa"/>
              <w:end w:w="120" w:type="dxa"/>
            </w:tcMar>
          </w:tcPr>
          <w:p>
            <w:pPr>
              <w:spacing w:before="0" w:after="0" w:line="259" w:lineRule="auto"/>
              <w:jc w:val="center"/>
            </w:pPr>
            <w:r>
              <w:rPr>
                <w:rFonts w:ascii="Calibri" w:hAnsi="Calibri" w:eastAsia="Microsoft YaHei"/>
                <w:sz w:val="18"/>
              </w:rPr>
              <w:t>8</w:t>
            </w:r>
          </w:p>
        </w:tc>
        <w:tc>
          <w:tcPr>
            <w:tcW w:type="dxa" w:w="1392"/>
            <w:vAlign w:val="center"/>
            <w:tcMar>
              <w:top w:w="80" w:type="dxa"/>
              <w:start w:w="120" w:type="dxa"/>
              <w:bottom w:w="80" w:type="dxa"/>
              <w:end w:w="120" w:type="dxa"/>
            </w:tcMar>
          </w:tcPr>
          <w:p>
            <w:pPr>
              <w:spacing w:before="0" w:after="0" w:line="259" w:lineRule="auto"/>
              <w:jc w:val="center"/>
            </w:pPr>
            <w:r>
              <w:rPr>
                <w:rFonts w:ascii="Calibri" w:hAnsi="Calibri" w:eastAsia="Microsoft YaHei"/>
                <w:sz w:val="18"/>
              </w:rPr>
              <w:t>50</w:t>
            </w:r>
          </w:p>
        </w:tc>
        <w:tc>
          <w:tcPr>
            <w:tcW w:type="dxa" w:w="1190"/>
            <w:vAlign w:val="center"/>
            <w:tcMar>
              <w:top w:w="80" w:type="dxa"/>
              <w:start w:w="120" w:type="dxa"/>
              <w:bottom w:w="80" w:type="dxa"/>
              <w:end w:w="120" w:type="dxa"/>
            </w:tcMar>
          </w:tcPr>
          <w:p>
            <w:pPr>
              <w:spacing w:before="0" w:after="0" w:line="259" w:lineRule="auto"/>
              <w:jc w:val="center"/>
            </w:pPr>
            <w:r>
              <w:rPr>
                <w:rFonts w:ascii="Calibri" w:hAnsi="Calibri" w:eastAsia="Microsoft YaHei"/>
                <w:sz w:val="18"/>
              </w:rPr>
              <w:t>512</w:t>
            </w:r>
          </w:p>
        </w:tc>
        <w:tc>
          <w:tcPr>
            <w:tcW w:type="dxa" w:w="1594"/>
            <w:vAlign w:val="center"/>
            <w:tcMar>
              <w:top w:w="80" w:type="dxa"/>
              <w:start w:w="120" w:type="dxa"/>
              <w:bottom w:w="80" w:type="dxa"/>
              <w:end w:w="120" w:type="dxa"/>
            </w:tcMar>
          </w:tcPr>
          <w:p>
            <w:pPr>
              <w:spacing w:before="0" w:after="0" w:line="259" w:lineRule="auto"/>
              <w:jc w:val="center"/>
            </w:pPr>
            <w:r>
              <w:rPr>
                <w:rFonts w:ascii="Calibri" w:hAnsi="Calibri" w:eastAsia="Microsoft YaHei"/>
                <w:sz w:val="18"/>
              </w:rPr>
              <w:t>128</w:t>
            </w:r>
          </w:p>
        </w:tc>
        <w:tc>
          <w:tcPr>
            <w:tcW w:type="dxa" w:w="2602"/>
            <w:vAlign w:val="center"/>
            <w:tcMar>
              <w:top w:w="80" w:type="dxa"/>
              <w:start w:w="120" w:type="dxa"/>
              <w:bottom w:w="80" w:type="dxa"/>
              <w:end w:w="120" w:type="dxa"/>
            </w:tcMar>
          </w:tcPr>
          <w:p>
            <w:pPr>
              <w:spacing w:before="0" w:after="0" w:line="259" w:lineRule="auto"/>
              <w:jc w:val="center"/>
            </w:pPr>
            <w:r>
              <w:rPr>
                <w:rFonts w:ascii="Calibri" w:hAnsi="Calibri" w:eastAsia="Microsoft YaHei"/>
                <w:sz w:val="18"/>
              </w:rPr>
              <w:t>快速验证与开发阶段</w:t>
            </w:r>
          </w:p>
        </w:tc>
      </w:tr>
      <w:tr>
        <w:tc>
          <w:tcPr>
            <w:tcW w:type="dxa" w:w="1190"/>
            <w:vAlign w:val="center"/>
            <w:tcMar>
              <w:top w:w="80" w:type="dxa"/>
              <w:start w:w="120" w:type="dxa"/>
              <w:bottom w:w="80" w:type="dxa"/>
              <w:end w:w="120" w:type="dxa"/>
            </w:tcMar>
          </w:tcPr>
          <w:p>
            <w:pPr>
              <w:spacing w:before="0" w:after="0" w:line="259" w:lineRule="auto"/>
            </w:pPr>
            <w:r>
              <w:rPr>
                <w:rFonts w:ascii="Calibri" w:hAnsi="Calibri" w:eastAsia="Microsoft YaHei"/>
                <w:b/>
                <w:sz w:val="18"/>
              </w:rPr>
              <w:t>fast</w:t>
            </w:r>
          </w:p>
        </w:tc>
        <w:tc>
          <w:tcPr>
            <w:tcW w:type="dxa" w:w="1392"/>
            <w:vAlign w:val="center"/>
            <w:tcMar>
              <w:top w:w="80" w:type="dxa"/>
              <w:start w:w="120" w:type="dxa"/>
              <w:bottom w:w="80" w:type="dxa"/>
              <w:end w:w="120" w:type="dxa"/>
            </w:tcMar>
          </w:tcPr>
          <w:p>
            <w:pPr>
              <w:spacing w:before="0" w:after="0" w:line="259" w:lineRule="auto"/>
              <w:jc w:val="center"/>
            </w:pPr>
            <w:r>
              <w:rPr>
                <w:rFonts w:ascii="Calibri" w:hAnsi="Calibri" w:eastAsia="Microsoft YaHei"/>
                <w:sz w:val="18"/>
              </w:rPr>
              <w:t>4</w:t>
            </w:r>
          </w:p>
        </w:tc>
        <w:tc>
          <w:tcPr>
            <w:tcW w:type="dxa" w:w="1392"/>
            <w:vAlign w:val="center"/>
            <w:tcMar>
              <w:top w:w="80" w:type="dxa"/>
              <w:start w:w="120" w:type="dxa"/>
              <w:bottom w:w="80" w:type="dxa"/>
              <w:end w:w="120" w:type="dxa"/>
            </w:tcMar>
          </w:tcPr>
          <w:p>
            <w:pPr>
              <w:spacing w:before="0" w:after="0" w:line="259" w:lineRule="auto"/>
              <w:jc w:val="center"/>
            </w:pPr>
            <w:r>
              <w:rPr>
                <w:rFonts w:ascii="Calibri" w:hAnsi="Calibri" w:eastAsia="Microsoft YaHei"/>
                <w:sz w:val="18"/>
              </w:rPr>
              <w:t>200</w:t>
            </w:r>
          </w:p>
        </w:tc>
        <w:tc>
          <w:tcPr>
            <w:tcW w:type="dxa" w:w="1190"/>
            <w:vAlign w:val="center"/>
            <w:tcMar>
              <w:top w:w="80" w:type="dxa"/>
              <w:start w:w="120" w:type="dxa"/>
              <w:bottom w:w="80" w:type="dxa"/>
              <w:end w:w="120" w:type="dxa"/>
            </w:tcMar>
          </w:tcPr>
          <w:p>
            <w:pPr>
              <w:spacing w:before="0" w:after="0" w:line="259" w:lineRule="auto"/>
              <w:jc w:val="center"/>
            </w:pPr>
            <w:r>
              <w:rPr>
                <w:rFonts w:ascii="Calibri" w:hAnsi="Calibri" w:eastAsia="Microsoft YaHei"/>
                <w:sz w:val="18"/>
              </w:rPr>
              <w:t>2048</w:t>
            </w:r>
          </w:p>
        </w:tc>
        <w:tc>
          <w:tcPr>
            <w:tcW w:type="dxa" w:w="1594"/>
            <w:vAlign w:val="center"/>
            <w:tcMar>
              <w:top w:w="80" w:type="dxa"/>
              <w:start w:w="120" w:type="dxa"/>
              <w:bottom w:w="80" w:type="dxa"/>
              <w:end w:w="120" w:type="dxa"/>
            </w:tcMar>
          </w:tcPr>
          <w:p>
            <w:pPr>
              <w:spacing w:before="0" w:after="0" w:line="259" w:lineRule="auto"/>
              <w:jc w:val="center"/>
            </w:pPr>
            <w:r>
              <w:rPr>
                <w:rFonts w:ascii="Calibri" w:hAnsi="Calibri" w:eastAsia="Microsoft YaHei"/>
                <w:sz w:val="18"/>
              </w:rPr>
              <w:t>128</w:t>
            </w:r>
          </w:p>
        </w:tc>
        <w:tc>
          <w:tcPr>
            <w:tcW w:type="dxa" w:w="2602"/>
            <w:vAlign w:val="center"/>
            <w:tcMar>
              <w:top w:w="80" w:type="dxa"/>
              <w:start w:w="120" w:type="dxa"/>
              <w:bottom w:w="80" w:type="dxa"/>
              <w:end w:w="120" w:type="dxa"/>
            </w:tcMar>
          </w:tcPr>
          <w:p>
            <w:pPr>
              <w:spacing w:before="0" w:after="0" w:line="259" w:lineRule="auto"/>
            </w:pPr>
            <w:r>
              <w:rPr>
                <w:rFonts w:ascii="Calibri" w:hAnsi="Calibri" w:eastAsia="Microsoft YaHei"/>
                <w:sz w:val="18"/>
              </w:rPr>
              <w:t>显存受限环境，牺牲少量精度换取更低峰值占用</w:t>
            </w:r>
          </w:p>
        </w:tc>
      </w:tr>
    </w:tbl>
    <w:p>
      <w:pPr>
        <w:spacing w:after="40"/>
      </w:pPr>
    </w:p>
    <w:p>
      <w:pPr/>
      <w:r>
        <w:t>关键变量的影响方向：</w:t>
      </w:r>
    </w:p>
    <w:p>
      <w:pPr>
        <w:spacing w:after="80" w:line="290" w:lineRule="auto"/>
        <w:numPr>
          <w:ilvl w:val="0"/>
          <w:numId w:val="10"/>
        </w:numPr>
      </w:pPr>
      <w:r>
        <w:rPr>
          <w:b/>
        </w:rPr>
        <w:t>Iterations（迭代次数）</w:t>
      </w:r>
      <w:r>
        <w:t>：直接决定 SignSGD 优化轮数，</w:t>
      </w:r>
      <w:r>
        <w:rPr>
          <w:rFonts w:ascii="Consolas" w:hAnsi="Consolas" w:eastAsia="Microsoft YaHei"/>
          <w:color w:val="1F4D78"/>
          <w:sz w:val="19"/>
          <w:shd w:fill="EEF2F6"/>
        </w:rPr>
        <w:t>best</w:t>
      </w:r>
      <w:r>
        <w:t xml:space="preserve"> 模式提升到 1000 以换取更高精度，校准时间线性增长。</w:t>
      </w:r>
    </w:p>
    <w:p>
      <w:pPr>
        <w:spacing w:after="80" w:line="290" w:lineRule="auto"/>
        <w:numPr>
          <w:ilvl w:val="0"/>
          <w:numId w:val="10"/>
        </w:numPr>
      </w:pPr>
      <w:r>
        <w:rPr>
          <w:b/>
        </w:rPr>
        <w:t>Seq Len（序列长度）</w:t>
      </w:r>
      <w:r>
        <w:t>：影响校准数据覆盖的上下文范围，从 512 提升到 2048 可改善长文本场景的量化质量，但显存占用相应增加。</w:t>
      </w:r>
    </w:p>
    <w:p>
      <w:pPr>
        <w:spacing w:after="80" w:line="290" w:lineRule="auto"/>
        <w:numPr>
          <w:ilvl w:val="0"/>
          <w:numId w:val="10"/>
        </w:numPr>
      </w:pPr>
      <w:r>
        <w:rPr>
          <w:b/>
        </w:rPr>
        <w:t>Batch Size</w:t>
      </w:r>
      <w:r>
        <w:t>：</w:t>
      </w:r>
      <w:r>
        <w:rPr>
          <w:rFonts w:ascii="Consolas" w:hAnsi="Consolas" w:eastAsia="Microsoft YaHei"/>
          <w:color w:val="1F4D78"/>
          <w:sz w:val="19"/>
          <w:shd w:fill="EEF2F6"/>
        </w:rPr>
        <w:t>fast</w:t>
      </w:r>
      <w:r>
        <w:t xml:space="preserve"> 模式将其从 8 降到 4，峰值显存更低，适合消费级 GPU。</w:t>
      </w:r>
    </w:p>
    <w:p>
      <w:pPr>
        <w:spacing w:after="80" w:line="290" w:lineRule="auto"/>
        <w:numPr>
          <w:ilvl w:val="0"/>
          <w:numId w:val="10"/>
        </w:numPr>
      </w:pPr>
      <w:r>
        <w:rPr>
          <w:b/>
        </w:rPr>
        <w:t>学习率</w:t>
      </w:r>
      <w:r>
        <w:t>：各模式均默认 5e-3，演讲材料未给出不同学习率的消融实验数据。</w:t>
      </w:r>
    </w:p>
    <w:p>
      <w:pPr/>
      <w:r>
        <w:rPr>
          <w:b/>
        </w:rPr>
        <w:t>方案选择的一般原则：</w:t>
      </w:r>
      <w:r>
        <w:t xml:space="preserve"> 显存优先（边缘部署、大模型上小卡）选 W4A16 等低比特组合；精度优先（生产环境、质量敏感）选 W4A16 搭配较小的 group_size 或 W8A8/FP8；长上下文或视觉语言模型场景可在权重量化基础上叠加 KV Cache 量化。</w:t>
      </w:r>
    </w:p>
    <w:p>
      <w:pPr>
        <w:pStyle w:val="Heading1"/>
      </w:pPr>
      <w:r>
        <w:t>结论与局限</w:t>
      </w:r>
    </w:p>
    <w:p>
      <w:pPr>
        <w:spacing w:after="80" w:line="290" w:lineRule="auto"/>
        <w:numPr>
          <w:ilvl w:val="0"/>
          <w:numId w:val="19"/>
        </w:numPr>
      </w:pPr>
      <w:r>
        <w:rPr>
          <w:b/>
        </w:rPr>
        <w:t>量化并非简单的数值压缩，而是舍入、截断与离群点放大三类误差的联合博弈。</w:t>
      </w:r>
      <w:r>
        <w:t xml:space="preserve"> 三者共享截断阈值这一控制变量，形成了不可同时最小化的 U 型约束。</w:t>
      </w:r>
    </w:p>
    <w:p>
      <w:pPr>
        <w:spacing w:after="80" w:line="290" w:lineRule="auto"/>
        <w:numPr>
          <w:ilvl w:val="0"/>
          <w:numId w:val="19"/>
        </w:numPr>
      </w:pPr>
      <w:r>
        <w:rPr>
          <w:b/>
        </w:rPr>
        <w:t>AutoRound 将量化建模为可微优化问题。</w:t>
      </w:r>
      <w:r>
        <w:t xml:space="preserve"> 通过在 Transformer Decoder Block 粒度上使用 SignSGD 联合学习舍入偏移 v 和截断边界 min/max，在有限算力下打破了传统 PTQ 的静态折中。</w:t>
      </w:r>
    </w:p>
    <w:p>
      <w:pPr>
        <w:spacing w:after="80" w:line="290" w:lineRule="auto"/>
        <w:numPr>
          <w:ilvl w:val="0"/>
          <w:numId w:val="19"/>
        </w:numPr>
      </w:pPr>
      <w:r>
        <w:rPr>
          <w:b/>
        </w:rPr>
        <w:t>QDQ 伪量化是连接算法探索与硬件执行的桥梁。</w:t>
      </w:r>
      <w:r>
        <w:t xml:space="preserve"> 微调阶段用 QDQ 模拟误差并保持梯度回传，推理阶段则切换到真实 INT4 Kernel 以消除浮点开销。两条通路的分离使得大模型（如 600B 参数规模）也能在单卡有限显存下逐块完成量化。</w:t>
      </w:r>
    </w:p>
    <w:p>
      <w:pPr>
        <w:spacing w:after="80" w:line="290" w:lineRule="auto"/>
        <w:numPr>
          <w:ilvl w:val="0"/>
          <w:numId w:val="19"/>
        </w:numPr>
      </w:pPr>
      <w:r>
        <w:rPr>
          <w:b/>
        </w:rPr>
        <w:t>量化的工程价值不仅在于减少显存占用。</w:t>
      </w:r>
      <w:r>
        <w:t xml:space="preserve"> 以 FLUX 为例，W4A16 将 Transformer 显存从 23 GB 压缩至 7 GB 后，释放的显存被重新投入 CFG 并行，在 Intel XPU B60、1024×1024 分辨率条件下实现了 1.55–1.67× 的端到端加速。</w:t>
      </w:r>
    </w:p>
    <w:p>
      <w:pPr>
        <w:spacing w:after="80" w:line="290" w:lineRule="auto"/>
        <w:numPr>
          <w:ilvl w:val="0"/>
          <w:numId w:val="19"/>
        </w:numPr>
      </w:pPr>
      <w:r>
        <w:rPr>
          <w:b/>
        </w:rPr>
        <w:t>极低比特量化并未破坏视频生成模型的时空一致性。</w:t>
      </w:r>
      <w:r>
        <w:t xml:space="preserve"> Wan2.2 的 T2V/I2V 任务中，W4A16 的结构一致性指标与 BF16 基线差异不超过 0.002，T2V 甚至出现了边缘的正向偏移。</w:t>
      </w:r>
    </w:p>
    <w:p>
      <w:pPr>
        <w:spacing w:after="80" w:line="290" w:lineRule="auto"/>
        <w:numPr>
          <w:ilvl w:val="0"/>
          <w:numId w:val="19"/>
        </w:numPr>
      </w:pPr>
      <w:r>
        <w:rPr>
          <w:b/>
        </w:rPr>
        <w:t>最终的推理加速严格依赖于硬件原生数据类型的支持与高度优化的底层 Kernel。</w:t>
      </w:r>
      <w:r>
        <w:t xml:space="preserve"> 缺乏对应 Kernel 的硬件上，量化只能节省存储而无法提升吞吐。</w:t>
      </w:r>
    </w:p>
    <w:p>
      <w:pPr>
        <w:spacing w:after="80" w:line="290" w:lineRule="auto"/>
        <w:numPr>
          <w:ilvl w:val="0"/>
          <w:numId w:val="19"/>
        </w:numPr>
      </w:pPr>
      <w:r>
        <w:rPr>
          <w:b/>
        </w:rPr>
        <w:t>尚存的局限：</w:t>
      </w:r>
    </w:p>
    <w:p>
      <w:pPr>
        <w:spacing w:after="80" w:line="290" w:lineRule="auto"/>
        <w:numPr>
          <w:ilvl w:val="0"/>
          <w:numId w:val="10"/>
        </w:numPr>
      </w:pPr>
      <w:r>
        <w:t>性能数字（如 1.55–1.67× 加速、15 分钟量化耗时）高度依赖特定硬件与配置，不可直接泛化。</w:t>
      </w:r>
    </w:p>
    <w:p>
      <w:pPr>
        <w:spacing w:after="80" w:line="290" w:lineRule="auto"/>
        <w:numPr>
          <w:ilvl w:val="0"/>
          <w:numId w:val="10"/>
        </w:numPr>
      </w:pPr>
      <w:r>
        <w:t>MXFP4/MXFP8 的原生硬件支持（CRI GPU）预计 2026 下半年才能落地，在此之前 INT8 与 FP8 仍是 Intel 硬件上最稳妥的低比特选项。</w:t>
      </w:r>
    </w:p>
    <w:p>
      <w:pPr>
        <w:spacing w:after="80" w:line="290" w:lineRule="auto"/>
        <w:numPr>
          <w:ilvl w:val="0"/>
          <w:numId w:val="10"/>
        </w:numPr>
      </w:pPr>
      <w:r>
        <w:t>演讲材料未提供 2-bit 及以下极低比特的系统性精度评估数据，AutoRound 在该区间的表现仍待 SignRound V2 的后续验证。</w:t>
      </w:r>
    </w:p>
    <w:sectPr w:rsidR="00FC693F" w:rsidRPr="0006063C" w:rsidSect="00034616">
      <w:headerReference w:type="default" r:id="rId9"/>
      <w:footerReference w:type="default" r:id="rId10"/>
      <w:pgSz w:w="12240" w:h="15840"/>
      <w:pgMar w:top="1440" w:right="1440" w:bottom="1440" w:left="1440" w:header="708" w:footer="708"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eastAsia="Microsoft YaHei"/>
        <w:color w:val="626B75"/>
        <w:sz w:val="18"/>
      </w:rPr>
      <w:t xml:space="preserve">技术深度解析  ·  </w:t>
    </w:r>
    <w:r>
      <w:rPr>
        <w:rFonts w:ascii="Calibri" w:hAnsi="Calibri" w:eastAsia="Microsoft YaHei"/>
        <w:color w:val="626B75"/>
        <w:sz w:val="18"/>
      </w:rP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9360" w:val="left"/>
      </w:tabs>
      <w:spacing w:after="0"/>
    </w:pPr>
    <w:r>
      <w:rPr>
        <w:rFonts w:ascii="Calibri" w:hAnsi="Calibri" w:eastAsia="Microsoft YaHei"/>
        <w:b/>
        <w:color w:val="626B75"/>
        <w:sz w:val="17"/>
      </w:rPr>
      <w:t>vLLM 低比特量化实践：AutoRound 核心机制与架构优化</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bullet"/>
      <w:lvlText w:val="•"/>
      <w:lvlJc w:val="left"/>
      <w:pPr>
        <w:tabs>
          <w:tab w:val="num" w:pos="540"/>
        </w:tabs>
        <w:ind w:left="540" w:hanging="279"/>
        <w:spacing w:after="80" w:line="290" w:lineRule="auto"/>
      </w:pPr>
    </w:lvl>
  </w:abstractNum>
  <w:num w:numId="10">
    <w:abstractNumId w:val="9"/>
  </w:num>
  <w:abstractNum w:abstractNumId="10">
    <w:multiLevelType w:val="singleLevel"/>
    <w:lvl w:ilvl="0">
      <w:start w:val="1"/>
      <w:numFmt w:val="decimal"/>
      <w:lvlText w:val="%1."/>
      <w:lvlJc w:val="left"/>
      <w:pPr>
        <w:tabs>
          <w:tab w:val="num" w:pos="540"/>
        </w:tabs>
        <w:ind w:left="540" w:hanging="279"/>
        <w:spacing w:after="80" w:line="290" w:lineRule="auto"/>
      </w:pPr>
    </w:lvl>
  </w:abstractNum>
  <w:num w:numId="11">
    <w:abstractNumId w:val="10"/>
  </w:num>
  <w:abstractNum w:abstractNumId="11">
    <w:multiLevelType w:val="singleLevel"/>
    <w:lvl w:ilvl="0">
      <w:start w:val="1"/>
      <w:numFmt w:val="decimal"/>
      <w:lvlText w:val="%1."/>
      <w:lvlJc w:val="left"/>
      <w:pPr>
        <w:tabs>
          <w:tab w:val="num" w:pos="540"/>
        </w:tabs>
        <w:ind w:left="540" w:hanging="279"/>
        <w:spacing w:after="80" w:line="290" w:lineRule="auto"/>
      </w:pPr>
    </w:lvl>
  </w:abstractNum>
  <w:num w:numId="12">
    <w:abstractNumId w:val="11"/>
  </w:num>
  <w:abstractNum w:abstractNumId="12">
    <w:multiLevelType w:val="singleLevel"/>
    <w:lvl w:ilvl="0">
      <w:start w:val="1"/>
      <w:numFmt w:val="decimal"/>
      <w:lvlText w:val="%1."/>
      <w:lvlJc w:val="left"/>
      <w:pPr>
        <w:tabs>
          <w:tab w:val="num" w:pos="540"/>
        </w:tabs>
        <w:ind w:left="540" w:hanging="279"/>
        <w:spacing w:after="80" w:line="290" w:lineRule="auto"/>
      </w:pPr>
    </w:lvl>
  </w:abstractNum>
  <w:num w:numId="13">
    <w:abstractNumId w:val="12"/>
  </w:num>
  <w:abstractNum w:abstractNumId="13">
    <w:multiLevelType w:val="singleLevel"/>
    <w:lvl w:ilvl="0">
      <w:start w:val="1"/>
      <w:numFmt w:val="decimal"/>
      <w:lvlText w:val="%1."/>
      <w:lvlJc w:val="left"/>
      <w:pPr>
        <w:tabs>
          <w:tab w:val="num" w:pos="540"/>
        </w:tabs>
        <w:ind w:left="540" w:hanging="279"/>
        <w:spacing w:after="80" w:line="290" w:lineRule="auto"/>
      </w:pPr>
    </w:lvl>
  </w:abstractNum>
  <w:num w:numId="14">
    <w:abstractNumId w:val="13"/>
  </w:num>
  <w:abstractNum w:abstractNumId="14">
    <w:multiLevelType w:val="singleLevel"/>
    <w:lvl w:ilvl="0">
      <w:start w:val="1"/>
      <w:numFmt w:val="decimal"/>
      <w:lvlText w:val="%1."/>
      <w:lvlJc w:val="left"/>
      <w:pPr>
        <w:tabs>
          <w:tab w:val="num" w:pos="540"/>
        </w:tabs>
        <w:ind w:left="540" w:hanging="279"/>
        <w:spacing w:after="80" w:line="290" w:lineRule="auto"/>
      </w:pPr>
    </w:lvl>
  </w:abstractNum>
  <w:num w:numId="15">
    <w:abstractNumId w:val="14"/>
  </w:num>
  <w:abstractNum w:abstractNumId="15">
    <w:multiLevelType w:val="singleLevel"/>
    <w:lvl w:ilvl="0">
      <w:start w:val="1"/>
      <w:numFmt w:val="decimal"/>
      <w:lvlText w:val="%1."/>
      <w:lvlJc w:val="left"/>
      <w:pPr>
        <w:tabs>
          <w:tab w:val="num" w:pos="540"/>
        </w:tabs>
        <w:ind w:left="540" w:hanging="279"/>
        <w:spacing w:after="80" w:line="290" w:lineRule="auto"/>
      </w:pPr>
    </w:lvl>
  </w:abstractNum>
  <w:num w:numId="16">
    <w:abstractNumId w:val="15"/>
  </w:num>
  <w:abstractNum w:abstractNumId="16">
    <w:multiLevelType w:val="singleLevel"/>
    <w:lvl w:ilvl="0">
      <w:start w:val="1"/>
      <w:numFmt w:val="decimal"/>
      <w:lvlText w:val="%1."/>
      <w:lvlJc w:val="left"/>
      <w:pPr>
        <w:tabs>
          <w:tab w:val="num" w:pos="540"/>
        </w:tabs>
        <w:ind w:left="540" w:hanging="279"/>
        <w:spacing w:after="80" w:line="290" w:lineRule="auto"/>
      </w:pPr>
    </w:lvl>
  </w:abstractNum>
  <w:num w:numId="17">
    <w:abstractNumId w:val="16"/>
  </w:num>
  <w:abstractNum w:abstractNumId="17">
    <w:multiLevelType w:val="singleLevel"/>
    <w:lvl w:ilvl="0">
      <w:start w:val="1"/>
      <w:numFmt w:val="decimal"/>
      <w:lvlText w:val="%1."/>
      <w:lvlJc w:val="left"/>
      <w:pPr>
        <w:tabs>
          <w:tab w:val="num" w:pos="540"/>
        </w:tabs>
        <w:ind w:left="540" w:hanging="279"/>
        <w:spacing w:after="80" w:line="290" w:lineRule="auto"/>
      </w:pPr>
    </w:lvl>
  </w:abstractNum>
  <w:num w:numId="18">
    <w:abstractNumId w:val="17"/>
  </w:num>
  <w:abstractNum w:abstractNumId="18">
    <w:multiLevelType w:val="singleLevel"/>
    <w:lvl w:ilvl="0">
      <w:start w:val="1"/>
      <w:numFmt w:val="decimal"/>
      <w:lvlText w:val="%1."/>
      <w:lvlJc w:val="left"/>
      <w:pPr>
        <w:tabs>
          <w:tab w:val="num" w:pos="540"/>
        </w:tabs>
        <w:ind w:left="540" w:hanging="279"/>
        <w:spacing w:after="80" w:line="290" w:lineRule="auto"/>
      </w:pPr>
    </w:lvl>
  </w:abstractNum>
  <w:num w:numId="19">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60" w:line="320" w:lineRule="auto"/>
      <w:jc w:val="both"/>
    </w:pPr>
    <w:rPr>
      <w:rFonts w:ascii="Calibri" w:hAnsi="Calibri" w:eastAsia="Microsoft YaHei"/>
      <w:color w:val="202124"/>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eastAsia="Microsoft YaHe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eastAsia="Microsoft YaHe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eastAsia="Microsoft YaHe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before="60" w:after="200"/>
      <w:jc w:val="center"/>
    </w:pPr>
    <w:rPr>
      <w:rFonts w:ascii="Calibri" w:hAnsi="Calibri" w:eastAsia="Microsoft YaHei"/>
      <w:b/>
      <w:bCs/>
      <w:i/>
      <w:color w:val="626B75"/>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Lead">
    <w:name w:val="Lead"/>
    <w:pPr>
      <w:spacing w:before="40" w:after="240" w:line="312" w:lineRule="auto"/>
      <w:jc w:val="left"/>
    </w:pPr>
    <w:rPr>
      <w:rFonts w:ascii="Calibri" w:hAnsi="Calibri" w:eastAsia="Microsoft YaHei"/>
      <w:color w:val="203748"/>
      <w:sz w:val="24"/>
    </w:rPr>
  </w:style>
  <w:style w:type="paragraph" w:customStyle="1" w:styleId="Formula">
    <w:name w:val="Formula"/>
    <w:pPr>
      <w:keepLines/>
      <w:spacing w:before="100" w:after="200"/>
      <w:jc w:val="center"/>
    </w:pPr>
    <w:rPr>
      <w:rFonts w:ascii="Calibri" w:hAnsi="Calibri" w:eastAsia="Microsoft YaHei"/>
      <w:b/>
      <w:color w:val="203748"/>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www.bilibili.com/video/BV1etjE69Efx" TargetMode="External"/><Relationship Id="rId12" Type="http://schemas.openxmlformats.org/officeDocument/2006/relationships/hyperlink" Target="https://drive.google.com/drive/folders/1d0kx6WTJ-KHDMVjCsGvT64H4urwDL7_h" TargetMode="External"/><Relationship Id="rId13" Type="http://schemas.openxmlformats.org/officeDocument/2006/relationships/image" Target="media/image1.png"/><Relationship Id="rId14" Type="http://schemas.openxmlformats.org/officeDocument/2006/relationships/image" Target="media/image2.png"/><Relationship Id="rId15" Type="http://schemas.openxmlformats.org/officeDocument/2006/relationships/image" Target="media/image3.png"/><Relationship Id="rId16" Type="http://schemas.openxmlformats.org/officeDocument/2006/relationships/image" Target="media/image4.png"/><Relationship Id="rId17" Type="http://schemas.openxmlformats.org/officeDocument/2006/relationships/image" Target="media/image5.png"/><Relationship Id="rId18" Type="http://schemas.openxmlformats.org/officeDocument/2006/relationships/image" Target="media/image6.png"/><Relationship Id="rId19" Type="http://schemas.openxmlformats.org/officeDocument/2006/relationships/image" Target="media/image7.png"/><Relationship Id="rId20" Type="http://schemas.openxmlformats.org/officeDocument/2006/relationships/image" Target="media/image8.png"/><Relationship Id="rId21"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vLLM 低比特量化实践：AutoRound 核心机制与架构优化</dc:title>
  <dc:subject>技术视频与 PPT 整理的技术博客</dc:subject>
  <dc:creator>Technical Blog Pipeline</dc:creator>
  <cp:keywords>technical blog, video, PPT, AI systems</cp:keywords>
  <dc:description>Generated from user-provided media and slides.</dc:description>
  <cp:lastModifiedBy/>
  <cp:revision>1</cp:revision>
  <dcterms:created xsi:type="dcterms:W3CDTF">2013-12-23T23:15:00Z</dcterms:created>
  <dcterms:modified xsi:type="dcterms:W3CDTF">2013-12-23T23:15:00Z</dcterms:modified>
  <cp:category/>
</cp:coreProperties>
</file>