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GLM-5 昇腾推理优化：从架构瓶颈到端到端性能的系统性拆解</w:t>
      </w:r>
    </w:p>
    <w:p>
      <w:pPr>
        <w:spacing w:before="840" w:after="160"/>
        <w:jc w:val="center"/>
      </w:pPr>
      <w:r>
        <w:rPr>
          <w:rFonts w:ascii="Calibri" w:hAnsi="Calibri" w:eastAsia="Microsoft YaHei"/>
          <w:i/>
          <w:color w:val="626B75"/>
          <w:sz w:val="21"/>
        </w:rPr>
        <w:t>基于技术演讲与配套材料整理</w:t>
      </w:r>
    </w:p>
    <w:p>
      <w:pPr>
        <w:spacing w:after="80"/>
        <w:jc w:val="center"/>
      </w:pPr>
      <w:r>
        <w:rPr>
          <w:rFonts w:ascii="Calibri" w:hAnsi="Calibri" w:eastAsia="Microsoft YaHei"/>
          <w:color w:val="626B75"/>
          <w:sz w:val="19"/>
        </w:rPr>
        <w:t>配套材料：GLM-5优化.pptx</w:t>
      </w:r>
    </w:p>
    <w:p>
      <w:pPr>
        <w:spacing w:before="680"/>
        <w:jc w:val="center"/>
      </w:pPr>
      <w:r>
        <w:rPr>
          <w:rFonts w:ascii="Calibri" w:hAnsi="Calibri" w:eastAsia="Microsoft YaHei"/>
          <w:color w:val="626B75"/>
          <w:sz w:val="20"/>
        </w:rPr>
        <w:t>2026-08-05</w:t>
      </w:r>
      <w:r>
        <w:br w:type="page"/>
      </w:r>
    </w:p>
    <w:p>
      <w:pPr>
        <w:pStyle w:val="Lead"/>
      </w:pPr>
      <w:r>
        <w:rPr>
          <w:b/>
        </w:rPr>
        <w:t>原视频</w:t>
      </w:r>
      <w:r>
        <w:t>：</w:t>
      </w:r>
      <w:hyperlink r:id="rId11">
        <w:r>
          <w:rPr>
            <w:color w:val="0563C1"/>
            <w:u w:val="single"/>
          </w:rPr>
          <w:t>昇腾部署 GLM-5 指南</w:t>
        </w:r>
      </w:hyperlink>
      <w:r>
        <w:t xml:space="preserve"> · </w:t>
      </w:r>
      <w:r>
        <w:rPr>
          <w:b/>
        </w:rPr>
        <w:t>配套资料</w:t>
      </w:r>
      <w:r>
        <w:t>：</w:t>
      </w:r>
      <w:hyperlink r:id="rId12">
        <w:r>
          <w:rPr>
            <w:color w:val="0563C1"/>
            <w:u w:val="single"/>
          </w:rPr>
          <w:t>GLM-5 优化</w:t>
        </w:r>
      </w:hyperlink>
    </w:p>
    <w:p>
      <w:pPr/>
      <w:r>
        <w:t>大语言模型推理部署的工程难度，往往不在于单一技术点的攻克，而在于延迟、吞吐与显存三者之间的持续博弈。GLM-5 作为一款采用 MoE（Mixture of Experts，混合专家）架构与独特注意力结构的大模型，在长序列推理场景下将这一博弈推向了极端：Prefill 阶段计算量爆炸、KV Cache 吞噬显存、Decode 阶段通信占比过高——任何单点优化都不足以解决全局问题。</w:t>
      </w:r>
    </w:p>
    <w:p>
      <w:pPr/>
      <w:r>
        <w:t>本文基于 GLM-5 在华为昇腾（Ascend）平台上的推理优化实践，沿"指标定义 → 瓶颈定位 → 架构拆分 → 数据压缩 → 算子加速 → 端到端验证"的因果链，系统拆解从分析框架到工程落地的完整路径。</w:t>
      </w:r>
    </w:p>
    <w:p>
      <w:pPr/>
      <w:r>
        <w:rPr>
          <w:b/>
        </w:rPr>
        <w:t>适读人群</w:t>
      </w:r>
      <w:r>
        <w:t>：具备大模型基础，关注推理性能优化、算力部署及底层加速机制的 AI 工程师与架构师。</w:t>
      </w:r>
    </w:p>
    <w:p>
      <w:pPr/>
      <w:r>
        <w:rPr>
          <w:b/>
        </w:rPr>
        <w:t>前置知识</w:t>
      </w:r>
      <w:r>
        <w:t>：</w:t>
      </w:r>
    </w:p>
    <w:p>
      <w:pPr>
        <w:spacing w:after="80" w:line="290" w:lineRule="auto"/>
        <w:numPr>
          <w:ilvl w:val="0"/>
          <w:numId w:val="10"/>
        </w:numPr>
      </w:pPr>
      <w:r>
        <w:t>了解大语言模型推理的基本过程（Prefill 与 Decode 两阶段）。</w:t>
      </w:r>
    </w:p>
    <w:p>
      <w:pPr>
        <w:spacing w:after="80" w:line="290" w:lineRule="auto"/>
        <w:numPr>
          <w:ilvl w:val="0"/>
          <w:numId w:val="10"/>
        </w:numPr>
      </w:pPr>
      <w:r>
        <w:t>熟悉常见的分布式并行策略（TP、DP、PP）。</w:t>
      </w:r>
    </w:p>
    <w:p>
      <w:pPr>
        <w:spacing w:after="80" w:line="290" w:lineRule="auto"/>
        <w:numPr>
          <w:ilvl w:val="0"/>
          <w:numId w:val="10"/>
        </w:numPr>
      </w:pPr>
      <w:r>
        <w:t>对显存带宽、计算密集型与访存密集型任务有基本概念。</w:t>
      </w:r>
    </w:p>
    <w:p>
      <w:pPr/>
      <w:r>
        <w:rPr>
          <w:b/>
        </w:rPr>
        <w:t>阅读目标</w:t>
      </w:r>
      <w:r>
        <w:t>：</w:t>
      </w:r>
    </w:p>
    <w:p>
      <w:pPr>
        <w:spacing w:after="80" w:line="290" w:lineRule="auto"/>
        <w:numPr>
          <w:ilvl w:val="0"/>
          <w:numId w:val="12"/>
        </w:numPr>
      </w:pPr>
      <w:r>
        <w:t>掌握大模型推理性能的核心指标及其相互制约关系。</w:t>
      </w:r>
    </w:p>
    <w:p>
      <w:pPr>
        <w:spacing w:after="80" w:line="290" w:lineRule="auto"/>
        <w:numPr>
          <w:ilvl w:val="0"/>
          <w:numId w:val="12"/>
        </w:numPr>
      </w:pPr>
      <w:r>
        <w:t>理解 GLM-5 在长序列场景下的结构瓶颈。</w:t>
      </w:r>
    </w:p>
    <w:p>
      <w:pPr>
        <w:spacing w:after="80" w:line="290" w:lineRule="auto"/>
        <w:numPr>
          <w:ilvl w:val="0"/>
          <w:numId w:val="12"/>
        </w:numPr>
      </w:pPr>
      <w:r>
        <w:t>学会根据计算与访存特性设计 PD 分离及差异化并行策略。</w:t>
      </w:r>
    </w:p>
    <w:p>
      <w:pPr>
        <w:spacing w:after="80" w:line="290" w:lineRule="auto"/>
        <w:numPr>
          <w:ilvl w:val="0"/>
          <w:numId w:val="12"/>
        </w:numPr>
      </w:pPr>
      <w:r>
        <w:t>了解量化、图模式及融合算子在昇腾硬件上的加速原理。</w:t>
      </w:r>
    </w:p>
    <w:p>
      <w:pPr>
        <w:pStyle w:val="Heading1"/>
      </w:pPr>
      <w:r>
        <w:t>一、推理优化的核心矛盾与分析框架</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本节核心问题</w:t>
      </w:r>
      <w:r>
        <w:rPr>
          <w:rFonts w:ascii="Calibri" w:hAnsi="Calibri" w:eastAsia="Microsoft YaHei"/>
          <w:color w:val="203748"/>
          <w:sz w:val="23"/>
        </w:rPr>
        <w:t>：大模型推理优化应该先做什么？如何建立可复用的分析方法？</w:t>
      </w:r>
    </w:p>
    <w:p>
      <w:pPr/>
      <w:r>
        <w:t>部署 GLM-5 时，工程师面对的第一个问题不是"怎么优化"，而是"优化什么、为谁优化"。脱离业务目标的优化，只会在延迟和吞吐之间反复摇摆。本节明确四个核心性能指标的制约关系，并给出一套四步分析方法，为后续所有优化决策提供判断依据。</w:t>
      </w:r>
    </w:p>
    <w:p>
      <w:pPr>
        <w:pStyle w:val="Heading2"/>
      </w:pPr>
      <w:r>
        <w:t>四个核心指标与两类阶段</w:t>
      </w:r>
    </w:p>
    <w:p>
      <w:pPr/>
      <w:r>
        <w:t>大模型推理性能由四个指标刻画：</w:t>
      </w:r>
    </w:p>
    <w:tbl>
      <w:tblPr>
        <w:tblStyle w:val="TableGrid"/>
        <w:tblW w:type="dxa" w:w="9360"/>
        <w:jc w:val="left"/>
        <w:tblLayout w:type="fixed"/>
        <w:tblLook w:firstColumn="1" w:firstRow="1" w:lastColumn="0" w:lastRow="0" w:noHBand="0" w:noVBand="1" w:val="04A0"/>
        <w:tblInd w:w="120" w:type="dxa"/>
      </w:tblPr>
      <w:tblGrid>
        <w:gridCol w:w="1361"/>
        <w:gridCol w:w="3188"/>
        <w:gridCol w:w="2601"/>
        <w:gridCol w:w="2210"/>
      </w:tblGrid>
      <w:tr>
        <w:trPr>
          <w:tblHeader w:val="true"/>
        </w:trPr>
        <w:tc>
          <w:tcPr>
            <w:tcW w:type="dxa" w:w="136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指标</w:t>
            </w:r>
          </w:p>
        </w:tc>
        <w:tc>
          <w:tcPr>
            <w:tcW w:type="dxa" w:w="318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全称</w:t>
            </w:r>
          </w:p>
        </w:tc>
        <w:tc>
          <w:tcPr>
            <w:tcW w:type="dxa" w:w="260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决定因素</w:t>
            </w:r>
          </w:p>
        </w:tc>
        <w:tc>
          <w:tcPr>
            <w:tcW w:type="dxa" w:w="221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性质</w:t>
            </w:r>
          </w:p>
        </w:tc>
      </w:tr>
      <w:tr>
        <w:tc>
          <w:tcPr>
            <w:tcW w:type="dxa" w:w="1361"/>
            <w:vAlign w:val="center"/>
            <w:tcMar>
              <w:top w:w="80" w:type="dxa"/>
              <w:start w:w="120" w:type="dxa"/>
              <w:bottom w:w="80" w:type="dxa"/>
              <w:end w:w="120" w:type="dxa"/>
            </w:tcMar>
          </w:tcPr>
          <w:p>
            <w:pPr>
              <w:spacing w:before="0" w:after="0" w:line="259" w:lineRule="auto"/>
            </w:pPr>
            <w:r>
              <w:rPr>
                <w:rFonts w:ascii="Calibri" w:hAnsi="Calibri" w:eastAsia="Microsoft YaHei"/>
                <w:b/>
                <w:sz w:val="18"/>
              </w:rPr>
              <w:t>TTFT</w:t>
            </w:r>
          </w:p>
        </w:tc>
        <w:tc>
          <w:tcPr>
            <w:tcW w:type="dxa" w:w="3188"/>
            <w:vAlign w:val="center"/>
            <w:tcMar>
              <w:top w:w="80" w:type="dxa"/>
              <w:start w:w="120" w:type="dxa"/>
              <w:bottom w:w="80" w:type="dxa"/>
              <w:end w:w="120" w:type="dxa"/>
            </w:tcMar>
          </w:tcPr>
          <w:p>
            <w:pPr>
              <w:spacing w:before="0" w:after="0" w:line="259" w:lineRule="auto"/>
            </w:pPr>
            <w:r>
              <w:rPr>
                <w:rFonts w:ascii="Calibri" w:hAnsi="Calibri" w:eastAsia="Microsoft YaHei"/>
                <w:sz w:val="18"/>
              </w:rPr>
              <w:t>Time To First Token，首 Token 延迟</w:t>
            </w:r>
          </w:p>
        </w:tc>
        <w:tc>
          <w:tcPr>
            <w:tcW w:type="dxa" w:w="2601"/>
            <w:vAlign w:val="center"/>
            <w:tcMar>
              <w:top w:w="80" w:type="dxa"/>
              <w:start w:w="120" w:type="dxa"/>
              <w:bottom w:w="80" w:type="dxa"/>
              <w:end w:w="120" w:type="dxa"/>
            </w:tcMar>
          </w:tcPr>
          <w:p>
            <w:pPr>
              <w:spacing w:before="0" w:after="0" w:line="259" w:lineRule="auto"/>
            </w:pPr>
            <w:r>
              <w:rPr>
                <w:rFonts w:ascii="Calibri" w:hAnsi="Calibri" w:eastAsia="Microsoft YaHei"/>
                <w:sz w:val="18"/>
              </w:rPr>
              <w:t>Prefill 阶段处理全部输入 prompt</w:t>
            </w:r>
          </w:p>
        </w:tc>
        <w:tc>
          <w:tcPr>
            <w:tcW w:type="dxa" w:w="22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计算密集，与输入长度正相关</w:t>
            </w:r>
          </w:p>
        </w:tc>
      </w:tr>
      <w:tr>
        <w:tc>
          <w:tcPr>
            <w:tcW w:type="dxa" w:w="1361"/>
            <w:vAlign w:val="center"/>
            <w:tcMar>
              <w:top w:w="80" w:type="dxa"/>
              <w:start w:w="120" w:type="dxa"/>
              <w:bottom w:w="80" w:type="dxa"/>
              <w:end w:w="120" w:type="dxa"/>
            </w:tcMar>
          </w:tcPr>
          <w:p>
            <w:pPr>
              <w:spacing w:before="0" w:after="0" w:line="259" w:lineRule="auto"/>
            </w:pPr>
            <w:r>
              <w:rPr>
                <w:rFonts w:ascii="Calibri" w:hAnsi="Calibri" w:eastAsia="Microsoft YaHei"/>
                <w:b/>
                <w:sz w:val="18"/>
              </w:rPr>
              <w:t>TPOT</w:t>
            </w:r>
          </w:p>
        </w:tc>
        <w:tc>
          <w:tcPr>
            <w:tcW w:type="dxa" w:w="3188"/>
            <w:vAlign w:val="center"/>
            <w:tcMar>
              <w:top w:w="80" w:type="dxa"/>
              <w:start w:w="120" w:type="dxa"/>
              <w:bottom w:w="80" w:type="dxa"/>
              <w:end w:w="120" w:type="dxa"/>
            </w:tcMar>
          </w:tcPr>
          <w:p>
            <w:pPr>
              <w:spacing w:before="0" w:after="0" w:line="259" w:lineRule="auto"/>
            </w:pPr>
            <w:r>
              <w:rPr>
                <w:rFonts w:ascii="Calibri" w:hAnsi="Calibri" w:eastAsia="Microsoft YaHei"/>
                <w:sz w:val="18"/>
              </w:rPr>
              <w:t>Time Per Output Token，每 Token 延迟</w:t>
            </w:r>
          </w:p>
        </w:tc>
        <w:tc>
          <w:tcPr>
            <w:tcW w:type="dxa" w:w="2601"/>
            <w:vAlign w:val="center"/>
            <w:tcMar>
              <w:top w:w="80" w:type="dxa"/>
              <w:start w:w="120" w:type="dxa"/>
              <w:bottom w:w="80" w:type="dxa"/>
              <w:end w:w="120" w:type="dxa"/>
            </w:tcMar>
          </w:tcPr>
          <w:p>
            <w:pPr>
              <w:spacing w:before="0" w:after="0" w:line="259" w:lineRule="auto"/>
            </w:pPr>
            <w:r>
              <w:rPr>
                <w:rFonts w:ascii="Calibri" w:hAnsi="Calibri" w:eastAsia="Microsoft YaHei"/>
                <w:sz w:val="18"/>
              </w:rPr>
              <w:t>Decode 阶段逐 token 生成</w:t>
            </w:r>
          </w:p>
        </w:tc>
        <w:tc>
          <w:tcPr>
            <w:tcW w:type="dxa" w:w="22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访存密集，受带宽与显存制约</w:t>
            </w:r>
          </w:p>
        </w:tc>
      </w:tr>
      <w:tr>
        <w:tc>
          <w:tcPr>
            <w:tcW w:type="dxa" w:w="1361"/>
            <w:vAlign w:val="center"/>
            <w:tcMar>
              <w:top w:w="80" w:type="dxa"/>
              <w:start w:w="120" w:type="dxa"/>
              <w:bottom w:w="80" w:type="dxa"/>
              <w:end w:w="120" w:type="dxa"/>
            </w:tcMar>
          </w:tcPr>
          <w:p>
            <w:pPr>
              <w:spacing w:before="0" w:after="0" w:line="259" w:lineRule="auto"/>
            </w:pPr>
            <w:r>
              <w:rPr>
                <w:rFonts w:ascii="Calibri" w:hAnsi="Calibri" w:eastAsia="Microsoft YaHei"/>
                <w:b/>
                <w:sz w:val="18"/>
              </w:rPr>
              <w:t>吞吐量</w:t>
            </w:r>
          </w:p>
        </w:tc>
        <w:tc>
          <w:tcPr>
            <w:tcW w:type="dxa" w:w="3188"/>
            <w:vAlign w:val="center"/>
            <w:tcMar>
              <w:top w:w="80" w:type="dxa"/>
              <w:start w:w="120" w:type="dxa"/>
              <w:bottom w:w="80" w:type="dxa"/>
              <w:end w:w="120" w:type="dxa"/>
            </w:tcMar>
          </w:tcPr>
          <w:p>
            <w:pPr>
              <w:spacing w:before="0" w:after="0" w:line="259" w:lineRule="auto"/>
            </w:pPr>
            <w:r>
              <w:rPr>
                <w:rFonts w:ascii="Calibri" w:hAnsi="Calibri" w:eastAsia="Microsoft YaHei"/>
                <w:sz w:val="18"/>
              </w:rPr>
              <w:t>单位时间生成的 token 总量（TPS）</w:t>
            </w:r>
          </w:p>
        </w:tc>
        <w:tc>
          <w:tcPr>
            <w:tcW w:type="dxa" w:w="26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系统整体处理能力</w:t>
            </w:r>
          </w:p>
        </w:tc>
        <w:tc>
          <w:tcPr>
            <w:tcW w:type="dxa" w:w="22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并发越高通常越大，但存在上限</w:t>
            </w:r>
          </w:p>
        </w:tc>
      </w:tr>
      <w:tr>
        <w:tc>
          <w:tcPr>
            <w:tcW w:type="dxa" w:w="1361"/>
            <w:vAlign w:val="center"/>
            <w:tcMar>
              <w:top w:w="80" w:type="dxa"/>
              <w:start w:w="120" w:type="dxa"/>
              <w:bottom w:w="80" w:type="dxa"/>
              <w:end w:w="120" w:type="dxa"/>
            </w:tcMar>
          </w:tcPr>
          <w:p>
            <w:pPr>
              <w:spacing w:before="0" w:after="0" w:line="259" w:lineRule="auto"/>
            </w:pPr>
            <w:r>
              <w:rPr>
                <w:rFonts w:ascii="Calibri" w:hAnsi="Calibri" w:eastAsia="Microsoft YaHei"/>
                <w:b/>
                <w:sz w:val="18"/>
              </w:rPr>
              <w:t>并发能力</w:t>
            </w:r>
          </w:p>
        </w:tc>
        <w:tc>
          <w:tcPr>
            <w:tcW w:type="dxa" w:w="318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系统可同时服务的请求数</w:t>
            </w:r>
          </w:p>
        </w:tc>
        <w:tc>
          <w:tcPr>
            <w:tcW w:type="dxa" w:w="26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显存（HBM）容量上限</w:t>
            </w:r>
          </w:p>
        </w:tc>
        <w:tc>
          <w:tcPr>
            <w:tcW w:type="dxa" w:w="221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受 KV Cache 占用直接约束</w:t>
            </w:r>
          </w:p>
        </w:tc>
      </w:tr>
    </w:tbl>
    <w:p>
      <w:pPr>
        <w:spacing w:after="40"/>
      </w:pPr>
    </w:p>
    <w:p>
      <w:pPr/>
      <w:r>
        <w:t>Prefill（推理首阶段，一次性处理完整输入序列）与 Decode（生成阶段，逐 token 输出）性质截然不同：前者瓶颈在算力，后者瓶颈在显存带宽。这意味着同一个优化手段很难同时改善 TTFT 和 TPOT——选择优化方向之前，必须先知道业务更在意哪一端。</w:t>
      </w:r>
    </w:p>
    <w:p>
      <w:pPr>
        <w:pStyle w:val="Heading2"/>
      </w:pPr>
      <w:r>
        <w:t>核心矛盾：延迟与吞吐不可兼得</w:t>
      </w:r>
    </w:p>
    <w:p>
      <w:pPr/>
      <w:r>
        <w:t>四个指标之间存在一条根本的权衡链：</w:t>
      </w:r>
    </w:p>
    <w:p>
      <w:pPr>
        <w:spacing w:before="80" w:after="200" w:line="300" w:lineRule="auto"/>
        <w:ind w:left="317" w:right="173"/>
        <w:pBdr>
          <w:left w:val="single" w:sz="18" w:space="8" w:color="2E74B5"/>
        </w:pBdr>
        <w:shd w:fill="F4F6F9"/>
      </w:pPr>
      <w:r>
        <w:rPr>
          <w:rFonts w:ascii="Calibri" w:hAnsi="Calibri" w:eastAsia="Microsoft YaHei"/>
          <w:b/>
          <w:color w:val="203748"/>
          <w:sz w:val="23"/>
        </w:rPr>
        <w:t>增大 batch / 并发 → 吞吐↑，但单请求 TTFT、TPOT 同步↑；</w:t>
      </w:r>
    </w:p>
    <w:p>
      <w:pPr>
        <w:spacing w:before="80" w:after="200" w:line="300" w:lineRule="auto"/>
        <w:ind w:left="317" w:right="173"/>
        <w:pBdr>
          <w:left w:val="single" w:sz="18" w:space="8" w:color="2E74B5"/>
        </w:pBdr>
        <w:shd w:fill="F4F6F9"/>
      </w:pPr>
      <w:r>
        <w:rPr>
          <w:rFonts w:ascii="Calibri" w:hAnsi="Calibri" w:eastAsia="Microsoft YaHei"/>
          <w:b/>
          <w:color w:val="203748"/>
          <w:sz w:val="23"/>
        </w:rPr>
        <w:t>追求极低延迟（小 batch）→ 算力喂不满，吞吐↓、单位成本↑。</w:t>
      </w:r>
    </w:p>
    <w:p>
      <w:pPr/>
      <w:r>
        <w:t>这条权衡链的物理根源在于三类资源的共享：</w:t>
      </w:r>
    </w:p>
    <w:p>
      <w:pPr>
        <w:spacing w:after="80" w:line="290" w:lineRule="auto"/>
        <w:numPr>
          <w:ilvl w:val="0"/>
          <w:numId w:val="13"/>
        </w:numPr>
      </w:pPr>
      <w:r>
        <w:rPr>
          <w:b/>
        </w:rPr>
        <w:t>算力</w:t>
      </w:r>
      <w:r>
        <w:t>：batch 增大时计算单元利用率提升，但单请求排队与调度开销增加。</w:t>
      </w:r>
    </w:p>
    <w:p>
      <w:pPr>
        <w:spacing w:after="80" w:line="290" w:lineRule="auto"/>
        <w:numPr>
          <w:ilvl w:val="0"/>
          <w:numId w:val="13"/>
        </w:numPr>
      </w:pPr>
      <w:r>
        <w:rPr>
          <w:b/>
        </w:rPr>
        <w:t>带宽</w:t>
      </w:r>
      <w:r>
        <w:t>：Decode 阶段多请求共享 HBM 带宽，并发越高，每条请求分到的有效带宽越低。</w:t>
      </w:r>
    </w:p>
    <w:p>
      <w:pPr>
        <w:spacing w:after="80" w:line="290" w:lineRule="auto"/>
        <w:numPr>
          <w:ilvl w:val="0"/>
          <w:numId w:val="13"/>
        </w:numPr>
      </w:pPr>
      <w:r>
        <w:rPr>
          <w:b/>
        </w:rPr>
        <w:t>显存</w:t>
      </w:r>
      <w:r>
        <w:t>：权重、KV Cache（Key-Value Cache，推理中缓存的历史键值对）和激活值共同占用 HBM。KV Cache 随并发请求数线性增长，直接决定系统可容纳的最大并发数。</w:t>
      </w:r>
    </w:p>
    <w:p>
      <w:pPr/>
      <w:r>
        <w:rPr>
          <w:b/>
        </w:rPr>
        <w:t>显存是总闸门。</w:t>
      </w:r>
      <w:r>
        <w:t xml:space="preserve"> 无论算力多强、带宽多大，一旦 HBM 被权重和 KV Cache 占满，就无法再接纳新请求。SLO（Service Level Objective，服务质量目标）为 batch size 设了上限，显存为其设了天花板，真正可用的值取两者最小值。</w:t>
      </w:r>
    </w:p>
    <w:p>
      <w:pPr>
        <w:pStyle w:val="Heading2"/>
      </w:pPr>
      <w:r>
        <w:t>四步分析框架</w:t>
      </w:r>
    </w:p>
    <w:p>
      <w:pPr/>
      <w:r>
        <w:t>面对任何模型的推理优化，可以按如下四步闭环推进：</w:t>
      </w:r>
    </w:p>
    <w:tbl>
      <w:tblPr>
        <w:tblStyle w:val="TableGrid"/>
        <w:tblW w:type="dxa" w:w="9360"/>
        <w:jc w:val="left"/>
        <w:tblLayout w:type="fixed"/>
        <w:tblLook w:firstColumn="1" w:firstRow="1" w:lastColumn="0" w:lastRow="0" w:noHBand="0" w:noVBand="1" w:val="04A0"/>
        <w:tblInd w:w="120" w:type="dxa"/>
      </w:tblPr>
      <w:tblGrid>
        <w:gridCol w:w="1870"/>
        <w:gridCol w:w="5140"/>
        <w:gridCol w:w="2350"/>
      </w:tblGrid>
      <w:tr>
        <w:trPr>
          <w:tblHeader w:val="true"/>
        </w:trPr>
        <w:tc>
          <w:tcPr>
            <w:tcW w:type="dxa" w:w="187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步骤</w:t>
            </w:r>
          </w:p>
        </w:tc>
        <w:tc>
          <w:tcPr>
            <w:tcW w:type="dxa" w:w="514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动作</w:t>
            </w:r>
          </w:p>
        </w:tc>
        <w:tc>
          <w:tcPr>
            <w:tcW w:type="dxa" w:w="235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关键输入</w:t>
            </w:r>
          </w:p>
        </w:tc>
      </w:tr>
      <w:tr>
        <w:tc>
          <w:tcPr>
            <w:tcW w:type="dxa" w:w="187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① </w:t>
            </w:r>
            <w:r>
              <w:rPr>
                <w:rFonts w:ascii="Calibri" w:hAnsi="Calibri" w:eastAsia="Microsoft YaHei"/>
                <w:b/>
                <w:sz w:val="18"/>
              </w:rPr>
              <w:t>定指标与目标</w:t>
            </w:r>
          </w:p>
        </w:tc>
        <w:tc>
          <w:tcPr>
            <w:tcW w:type="dxa" w:w="5140"/>
            <w:vAlign w:val="center"/>
            <w:tcMar>
              <w:top w:w="80" w:type="dxa"/>
              <w:start w:w="120" w:type="dxa"/>
              <w:bottom w:w="80" w:type="dxa"/>
              <w:end w:w="120" w:type="dxa"/>
            </w:tcMar>
          </w:tcPr>
          <w:p>
            <w:pPr>
              <w:spacing w:before="0" w:after="0" w:line="259" w:lineRule="auto"/>
            </w:pPr>
            <w:r>
              <w:rPr>
                <w:rFonts w:ascii="Calibri" w:hAnsi="Calibri" w:eastAsia="Microsoft YaHei"/>
                <w:sz w:val="18"/>
              </w:rPr>
              <w:t>明确业务 SLO：输入/输出长度、TTFT 上限、TPOT 上限、目标吞吐与并发</w:t>
            </w:r>
          </w:p>
        </w:tc>
        <w:tc>
          <w:tcPr>
            <w:tcW w:type="dxa" w:w="23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产品需求文档</w:t>
            </w:r>
          </w:p>
        </w:tc>
      </w:tr>
      <w:tr>
        <w:tc>
          <w:tcPr>
            <w:tcW w:type="dxa" w:w="187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② </w:t>
            </w:r>
            <w:r>
              <w:rPr>
                <w:rFonts w:ascii="Calibri" w:hAnsi="Calibri" w:eastAsia="Microsoft YaHei"/>
                <w:b/>
                <w:sz w:val="18"/>
              </w:rPr>
              <w:t>找瓶颈</w:t>
            </w:r>
          </w:p>
        </w:tc>
        <w:tc>
          <w:tcPr>
            <w:tcW w:type="dxa" w:w="5140"/>
            <w:vAlign w:val="center"/>
            <w:tcMar>
              <w:top w:w="80" w:type="dxa"/>
              <w:start w:w="120" w:type="dxa"/>
              <w:bottom w:w="80" w:type="dxa"/>
              <w:end w:w="120" w:type="dxa"/>
            </w:tcMar>
          </w:tcPr>
          <w:p>
            <w:pPr>
              <w:spacing w:before="0" w:after="0" w:line="259" w:lineRule="auto"/>
            </w:pPr>
            <w:r>
              <w:rPr>
                <w:rFonts w:ascii="Calibri" w:hAnsi="Calibri" w:eastAsia="Microsoft YaHei"/>
                <w:sz w:val="18"/>
              </w:rPr>
              <w:t>区分 Prefill / Decode，判断 compute-bound 还是 memory-bound，定位卡点</w:t>
            </w:r>
          </w:p>
        </w:tc>
        <w:tc>
          <w:tcPr>
            <w:tcW w:type="dxa" w:w="23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Profiling 数据</w:t>
            </w:r>
          </w:p>
        </w:tc>
      </w:tr>
      <w:tr>
        <w:tc>
          <w:tcPr>
            <w:tcW w:type="dxa" w:w="187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③ </w:t>
            </w:r>
            <w:r>
              <w:rPr>
                <w:rFonts w:ascii="Calibri" w:hAnsi="Calibri" w:eastAsia="Microsoft YaHei"/>
                <w:b/>
                <w:sz w:val="18"/>
              </w:rPr>
              <w:t>选策略</w:t>
            </w:r>
          </w:p>
        </w:tc>
        <w:tc>
          <w:tcPr>
            <w:tcW w:type="dxa" w:w="5140"/>
            <w:vAlign w:val="center"/>
            <w:tcMar>
              <w:top w:w="80" w:type="dxa"/>
              <w:start w:w="120" w:type="dxa"/>
              <w:bottom w:w="80" w:type="dxa"/>
              <w:end w:w="120" w:type="dxa"/>
            </w:tcMar>
          </w:tcPr>
          <w:p>
            <w:pPr>
              <w:spacing w:before="0" w:after="0" w:line="259" w:lineRule="auto"/>
            </w:pPr>
            <w:r>
              <w:rPr>
                <w:rFonts w:ascii="Calibri" w:hAnsi="Calibri" w:eastAsia="Microsoft YaHei"/>
                <w:sz w:val="18"/>
              </w:rPr>
              <w:t>在并行组合、量化、PD 分离、图模式等手段中对症下药</w:t>
            </w:r>
          </w:p>
        </w:tc>
        <w:tc>
          <w:tcPr>
            <w:tcW w:type="dxa" w:w="23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硬件拓扑与框架能力</w:t>
            </w:r>
          </w:p>
        </w:tc>
      </w:tr>
      <w:tr>
        <w:tc>
          <w:tcPr>
            <w:tcW w:type="dxa" w:w="187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④ </w:t>
            </w:r>
            <w:r>
              <w:rPr>
                <w:rFonts w:ascii="Calibri" w:hAnsi="Calibri" w:eastAsia="Microsoft YaHei"/>
                <w:b/>
                <w:sz w:val="18"/>
              </w:rPr>
              <w:t>量化验证</w:t>
            </w:r>
          </w:p>
        </w:tc>
        <w:tc>
          <w:tcPr>
            <w:tcW w:type="dxa" w:w="5140"/>
            <w:vAlign w:val="center"/>
            <w:tcMar>
              <w:top w:w="80" w:type="dxa"/>
              <w:start w:w="120" w:type="dxa"/>
              <w:bottom w:w="80" w:type="dxa"/>
              <w:end w:w="120" w:type="dxa"/>
            </w:tcMar>
          </w:tcPr>
          <w:p>
            <w:pPr>
              <w:spacing w:before="0" w:after="0" w:line="259" w:lineRule="auto"/>
            </w:pPr>
            <w:r>
              <w:rPr>
                <w:rFonts w:ascii="Calibri" w:hAnsi="Calibri" w:eastAsia="Microsoft YaHei"/>
                <w:sz w:val="18"/>
              </w:rPr>
              <w:t>用实测 TTFT / TPOT / 吞吐回看 SLO，迭代调参直至达标</w:t>
            </w:r>
          </w:p>
        </w:tc>
        <w:tc>
          <w:tcPr>
            <w:tcW w:type="dxa" w:w="23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端到端 benchmark</w:t>
            </w:r>
          </w:p>
        </w:tc>
      </w:tr>
    </w:tbl>
    <w:p>
      <w:pPr>
        <w:spacing w:after="40"/>
      </w:pPr>
    </w:p>
    <w:p>
      <w:pPr/>
      <w:r>
        <w:t>评估每一个优化点时，始终追问三件事：</w:t>
      </w:r>
      <w:r>
        <w:rPr>
          <w:b/>
        </w:rPr>
        <w:t>它解决了哪个瓶颈？改善了哪个指标？付出了什么代价？</w:t>
      </w:r>
      <w:r>
        <w:t xml:space="preserve"> 如果回答不清楚，说明优化方向尚未对齐业务目标。</w:t>
      </w:r>
    </w:p>
    <w:p>
      <w:pPr>
        <w:pStyle w:val="Heading2"/>
      </w:pPr>
      <w:r>
        <w:t>最小例子：从 SLO 反推 batch size</w:t>
      </w:r>
    </w:p>
    <w:p>
      <w:pPr/>
      <w:r>
        <w:t>假设业务要求 TPOT &lt; 50 ms，单卡 Decode 一步在 batch=1 时耗时 10 ms。若 TPOT 与 batch size 近似线性增长（此处为简化说明的理想情形）：</w:t>
      </w:r>
    </w:p>
    <w:p>
      <w:pPr/>
      <w:r>
        <w:t>$TPOT ≈ t_base × B / B_0$</w:t>
      </w:r>
    </w:p>
    <w:p>
      <w:pPr/>
      <w:r>
        <w:t>其中 t_base = 10 ms，B_0 = 1。要满足 TPOT &lt; 50 ms，则 B &lt; 5。若显存最多支撑 8 条并发，则 batch 上限取 min(5, 8) = 5——SLO 而非显存成为实际约束。反之，若 SLO 放宽到 100 ms 而显存仍只撑 8 条，则显存成为闸门。</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注意</w:t>
      </w:r>
      <w:r>
        <w:rPr>
          <w:rFonts w:ascii="Calibri" w:hAnsi="Calibri" w:eastAsia="Microsoft YaHei"/>
          <w:color w:val="203748"/>
          <w:sz w:val="23"/>
        </w:rPr>
        <w:t>：上述线性关系仅用于说明反推逻辑。实际 TPOT 与 batch 的关系受硬件调度、算子融合等因素影响，需实测确定。</w:t>
      </w:r>
    </w:p>
    <w:p>
      <w:pPr/>
      <w:r>
        <w:rPr>
          <w:b/>
        </w:rPr>
        <w:t>结论</w:t>
      </w:r>
      <w:r>
        <w:t>：所有推理优化都是在"延迟、吞吐、显存"三角中寻找基于业务 SLO 的平衡点。四步分析框架为后续逐一拆解 GLM-5 在昇腾上的优化手段提供了统一的评判标准。</w:t>
      </w:r>
    </w:p>
    <w:p>
      <w:pPr>
        <w:pStyle w:val="Heading1"/>
      </w:pPr>
      <w:r>
        <w:t>二、GLM-5 结构特征与长序列瓶颈定位</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本节核心问题</w:t>
      </w:r>
      <w:r>
        <w:rPr>
          <w:rFonts w:ascii="Calibri" w:hAnsi="Calibri" w:eastAsia="Microsoft YaHei"/>
          <w:color w:val="203748"/>
          <w:sz w:val="23"/>
        </w:rPr>
        <w:t>：GLM-5 在处理长序列推理时，性能瓶颈究竟出现在哪个环节？</w:t>
      </w:r>
    </w:p>
    <w:p>
      <w:pPr/>
      <w:r>
        <w:t>上一节建立了通用分析框架，现在将其应用到具体模型上。GLM-5 并非标准 Transformer，其独特的注意力结构在长序列下会暴露出意料之外的性能热点。</w:t>
      </w:r>
    </w:p>
    <w:p>
      <w:pPr>
        <w:pStyle w:val="Heading2"/>
      </w:pPr>
      <w:r>
        <w:t>模型整体架构：DSA 与 Lightning Indexer</w:t>
      </w:r>
    </w:p>
    <w:p>
      <w:pPr/>
      <w:r>
        <w:t xml:space="preserve">GLM-5 的注意力层采用 </w:t>
      </w:r>
      <w:r>
        <w:rPr>
          <w:b/>
        </w:rPr>
        <w:t>DSA（Decoupled Sparse Attention，解耦稀疏注意力）</w:t>
      </w:r>
      <w:r>
        <w:t xml:space="preserve"> 结构，核心思路是将注意力计算中的稠密操作拆解为更稀疏的子操作，以降低长序列的计算开销。</w:t>
      </w:r>
    </w:p>
    <w:p>
      <w:pPr/>
      <w:r>
        <w:t xml:space="preserve">在 DSA 基础上，GLM-5 额外引入了 </w:t>
      </w:r>
      <w:r>
        <w:rPr>
          <w:b/>
        </w:rPr>
        <w:t>Lightning Indexer</w:t>
      </w:r>
      <w:r>
        <w:t xml:space="preserve"> 模块。该模块的职责是在长序列中执行高效的索引与筛选：面对大量 token 时，Lightning Indexer 先通过量化和打分，利用 TopK 选择器挑出最相关的 token 子集，再将子集送入后续的注意力计算。</w:t>
      </w:r>
    </w:p>
    <w:p>
      <w:pPr/>
      <w:r>
        <w:t>下表还原 PPT 第 9 页展示的数据流核心路径：</w:t>
      </w:r>
    </w:p>
    <w:tbl>
      <w:tblPr>
        <w:tblStyle w:val="TableGrid"/>
        <w:tblW w:type="dxa" w:w="9360"/>
        <w:jc w:val="left"/>
        <w:tblLayout w:type="fixed"/>
        <w:tblLook w:firstColumn="1" w:firstRow="1" w:lastColumn="0" w:lastRow="0" w:noHBand="0" w:noVBand="1" w:val="04A0"/>
        <w:tblInd w:w="120" w:type="dxa"/>
      </w:tblPr>
      <w:tblGrid>
        <w:gridCol w:w="1627"/>
        <w:gridCol w:w="3867"/>
        <w:gridCol w:w="3866"/>
      </w:tblGrid>
      <w:tr>
        <w:trPr>
          <w:tblHeader w:val="true"/>
        </w:trPr>
        <w:tc>
          <w:tcPr>
            <w:tcW w:type="dxa" w:w="162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步骤</w:t>
            </w:r>
          </w:p>
        </w:tc>
        <w:tc>
          <w:tcPr>
            <w:tcW w:type="dxa" w:w="386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模块</w:t>
            </w:r>
          </w:p>
        </w:tc>
        <w:tc>
          <w:tcPr>
            <w:tcW w:type="dxa" w:w="386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说明</w:t>
            </w:r>
          </w:p>
        </w:tc>
      </w:tr>
      <w:tr>
        <w:tc>
          <w:tcPr>
            <w:tcW w:type="dxa" w:w="1627"/>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386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Input Hidden</w:t>
            </w:r>
          </w:p>
        </w:tc>
        <w:tc>
          <w:tcPr>
            <w:tcW w:type="dxa" w:w="38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接收上一层的隐藏状态</w:t>
            </w:r>
          </w:p>
        </w:tc>
      </w:tr>
      <w:tr>
        <w:tc>
          <w:tcPr>
            <w:tcW w:type="dxa" w:w="1627"/>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386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RoPE 应用</w:t>
            </w:r>
          </w:p>
        </w:tc>
        <w:tc>
          <w:tcPr>
            <w:tcW w:type="dxa" w:w="38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注入旋转位置编码</w:t>
            </w:r>
          </w:p>
        </w:tc>
      </w:tr>
      <w:tr>
        <w:tc>
          <w:tcPr>
            <w:tcW w:type="dxa" w:w="1627"/>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386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Lightning Indexer</w:t>
            </w:r>
          </w:p>
        </w:tc>
        <w:tc>
          <w:tcPr>
            <w:tcW w:type="dxa" w:w="38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对序列进行量化打分</w:t>
            </w:r>
          </w:p>
        </w:tc>
      </w:tr>
      <w:tr>
        <w:tc>
          <w:tcPr>
            <w:tcW w:type="dxa" w:w="1627"/>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386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TopK Selector</w:t>
            </w:r>
          </w:p>
        </w:tc>
        <w:tc>
          <w:tcPr>
            <w:tcW w:type="dxa" w:w="3866"/>
            <w:vAlign w:val="center"/>
            <w:tcMar>
              <w:top w:w="80" w:type="dxa"/>
              <w:start w:w="120" w:type="dxa"/>
              <w:bottom w:w="80" w:type="dxa"/>
              <w:end w:w="120" w:type="dxa"/>
            </w:tcMar>
          </w:tcPr>
          <w:p>
            <w:pPr>
              <w:spacing w:before="0" w:after="0" w:line="259" w:lineRule="auto"/>
            </w:pPr>
            <w:r>
              <w:rPr>
                <w:rFonts w:ascii="Calibri" w:hAnsi="Calibri" w:eastAsia="Microsoft YaHei"/>
                <w:sz w:val="18"/>
              </w:rPr>
              <w:t>从全序列中选出得分最高的 token 子集</w:t>
            </w:r>
          </w:p>
        </w:tc>
      </w:tr>
      <w:tr>
        <w:tc>
          <w:tcPr>
            <w:tcW w:type="dxa" w:w="1627"/>
            <w:vAlign w:val="center"/>
            <w:tcMar>
              <w:top w:w="80" w:type="dxa"/>
              <w:start w:w="120" w:type="dxa"/>
              <w:bottom w:w="80" w:type="dxa"/>
              <w:end w:w="120" w:type="dxa"/>
            </w:tcMar>
          </w:tcPr>
          <w:p>
            <w:pPr>
              <w:spacing w:before="0" w:after="0" w:line="259" w:lineRule="auto"/>
            </w:pPr>
            <w:r>
              <w:rPr>
                <w:rFonts w:ascii="Calibri" w:hAnsi="Calibri" w:eastAsia="Microsoft YaHei"/>
                <w:sz w:val="18"/>
              </w:rPr>
              <w:t>⑤</w:t>
            </w:r>
          </w:p>
        </w:tc>
        <w:tc>
          <w:tcPr>
            <w:tcW w:type="dxa" w:w="3867"/>
            <w:vAlign w:val="center"/>
            <w:tcMar>
              <w:top w:w="80" w:type="dxa"/>
              <w:start w:w="120" w:type="dxa"/>
              <w:bottom w:w="80" w:type="dxa"/>
              <w:end w:w="120" w:type="dxa"/>
            </w:tcMar>
          </w:tcPr>
          <w:p>
            <w:pPr>
              <w:spacing w:before="0" w:after="0" w:line="259" w:lineRule="auto"/>
            </w:pPr>
            <w:r>
              <w:rPr>
                <w:rFonts w:ascii="Calibri" w:hAnsi="Calibri" w:eastAsia="Microsoft YaHei"/>
                <w:sz w:val="18"/>
              </w:rPr>
              <w:t>Multi-Query Attention</w:t>
            </w:r>
          </w:p>
        </w:tc>
        <w:tc>
          <w:tcPr>
            <w:tcW w:type="dxa" w:w="38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仅对选中的子集执行注意力计算</w:t>
            </w:r>
          </w:p>
        </w:tc>
      </w:tr>
    </w:tbl>
    <w:p>
      <w:pPr>
        <w:spacing w:after="40"/>
      </w:pPr>
    </w:p>
    <w:p>
      <w:pPr/>
      <w:r>
        <w:t xml:space="preserve">设计意图是 </w:t>
      </w:r>
      <w:r>
        <w:rPr>
          <w:b/>
        </w:rPr>
        <w:t>先筛后算</w:t>
      </w:r>
      <w:r>
        <w:t>——在注意力之前过滤掉大量低相关性 token，缩减实际参与运算的序列长度。</w:t>
      </w:r>
    </w:p>
    <w:p>
      <w:pPr>
        <w:pStyle w:val="Heading2"/>
      </w:pPr>
      <w:r>
        <w:t>长序列下的真实耗时分布</w:t>
      </w:r>
    </w:p>
    <w:p>
      <w:pPr/>
      <w:r>
        <w:t>设计意图虽合理，但"筛选"本身也产生开销。PPT 第 9 页给出了 Prefill 阶段长序列场景下的算子耗时占比：</w:t>
      </w:r>
    </w:p>
    <w:tbl>
      <w:tblPr>
        <w:tblStyle w:val="TableGrid"/>
        <w:tblW w:type="dxa" w:w="9360"/>
        <w:jc w:val="left"/>
        <w:tblLayout w:type="fixed"/>
        <w:tblLook w:firstColumn="1" w:firstRow="1" w:lastColumn="0" w:lastRow="0" w:noHBand="0" w:noVBand="1" w:val="04A0"/>
        <w:tblInd w:w="120" w:type="dxa"/>
      </w:tblPr>
      <w:tblGrid>
        <w:gridCol w:w="1882"/>
        <w:gridCol w:w="5205"/>
        <w:gridCol w:w="2273"/>
      </w:tblGrid>
      <w:tr>
        <w:trPr>
          <w:tblHeader w:val="true"/>
        </w:trPr>
        <w:tc>
          <w:tcPr>
            <w:tcW w:type="dxa" w:w="188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排名</w:t>
            </w:r>
          </w:p>
        </w:tc>
        <w:tc>
          <w:tcPr>
            <w:tcW w:type="dxa" w:w="520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算子类别</w:t>
            </w:r>
          </w:p>
        </w:tc>
        <w:tc>
          <w:tcPr>
            <w:tcW w:type="dxa" w:w="227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耗时占比</w:t>
            </w:r>
          </w:p>
        </w:tc>
      </w:tr>
      <w:tr>
        <w:tc>
          <w:tcPr>
            <w:tcW w:type="dxa" w:w="1882"/>
            <w:vAlign w:val="center"/>
            <w:tcMar>
              <w:top w:w="80" w:type="dxa"/>
              <w:start w:w="120" w:type="dxa"/>
              <w:bottom w:w="80" w:type="dxa"/>
              <w:end w:w="120" w:type="dxa"/>
            </w:tcMar>
          </w:tcPr>
          <w:p>
            <w:pPr>
              <w:spacing w:before="0" w:after="0" w:line="259" w:lineRule="auto"/>
            </w:pPr>
            <w:r>
              <w:rPr>
                <w:rFonts w:ascii="Calibri" w:hAnsi="Calibri" w:eastAsia="Microsoft YaHei"/>
                <w:sz w:val="18"/>
              </w:rPr>
              <w:t>1</w:t>
            </w:r>
          </w:p>
        </w:tc>
        <w:tc>
          <w:tcPr>
            <w:tcW w:type="dxa" w:w="5205"/>
            <w:vAlign w:val="center"/>
            <w:tcMar>
              <w:top w:w="80" w:type="dxa"/>
              <w:start w:w="120" w:type="dxa"/>
              <w:bottom w:w="80" w:type="dxa"/>
              <w:end w:w="120" w:type="dxa"/>
            </w:tcMar>
          </w:tcPr>
          <w:p>
            <w:pPr>
              <w:spacing w:before="0" w:after="0" w:line="259" w:lineRule="auto"/>
            </w:pPr>
            <w:r>
              <w:rPr>
                <w:rFonts w:ascii="Calibri" w:hAnsi="Calibri" w:eastAsia="Microsoft YaHei"/>
                <w:b/>
                <w:sz w:val="18"/>
              </w:rPr>
              <w:t>LightningIndexerQuant</w:t>
            </w:r>
          </w:p>
        </w:tc>
        <w:tc>
          <w:tcPr>
            <w:tcW w:type="dxa" w:w="2273"/>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26.53%</w:t>
            </w:r>
          </w:p>
        </w:tc>
      </w:tr>
      <w:tr>
        <w:tc>
          <w:tcPr>
            <w:tcW w:type="dxa" w:w="1882"/>
            <w:vAlign w:val="center"/>
            <w:tcMar>
              <w:top w:w="80" w:type="dxa"/>
              <w:start w:w="120" w:type="dxa"/>
              <w:bottom w:w="80" w:type="dxa"/>
              <w:end w:w="120" w:type="dxa"/>
            </w:tcMar>
          </w:tcPr>
          <w:p>
            <w:pPr>
              <w:spacing w:before="0" w:after="0" w:line="259" w:lineRule="auto"/>
            </w:pPr>
            <w:r>
              <w:rPr>
                <w:rFonts w:ascii="Calibri" w:hAnsi="Calibri" w:eastAsia="Microsoft YaHei"/>
                <w:sz w:val="18"/>
              </w:rPr>
              <w:t>2</w:t>
            </w:r>
          </w:p>
        </w:tc>
        <w:tc>
          <w:tcPr>
            <w:tcW w:type="dxa" w:w="52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算子 B</w:t>
            </w:r>
          </w:p>
        </w:tc>
        <w:tc>
          <w:tcPr>
            <w:tcW w:type="dxa" w:w="22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17.53%</w:t>
            </w:r>
          </w:p>
        </w:tc>
      </w:tr>
      <w:tr>
        <w:tc>
          <w:tcPr>
            <w:tcW w:type="dxa" w:w="1882"/>
            <w:vAlign w:val="center"/>
            <w:tcMar>
              <w:top w:w="80" w:type="dxa"/>
              <w:start w:w="120" w:type="dxa"/>
              <w:bottom w:w="80" w:type="dxa"/>
              <w:end w:w="120" w:type="dxa"/>
            </w:tcMar>
          </w:tcPr>
          <w:p>
            <w:pPr>
              <w:spacing w:before="0" w:after="0" w:line="259" w:lineRule="auto"/>
            </w:pPr>
            <w:r>
              <w:rPr>
                <w:rFonts w:ascii="Calibri" w:hAnsi="Calibri" w:eastAsia="Microsoft YaHei"/>
                <w:sz w:val="18"/>
              </w:rPr>
              <w:t>3</w:t>
            </w:r>
          </w:p>
        </w:tc>
        <w:tc>
          <w:tcPr>
            <w:tcW w:type="dxa" w:w="52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算子 C</w:t>
            </w:r>
          </w:p>
        </w:tc>
        <w:tc>
          <w:tcPr>
            <w:tcW w:type="dxa" w:w="22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15.24%</w:t>
            </w:r>
          </w:p>
        </w:tc>
      </w:tr>
      <w:tr>
        <w:tc>
          <w:tcPr>
            <w:tcW w:type="dxa" w:w="1882"/>
            <w:vAlign w:val="center"/>
            <w:tcMar>
              <w:top w:w="80" w:type="dxa"/>
              <w:start w:w="120" w:type="dxa"/>
              <w:bottom w:w="80" w:type="dxa"/>
              <w:end w:w="120" w:type="dxa"/>
            </w:tcMar>
          </w:tcPr>
          <w:p>
            <w:pPr>
              <w:spacing w:before="0" w:after="0" w:line="259" w:lineRule="auto"/>
            </w:pPr>
            <w:r>
              <w:rPr>
                <w:rFonts w:ascii="Calibri" w:hAnsi="Calibri" w:eastAsia="Microsoft YaHei"/>
                <w:sz w:val="18"/>
              </w:rPr>
              <w:t>4</w:t>
            </w:r>
          </w:p>
        </w:tc>
        <w:tc>
          <w:tcPr>
            <w:tcW w:type="dxa" w:w="52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算子 D</w:t>
            </w:r>
          </w:p>
        </w:tc>
        <w:tc>
          <w:tcPr>
            <w:tcW w:type="dxa" w:w="22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7.61%</w:t>
            </w:r>
          </w:p>
        </w:tc>
      </w:tr>
      <w:tr>
        <w:tc>
          <w:tcPr>
            <w:tcW w:type="dxa" w:w="1882"/>
            <w:vAlign w:val="center"/>
            <w:tcMar>
              <w:top w:w="80" w:type="dxa"/>
              <w:start w:w="120" w:type="dxa"/>
              <w:bottom w:w="80" w:type="dxa"/>
              <w:end w:w="120" w:type="dxa"/>
            </w:tcMar>
          </w:tcPr>
          <w:p>
            <w:pPr>
              <w:spacing w:before="0" w:after="0" w:line="259" w:lineRule="auto"/>
            </w:pPr>
            <w:r>
              <w:rPr>
                <w:rFonts w:ascii="Calibri" w:hAnsi="Calibri" w:eastAsia="Microsoft YaHei"/>
                <w:sz w:val="18"/>
              </w:rPr>
              <w:t>5</w:t>
            </w:r>
          </w:p>
        </w:tc>
        <w:tc>
          <w:tcPr>
            <w:tcW w:type="dxa" w:w="52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算子 E</w:t>
            </w:r>
          </w:p>
        </w:tc>
        <w:tc>
          <w:tcPr>
            <w:tcW w:type="dxa" w:w="22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6.41%</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i/>
          <w:color w:val="203748"/>
          <w:sz w:val="23"/>
        </w:rPr>
        <w:t>注：部分较小占比的算子标签在材料中难以辨识，仅列出可确认数值。LightningIndexerQuant 即 Lightning Indexer 内部的量化 + TopK 计算。</w:t>
      </w:r>
    </w:p>
    <w:p>
      <w:pPr/>
      <w:r>
        <w:t>一个占比超过四分之一的单一算子，在整条推理链中已属"一家独大"。即使把其他算子全部优化到极致，如果不解决 Lightning Indexer 的开销，整体性能仍被它牢牢卡住。</w:t>
      </w:r>
    </w:p>
    <w:p>
      <w:pPr>
        <w:pStyle w:val="Heading2"/>
      </w:pPr>
      <w:r>
        <w:t>因果链：为什么 TopK 成为瓶颈</w:t>
      </w:r>
    </w:p>
    <w:p>
      <w:pPr>
        <w:spacing w:after="80" w:line="290" w:lineRule="auto"/>
        <w:numPr>
          <w:ilvl w:val="0"/>
          <w:numId w:val="14"/>
        </w:numPr>
      </w:pPr>
      <w:r>
        <w:rPr>
          <w:b/>
        </w:rPr>
        <w:t>输入序列变长</w:t>
      </w:r>
      <w:r>
        <w:t xml:space="preserve"> → Prefill 阶段需一次性处理所有输入 token，计算量随序列长度剧增。</w:t>
      </w:r>
    </w:p>
    <w:p>
      <w:pPr>
        <w:spacing w:after="80" w:line="290" w:lineRule="auto"/>
        <w:numPr>
          <w:ilvl w:val="0"/>
          <w:numId w:val="14"/>
        </w:numPr>
      </w:pPr>
      <w:r>
        <w:rPr>
          <w:b/>
        </w:rPr>
        <w:t>Lightning Indexer 对全序列打分</w:t>
      </w:r>
      <w:r>
        <w:t xml:space="preserve"> → 量化和打分操作的工作量与序列长度正相关。</w:t>
      </w:r>
    </w:p>
    <w:p>
      <w:pPr>
        <w:spacing w:after="80" w:line="290" w:lineRule="auto"/>
        <w:numPr>
          <w:ilvl w:val="0"/>
          <w:numId w:val="14"/>
        </w:numPr>
      </w:pPr>
      <w:r>
        <w:rPr>
          <w:b/>
        </w:rPr>
        <w:t>TopK 选择的复杂度随序列增长急剧放大</w:t>
      </w:r>
      <w:r>
        <w:t xml:space="preserve"> → 在 128K 长上下文场景下，TopK 耗时增长趋势显著（据演讲者口头描述，精确复杂度曲线材料中未给出）。</w:t>
      </w:r>
    </w:p>
    <w:p>
      <w:pPr>
        <w:spacing w:after="80" w:line="290" w:lineRule="auto"/>
        <w:numPr>
          <w:ilvl w:val="0"/>
          <w:numId w:val="14"/>
        </w:numPr>
      </w:pPr>
      <w:r>
        <w:rPr>
          <w:b/>
        </w:rPr>
        <w:t>TopK 耗时超过注意力本身</w:t>
      </w:r>
      <w:r>
        <w:t xml:space="preserve"> → 原本用来"减少注意力计算量"的筛选模块，反而成为最昂贵的环节。</w:t>
      </w:r>
    </w:p>
    <w:tbl>
      <w:tblPr>
        <w:tblStyle w:val="TableGrid"/>
        <w:tblW w:type="dxa" w:w="9360"/>
        <w:jc w:val="left"/>
        <w:tblLayout w:type="fixed"/>
        <w:tblLook w:firstColumn="1" w:firstRow="1" w:lastColumn="0" w:lastRow="0" w:noHBand="0" w:noVBand="1" w:val="04A0"/>
        <w:tblInd w:w="120" w:type="dxa"/>
      </w:tblPr>
      <w:tblGrid>
        <w:gridCol w:w="1773"/>
        <w:gridCol w:w="3120"/>
        <w:gridCol w:w="4467"/>
      </w:tblGrid>
      <w:tr>
        <w:trPr>
          <w:tblHeader w:val="true"/>
        </w:trPr>
        <w:tc>
          <w:tcPr>
            <w:tcW w:type="dxa" w:w="177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场景</w:t>
            </w:r>
          </w:p>
        </w:tc>
        <w:tc>
          <w:tcPr>
            <w:tcW w:type="dxa" w:w="31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序列长度</w:t>
            </w:r>
          </w:p>
        </w:tc>
        <w:tc>
          <w:tcPr>
            <w:tcW w:type="dxa" w:w="446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TopK 是否为瓶颈</w:t>
            </w:r>
          </w:p>
        </w:tc>
      </w:tr>
      <w:tr>
        <w:tc>
          <w:tcPr>
            <w:tcW w:type="dxa" w:w="1773"/>
            <w:vAlign w:val="center"/>
            <w:tcMar>
              <w:top w:w="80" w:type="dxa"/>
              <w:start w:w="120" w:type="dxa"/>
              <w:bottom w:w="80" w:type="dxa"/>
              <w:end w:w="120" w:type="dxa"/>
            </w:tcMar>
          </w:tcPr>
          <w:p>
            <w:pPr>
              <w:spacing w:before="0" w:after="0" w:line="259" w:lineRule="auto"/>
            </w:pPr>
            <w:r>
              <w:rPr>
                <w:rFonts w:ascii="Calibri" w:hAnsi="Calibri" w:eastAsia="Microsoft YaHei"/>
                <w:sz w:val="18"/>
              </w:rPr>
              <w:t>短对话</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~4K tokens</w:t>
            </w:r>
          </w:p>
        </w:tc>
        <w:tc>
          <w:tcPr>
            <w:tcW w:type="dxa" w:w="446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否，TopK 开销可忽略</w:t>
            </w:r>
          </w:p>
        </w:tc>
      </w:tr>
      <w:tr>
        <w:tc>
          <w:tcPr>
            <w:tcW w:type="dxa" w:w="1773"/>
            <w:vAlign w:val="center"/>
            <w:tcMar>
              <w:top w:w="80" w:type="dxa"/>
              <w:start w:w="120" w:type="dxa"/>
              <w:bottom w:w="80" w:type="dxa"/>
              <w:end w:w="120" w:type="dxa"/>
            </w:tcMar>
          </w:tcPr>
          <w:p>
            <w:pPr>
              <w:spacing w:before="0" w:after="0" w:line="259" w:lineRule="auto"/>
            </w:pPr>
            <w:r>
              <w:rPr>
                <w:rFonts w:ascii="Calibri" w:hAnsi="Calibri" w:eastAsia="Microsoft YaHei"/>
                <w:sz w:val="18"/>
              </w:rPr>
              <w:t>中等文档</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~32K tokens</w:t>
            </w:r>
          </w:p>
        </w:tc>
        <w:tc>
          <w:tcPr>
            <w:tcW w:type="dxa" w:w="446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开始显现，但占比尚可接受</w:t>
            </w:r>
          </w:p>
        </w:tc>
      </w:tr>
      <w:tr>
        <w:tc>
          <w:tcPr>
            <w:tcW w:type="dxa" w:w="1773"/>
            <w:vAlign w:val="center"/>
            <w:tcMar>
              <w:top w:w="80" w:type="dxa"/>
              <w:start w:w="120" w:type="dxa"/>
              <w:bottom w:w="80" w:type="dxa"/>
              <w:end w:w="120" w:type="dxa"/>
            </w:tcMar>
          </w:tcPr>
          <w:p>
            <w:pPr>
              <w:spacing w:before="0" w:after="0" w:line="259" w:lineRule="auto"/>
            </w:pPr>
            <w:r>
              <w:rPr>
                <w:rFonts w:ascii="Calibri" w:hAnsi="Calibri" w:eastAsia="Microsoft YaHei"/>
                <w:sz w:val="18"/>
              </w:rPr>
              <w:t>长上下文</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~128K tokens</w:t>
            </w:r>
          </w:p>
        </w:tc>
        <w:tc>
          <w:tcPr>
            <w:tcW w:type="dxa" w:w="4467"/>
            <w:vAlign w:val="center"/>
            <w:tcMar>
              <w:top w:w="80" w:type="dxa"/>
              <w:start w:w="120" w:type="dxa"/>
              <w:bottom w:w="80" w:type="dxa"/>
              <w:end w:w="120" w:type="dxa"/>
            </w:tcMar>
          </w:tcPr>
          <w:p>
            <w:pPr>
              <w:spacing w:before="0" w:after="0" w:line="259" w:lineRule="auto"/>
            </w:pPr>
            <w:r>
              <w:rPr>
                <w:rFonts w:ascii="Calibri" w:hAnsi="Calibri" w:eastAsia="Microsoft YaHei"/>
                <w:b/>
                <w:sz w:val="18"/>
              </w:rPr>
              <w:t>是，占比达 26.53%，第一大耗时算子</w:t>
            </w:r>
          </w:p>
        </w:tc>
      </w:tr>
    </w:tbl>
    <w:p>
      <w:pPr>
        <w:spacing w:after="40"/>
      </w:pPr>
    </w:p>
    <w:p>
      <w:pPr/>
      <w:r>
        <w:rPr>
          <w:b/>
        </w:rPr>
        <w:t>结论</w:t>
      </w:r>
      <w:r>
        <w:t>：针对 GLM-5 的长序列优化，首要目标是 Prefill 阶段的 Lightning Indexer / TopK 算子。上述耗时分布来自长序列 Prefill 阶段，短序列或 Decode 阶段的瓶颈分布可能完全不同。</w:t>
      </w:r>
    </w:p>
    <w:p>
      <w:pPr>
        <w:pStyle w:val="Heading1"/>
      </w:pPr>
      <w:r>
        <w:t>三、并行策略选择与计算访存特性差异</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本节核心问题</w:t>
      </w:r>
      <w:r>
        <w:rPr>
          <w:rFonts w:ascii="Calibri" w:hAnsi="Calibri" w:eastAsia="Microsoft YaHei"/>
          <w:color w:val="203748"/>
          <w:sz w:val="23"/>
        </w:rPr>
        <w:t>：Prefill 和 Decode 对硬件资源的诉求截然相反，TP、DP、EP、PP 四种策略如何因阶段而异地组合使用？</w:t>
      </w:r>
    </w:p>
    <w:p>
      <w:pPr/>
      <w:r>
        <w:t>明确了 Prefill 阶段的计算热点后，下一步要回答的问题是：如何通过分布式并行策略将这些集中的计算负载分摊到多张卡上？在此之前，需要先厘清两阶段对硬件资源的本质诉求差异。</w:t>
      </w:r>
    </w:p>
    <w:p>
      <w:pPr>
        <w:pStyle w:val="Heading2"/>
      </w:pPr>
      <w:r>
        <w:t>Prefill 与 Decode：瓶颈的根本分野</w:t>
      </w:r>
    </w:p>
    <w:p>
      <w:pPr/>
      <w:r>
        <w:rPr>
          <w:b/>
        </w:rPr>
        <w:t>Prefill</w:t>
      </w:r>
      <w:r>
        <w:t xml:space="preserve"> 需对完整输入序列计算注意力。在标准自注意力中，Q、K 矩阵运算量与序列长度的平方成正比，属于典型的 </w:t>
      </w:r>
      <w:r>
        <w:rPr>
          <w:b/>
        </w:rPr>
        <w:t>计算密集型（compute-bound）</w:t>
      </w:r>
      <w:r>
        <w:t xml:space="preserve"> 任务，核心指标是 TTFT。</w:t>
      </w:r>
    </w:p>
    <w:p>
      <w:pPr/>
      <w:r>
        <w:rPr>
          <w:b/>
        </w:rPr>
        <w:t>Decode</w:t>
      </w:r>
      <w:r>
        <w:t xml:space="preserve"> 每步只生成一个新 token。历史 token 的 Key 和 Value 已缓存在 KV Cache 中，当前步仅用新 token 的 Q 向量查询缓存。计算量从"序列长度的平方"骤降为"与序列长度成正比"，瓶颈转移到读取 KV Cache 和模型权重所需的</w:t>
      </w:r>
      <w:r>
        <w:rPr>
          <w:b/>
        </w:rPr>
        <w:t>显存带宽</w:t>
      </w:r>
      <w:r>
        <w:t xml:space="preserve">，成为 </w:t>
      </w:r>
      <w:r>
        <w:rPr>
          <w:b/>
        </w:rPr>
        <w:t>访存密集型（memory-bound）</w:t>
      </w:r>
      <w:r>
        <w:t xml:space="preserve"> 任务，核心指标是 TPOT。</w:t>
      </w:r>
    </w:p>
    <w:p>
      <w:pPr>
        <w:spacing w:before="80" w:after="200" w:line="300" w:lineRule="auto"/>
        <w:ind w:left="317" w:right="173"/>
        <w:pBdr>
          <w:left w:val="single" w:sz="18" w:space="8" w:color="2E74B5"/>
        </w:pBdr>
        <w:shd w:fill="F4F6F9"/>
      </w:pPr>
      <w:r>
        <w:rPr>
          <w:rFonts w:ascii="Calibri" w:hAnsi="Calibri" w:eastAsia="Microsoft YaHei"/>
          <w:b/>
          <w:color w:val="203748"/>
          <w:sz w:val="23"/>
        </w:rPr>
        <w:t>因果链</w:t>
      </w:r>
      <w:r>
        <w:rPr>
          <w:rFonts w:ascii="Calibri" w:hAnsi="Calibri" w:eastAsia="Microsoft YaHei"/>
          <w:color w:val="203748"/>
          <w:sz w:val="23"/>
        </w:rPr>
        <w:t>：自回归特性 → Decode 可复用 KV Cache → 计算量大幅缩减 → 瓶颈由算力转向带宽 → 两阶段需要不同的并行与资源配置。</w:t>
      </w:r>
    </w:p>
    <w:p>
      <w:pPr>
        <w:pStyle w:val="Heading2"/>
      </w:pPr>
      <w:r>
        <w:t>四种并行策略逐项对比</w:t>
      </w:r>
    </w:p>
    <w:p>
      <w:pPr/>
      <w:r>
        <w:t>下表整理了 TP、DP、EP、PP 的核心差异（信息来源：PPT 第 5 页）：</w:t>
      </w:r>
    </w:p>
    <w:tbl>
      <w:tblPr>
        <w:tblStyle w:val="TableGrid"/>
        <w:tblW w:type="dxa" w:w="9360"/>
        <w:jc w:val="left"/>
        <w:tblLayout w:type="fixed"/>
        <w:tblLook w:firstColumn="1" w:firstRow="1" w:lastColumn="0" w:lastRow="0" w:noHBand="0" w:noVBand="1" w:val="04A0"/>
        <w:tblInd w:w="120" w:type="dxa"/>
      </w:tblPr>
      <w:tblGrid>
        <w:gridCol w:w="2263"/>
        <w:gridCol w:w="1543"/>
        <w:gridCol w:w="1491"/>
        <w:gridCol w:w="2057"/>
        <w:gridCol w:w="2006"/>
      </w:tblGrid>
      <w:tr>
        <w:trPr>
          <w:tblHeader w:val="true"/>
        </w:trPr>
        <w:tc>
          <w:tcPr>
            <w:tcW w:type="dxa" w:w="226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策略</w:t>
            </w:r>
          </w:p>
        </w:tc>
        <w:tc>
          <w:tcPr>
            <w:tcW w:type="dxa" w:w="154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切分对象</w:t>
            </w:r>
          </w:p>
        </w:tc>
        <w:tc>
          <w:tcPr>
            <w:tcW w:type="dxa" w:w="149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显存效果</w:t>
            </w:r>
          </w:p>
        </w:tc>
        <w:tc>
          <w:tcPr>
            <w:tcW w:type="dxa" w:w="205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通信开销</w:t>
            </w:r>
          </w:p>
        </w:tc>
        <w:tc>
          <w:tcPr>
            <w:tcW w:type="dxa" w:w="200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典型场景</w:t>
            </w:r>
          </w:p>
        </w:tc>
      </w:tr>
      <w:tr>
        <w:tc>
          <w:tcPr>
            <w:tcW w:type="dxa" w:w="2263"/>
            <w:vAlign w:val="center"/>
            <w:tcMar>
              <w:top w:w="80" w:type="dxa"/>
              <w:start w:w="120" w:type="dxa"/>
              <w:bottom w:w="80" w:type="dxa"/>
              <w:end w:w="120" w:type="dxa"/>
            </w:tcMar>
          </w:tcPr>
          <w:p>
            <w:pPr>
              <w:spacing w:before="0" w:after="0" w:line="259" w:lineRule="auto"/>
            </w:pPr>
            <w:r>
              <w:rPr>
                <w:rFonts w:ascii="Calibri" w:hAnsi="Calibri" w:eastAsia="Microsoft YaHei"/>
                <w:b/>
                <w:sz w:val="18"/>
              </w:rPr>
              <w:t>TP</w:t>
            </w:r>
            <w:r>
              <w:rPr>
                <w:rFonts w:ascii="Calibri" w:hAnsi="Calibri" w:eastAsia="Microsoft YaHei"/>
                <w:sz w:val="18"/>
              </w:rPr>
              <w:t>（Tensor Parallelism，张量并行）</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单个权重矩阵按行/列拆分到多卡</w:t>
            </w:r>
          </w:p>
        </w:tc>
        <w:tc>
          <w:tcPr>
            <w:tcW w:type="dxa" w:w="14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权重与激活均摊，省单卡显存</w:t>
            </w:r>
          </w:p>
        </w:tc>
        <w:tc>
          <w:tcPr>
            <w:tcW w:type="dxa" w:w="2057"/>
            <w:vAlign w:val="center"/>
            <w:tcMar>
              <w:top w:w="80" w:type="dxa"/>
              <w:start w:w="120" w:type="dxa"/>
              <w:bottom w:w="80" w:type="dxa"/>
              <w:end w:w="120" w:type="dxa"/>
            </w:tcMar>
          </w:tcPr>
          <w:p>
            <w:pPr>
              <w:spacing w:before="0" w:after="0" w:line="259" w:lineRule="auto"/>
            </w:pPr>
            <w:r>
              <w:rPr>
                <w:rFonts w:ascii="Calibri" w:hAnsi="Calibri" w:eastAsia="Microsoft YaHei"/>
                <w:b/>
                <w:sz w:val="18"/>
              </w:rPr>
              <w:t>高</w:t>
            </w:r>
            <w:r>
              <w:rPr>
                <w:rFonts w:ascii="Calibri" w:hAnsi="Calibri" w:eastAsia="Microsoft YaHei"/>
                <w:sz w:val="18"/>
              </w:rPr>
              <w:t>：每层需 AllReduce</w:t>
            </w:r>
          </w:p>
        </w:tc>
        <w:tc>
          <w:tcPr>
            <w:tcW w:type="dxa" w:w="2006"/>
            <w:vAlign w:val="center"/>
            <w:tcMar>
              <w:top w:w="80" w:type="dxa"/>
              <w:start w:w="120" w:type="dxa"/>
              <w:bottom w:w="80" w:type="dxa"/>
              <w:end w:w="120" w:type="dxa"/>
            </w:tcMar>
          </w:tcPr>
          <w:p>
            <w:pPr>
              <w:spacing w:before="0" w:after="0" w:line="259" w:lineRule="auto"/>
            </w:pPr>
            <w:r>
              <w:rPr>
                <w:rFonts w:ascii="Calibri" w:hAnsi="Calibri" w:eastAsia="Microsoft YaHei"/>
                <w:sz w:val="18"/>
              </w:rPr>
              <w:t>单机高速互联；缓解 Prefill 计算与显存压力</w:t>
            </w:r>
          </w:p>
        </w:tc>
      </w:tr>
      <w:tr>
        <w:tc>
          <w:tcPr>
            <w:tcW w:type="dxa" w:w="2263"/>
            <w:vAlign w:val="center"/>
            <w:tcMar>
              <w:top w:w="80" w:type="dxa"/>
              <w:start w:w="120" w:type="dxa"/>
              <w:bottom w:w="80" w:type="dxa"/>
              <w:end w:w="120" w:type="dxa"/>
            </w:tcMar>
          </w:tcPr>
          <w:p>
            <w:pPr>
              <w:spacing w:before="0" w:after="0" w:line="259" w:lineRule="auto"/>
            </w:pPr>
            <w:r>
              <w:rPr>
                <w:rFonts w:ascii="Calibri" w:hAnsi="Calibri" w:eastAsia="Microsoft YaHei"/>
                <w:b/>
                <w:sz w:val="18"/>
              </w:rPr>
              <w:t>DP</w:t>
            </w:r>
            <w:r>
              <w:rPr>
                <w:rFonts w:ascii="Calibri" w:hAnsi="Calibri" w:eastAsia="Microsoft YaHei"/>
                <w:sz w:val="18"/>
              </w:rPr>
              <w:t>（Data Parallelism，数据并行）</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不同卡处理不同请求，各存完整权重</w:t>
            </w:r>
          </w:p>
        </w:tc>
        <w:tc>
          <w:tcPr>
            <w:tcW w:type="dxa" w:w="14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权重不省，每卡一份</w:t>
            </w:r>
          </w:p>
        </w:tc>
        <w:tc>
          <w:tcPr>
            <w:tcW w:type="dxa" w:w="2057"/>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低</w:t>
            </w:r>
            <w:r>
              <w:rPr>
                <w:rFonts w:ascii="Calibri" w:hAnsi="Calibri" w:eastAsia="Microsoft YaHei"/>
                <w:sz w:val="18"/>
              </w:rPr>
              <w:t>：层内几乎无通信</w:t>
            </w:r>
          </w:p>
        </w:tc>
        <w:tc>
          <w:tcPr>
            <w:tcW w:type="dxa" w:w="2006"/>
            <w:vAlign w:val="center"/>
            <w:tcMar>
              <w:top w:w="80" w:type="dxa"/>
              <w:start w:w="120" w:type="dxa"/>
              <w:bottom w:w="80" w:type="dxa"/>
              <w:end w:w="120" w:type="dxa"/>
            </w:tcMar>
          </w:tcPr>
          <w:p>
            <w:pPr>
              <w:spacing w:before="0" w:after="0" w:line="259" w:lineRule="auto"/>
            </w:pPr>
            <w:r>
              <w:rPr>
                <w:rFonts w:ascii="Calibri" w:hAnsi="Calibri" w:eastAsia="Microsoft YaHei"/>
                <w:sz w:val="18"/>
              </w:rPr>
              <w:t>提升并发与吞吐；Decode 常用大 DP</w:t>
            </w:r>
          </w:p>
        </w:tc>
      </w:tr>
      <w:tr>
        <w:tc>
          <w:tcPr>
            <w:tcW w:type="dxa" w:w="2263"/>
            <w:vAlign w:val="center"/>
            <w:tcMar>
              <w:top w:w="80" w:type="dxa"/>
              <w:start w:w="120" w:type="dxa"/>
              <w:bottom w:w="80" w:type="dxa"/>
              <w:end w:w="120" w:type="dxa"/>
            </w:tcMar>
          </w:tcPr>
          <w:p>
            <w:pPr>
              <w:spacing w:before="0" w:after="0" w:line="259" w:lineRule="auto"/>
            </w:pPr>
            <w:r>
              <w:rPr>
                <w:rFonts w:ascii="Calibri" w:hAnsi="Calibri" w:eastAsia="Microsoft YaHei"/>
                <w:b/>
                <w:sz w:val="18"/>
              </w:rPr>
              <w:t>EP</w:t>
            </w:r>
            <w:r>
              <w:rPr>
                <w:rFonts w:ascii="Calibri" w:hAnsi="Calibri" w:eastAsia="Microsoft YaHei"/>
                <w:sz w:val="18"/>
              </w:rPr>
              <w:t>（Expert Parallelism，专家并行）</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MoE 的不同专家分散到不同卡</w:t>
            </w:r>
          </w:p>
        </w:tc>
        <w:tc>
          <w:tcPr>
            <w:tcW w:type="dxa" w:w="14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大幅降低单卡 MoE 权重占用</w:t>
            </w:r>
          </w:p>
        </w:tc>
        <w:tc>
          <w:tcPr>
            <w:tcW w:type="dxa" w:w="2057"/>
            <w:vAlign w:val="center"/>
            <w:tcMar>
              <w:top w:w="80" w:type="dxa"/>
              <w:start w:w="120" w:type="dxa"/>
              <w:bottom w:w="80" w:type="dxa"/>
              <w:end w:w="120" w:type="dxa"/>
            </w:tcMar>
          </w:tcPr>
          <w:p>
            <w:pPr>
              <w:spacing w:before="0" w:after="0" w:line="259" w:lineRule="auto"/>
            </w:pPr>
            <w:r>
              <w:rPr>
                <w:rFonts w:ascii="Calibri" w:hAnsi="Calibri" w:eastAsia="Microsoft YaHei"/>
                <w:b/>
                <w:sz w:val="18"/>
              </w:rPr>
              <w:t>中高</w:t>
            </w:r>
            <w:r>
              <w:rPr>
                <w:rFonts w:ascii="Calibri" w:hAnsi="Calibri" w:eastAsia="Microsoft YaHei"/>
                <w:sz w:val="18"/>
              </w:rPr>
              <w:t>：Dispatch / Combine 需全互联</w:t>
            </w:r>
          </w:p>
        </w:tc>
        <w:tc>
          <w:tcPr>
            <w:tcW w:type="dxa" w:w="200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MoE 架构必备；通信可与计算重叠</w:t>
            </w:r>
          </w:p>
        </w:tc>
      </w:tr>
      <w:tr>
        <w:tc>
          <w:tcPr>
            <w:tcW w:type="dxa" w:w="2263"/>
            <w:vAlign w:val="center"/>
            <w:tcMar>
              <w:top w:w="80" w:type="dxa"/>
              <w:start w:w="120" w:type="dxa"/>
              <w:bottom w:w="80" w:type="dxa"/>
              <w:end w:w="120" w:type="dxa"/>
            </w:tcMar>
          </w:tcPr>
          <w:p>
            <w:pPr>
              <w:spacing w:before="0" w:after="0" w:line="259" w:lineRule="auto"/>
            </w:pPr>
            <w:r>
              <w:rPr>
                <w:rFonts w:ascii="Calibri" w:hAnsi="Calibri" w:eastAsia="Microsoft YaHei"/>
                <w:b/>
                <w:sz w:val="18"/>
              </w:rPr>
              <w:t>PP</w:t>
            </w:r>
            <w:r>
              <w:rPr>
                <w:rFonts w:ascii="Calibri" w:hAnsi="Calibri" w:eastAsia="Microsoft YaHei"/>
                <w:sz w:val="18"/>
              </w:rPr>
              <w:t>（Pipeline Parallelism，流水线并行）</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按模型层切段，跨卡或跨节点</w:t>
            </w:r>
          </w:p>
        </w:tc>
        <w:tc>
          <w:tcPr>
            <w:tcW w:type="dxa" w:w="14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每卡只放部分层</w:t>
            </w:r>
          </w:p>
        </w:tc>
        <w:tc>
          <w:tcPr>
            <w:tcW w:type="dxa" w:w="2057"/>
            <w:vAlign w:val="center"/>
            <w:tcMar>
              <w:top w:w="80" w:type="dxa"/>
              <w:start w:w="120" w:type="dxa"/>
              <w:bottom w:w="80" w:type="dxa"/>
              <w:end w:w="120" w:type="dxa"/>
            </w:tcMar>
          </w:tcPr>
          <w:p>
            <w:pPr>
              <w:spacing w:before="0" w:after="0" w:line="259" w:lineRule="auto"/>
            </w:pPr>
            <w:r>
              <w:rPr>
                <w:rFonts w:ascii="Calibri" w:hAnsi="Calibri" w:eastAsia="Microsoft YaHei"/>
                <w:b/>
                <w:sz w:val="18"/>
              </w:rPr>
              <w:t>低~中</w:t>
            </w:r>
            <w:r>
              <w:rPr>
                <w:rFonts w:ascii="Calibri" w:hAnsi="Calibri" w:eastAsia="Microsoft YaHei"/>
                <w:sz w:val="18"/>
              </w:rPr>
              <w:t>：仅相邻 stage 点对点</w:t>
            </w:r>
          </w:p>
        </w:tc>
        <w:tc>
          <w:tcPr>
            <w:tcW w:type="dxa" w:w="200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跨节点扩展超大模型</w:t>
            </w:r>
          </w:p>
        </w:tc>
      </w:tr>
    </w:tbl>
    <w:p>
      <w:pPr>
        <w:spacing w:after="40"/>
      </w:pPr>
    </w:p>
    <w:p>
      <w:pPr/>
      <w:r>
        <w:t>要点解读：</w:t>
      </w:r>
    </w:p>
    <w:p>
      <w:pPr>
        <w:spacing w:after="80" w:line="290" w:lineRule="auto"/>
        <w:numPr>
          <w:ilvl w:val="0"/>
          <w:numId w:val="10"/>
        </w:numPr>
      </w:pPr>
      <w:r>
        <w:rPr>
          <w:b/>
        </w:rPr>
        <w:t>TP</w:t>
      </w:r>
      <w:r>
        <w:t xml:space="preserve"> 把一个矩阵乘法拆给多卡，最终通过 AllReduce 汇聚结果。在 Prefill 阶段价值最大——序列长、计算重，TP 既分摊算力也分摊显存，代价是每层都要做一次集合通信。</w:t>
      </w:r>
    </w:p>
    <w:p>
      <w:pPr>
        <w:spacing w:after="80" w:line="290" w:lineRule="auto"/>
        <w:numPr>
          <w:ilvl w:val="0"/>
          <w:numId w:val="10"/>
        </w:numPr>
      </w:pPr>
      <w:r>
        <w:rPr>
          <w:b/>
        </w:rPr>
        <w:t>DP</w:t>
      </w:r>
      <w:r>
        <w:t xml:space="preserve"> 各卡独立处理不同请求，互不干扰。Decode 阶段单请求计算量极小，扩大 DP 度能直接提升并发数和总吞吐。</w:t>
      </w:r>
    </w:p>
    <w:p>
      <w:pPr>
        <w:spacing w:after="80" w:line="290" w:lineRule="auto"/>
        <w:numPr>
          <w:ilvl w:val="0"/>
          <w:numId w:val="10"/>
        </w:numPr>
      </w:pPr>
      <w:r>
        <w:rPr>
          <w:b/>
        </w:rPr>
        <w:t>EP</w:t>
      </w:r>
      <w:r>
        <w:t xml:space="preserve"> 是 MoE 模型的刚需。GLM-5 专家数量庞大，不做 EP 则单卡无法容纳全部专家权重。</w:t>
      </w:r>
    </w:p>
    <w:p>
      <w:pPr>
        <w:spacing w:after="80" w:line="290" w:lineRule="auto"/>
        <w:numPr>
          <w:ilvl w:val="0"/>
          <w:numId w:val="10"/>
        </w:numPr>
      </w:pPr>
      <w:r>
        <w:rPr>
          <w:b/>
        </w:rPr>
        <w:t>PP</w:t>
      </w:r>
      <w:r>
        <w:t xml:space="preserve"> 在 GLM-5 部署中使用相对较少，但当模型规模超出单机容量时仍是必要手段。</w:t>
      </w:r>
    </w:p>
    <w:p>
      <w:pPr>
        <w:pStyle w:val="Heading2"/>
      </w:pPr>
      <w:r>
        <w:t>状态演进：batch size 增大时 Decode 的瓶颈迁移</w:t>
      </w:r>
    </w:p>
    <w:p>
      <w:pPr>
        <w:spacing w:after="80" w:line="290" w:lineRule="auto"/>
        <w:numPr>
          <w:ilvl w:val="0"/>
          <w:numId w:val="15"/>
        </w:numPr>
      </w:pPr>
      <w:r>
        <w:rPr>
          <w:b/>
        </w:rPr>
        <w:t>batch = 1</w:t>
      </w:r>
      <w:r>
        <w:t>：单请求每步仅做一次向量与 KV Cache 的点积，计算量极小，时间几乎全花在读取权重和缓存上 → 纯访存瓶颈。</w:t>
      </w:r>
    </w:p>
    <w:p>
      <w:pPr>
        <w:spacing w:after="80" w:line="290" w:lineRule="auto"/>
        <w:numPr>
          <w:ilvl w:val="0"/>
          <w:numId w:val="15"/>
        </w:numPr>
      </w:pPr>
      <w:r>
        <w:rPr>
          <w:b/>
        </w:rPr>
        <w:t>batch = 32</w:t>
      </w:r>
      <w:r>
        <w:t>：多请求共享同一份模型权重（权重只需读一次即可为 32 个请求服务），算力利用率提升，但带宽压力仍主导。</w:t>
      </w:r>
    </w:p>
    <w:p>
      <w:pPr>
        <w:spacing w:after="80" w:line="290" w:lineRule="auto"/>
        <w:numPr>
          <w:ilvl w:val="0"/>
          <w:numId w:val="15"/>
        </w:numPr>
      </w:pPr>
      <w:r>
        <w:rPr>
          <w:b/>
        </w:rPr>
        <w:t>batch 继续增大</w:t>
      </w:r>
      <w:r>
        <w:t>：部分算子（如 MoE FFN）可能短暂进入 compute-bound 区间，但 Attention 部分因 KV Cache 随序列长度线性增长，始终维持显著的带宽需求。</w:t>
      </w:r>
    </w:p>
    <w:p>
      <w:pPr/>
      <w:r>
        <w:rPr>
          <w:b/>
        </w:rPr>
        <w:t>结论</w:t>
      </w:r>
      <w:r>
        <w:t>：单一并行策略无法同时服务好两个阶段。Prefill 追求低 TTFT，需要更大的 TP 度来加速单请求计算；Decode 追求低 TPOT 和高吞吐，需要更大的 DP 度来提升并发。两者对同一组硬件资源的诉求方向相反——混合部署时任何配置都只能是折中。</w:t>
      </w:r>
    </w:p>
    <w:p>
      <w:pPr>
        <w:pStyle w:val="Heading1"/>
      </w:pPr>
      <w:r>
        <w:t>四、PD 分离架构与差异化部署策略</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本节核心问题</w:t>
      </w:r>
      <w:r>
        <w:rPr>
          <w:rFonts w:ascii="Calibri" w:hAnsi="Calibri" w:eastAsia="Microsoft YaHei"/>
          <w:color w:val="203748"/>
          <w:sz w:val="23"/>
        </w:rPr>
        <w:t>：如何在架构层面消除 Prefill 与 Decode 的资源抢占，并分别定制最优并行策略？</w:t>
      </w:r>
    </w:p>
    <w:p>
      <w:pPr/>
      <w:r>
        <w:t>既然 Prefill 和 Decode 对并行策略的需求完全相反，传统的混合部署必然导致资源抢占与妥协。PD 分离架构的引入，正是要从根本上消除这一矛盾。</w:t>
      </w:r>
    </w:p>
    <w:p>
      <w:pPr>
        <w:pStyle w:val="Heading2"/>
      </w:pPr>
      <w:r>
        <w:t>PD 混布为何必然产生冲突</w:t>
      </w:r>
    </w:p>
    <w:p>
      <w:pPr/>
      <w:r>
        <w:t>在 vLLM（大模型推理加速框架）等推理框架的默认调度中，同一批次里同时包含 Prefill 请求和 Decode 请求。框架通常优先执行 Prefill（因为只有 Prefill 完成才能启动对应请求的 Decode），但 Prefill 的计算时间远长于单步 Decode，导致批次内的 Decode 请求必须等待 Prefill 结束才能推进，TPOT 被直接拉高。</w:t>
      </w:r>
    </w:p>
    <w:tbl>
      <w:tblPr>
        <w:tblStyle w:val="TableGrid"/>
        <w:tblW w:type="dxa" w:w="9360"/>
        <w:jc w:val="left"/>
        <w:tblLayout w:type="fixed"/>
        <w:tblLook w:firstColumn="1" w:firstRow="1" w:lastColumn="0" w:lastRow="0" w:noHBand="0" w:noVBand="1" w:val="04A0"/>
        <w:tblInd w:w="120" w:type="dxa"/>
      </w:tblPr>
      <w:tblGrid>
        <w:gridCol w:w="1874"/>
        <w:gridCol w:w="3550"/>
        <w:gridCol w:w="3936"/>
      </w:tblGrid>
      <w:tr>
        <w:trPr>
          <w:tblHeader w:val="true"/>
        </w:trPr>
        <w:tc>
          <w:tcPr>
            <w:tcW w:type="dxa" w:w="187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355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Prefill</w:t>
            </w:r>
          </w:p>
        </w:tc>
        <w:tc>
          <w:tcPr>
            <w:tcW w:type="dxa" w:w="393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Decode</w:t>
            </w:r>
          </w:p>
        </w:tc>
      </w:tr>
      <w:tr>
        <w:tc>
          <w:tcPr>
            <w:tcW w:type="dxa" w:w="1874"/>
            <w:vAlign w:val="center"/>
            <w:tcMar>
              <w:top w:w="80" w:type="dxa"/>
              <w:start w:w="120" w:type="dxa"/>
              <w:bottom w:w="80" w:type="dxa"/>
              <w:end w:w="120" w:type="dxa"/>
            </w:tcMar>
          </w:tcPr>
          <w:p>
            <w:pPr>
              <w:spacing w:before="0" w:after="0" w:line="259" w:lineRule="auto"/>
            </w:pPr>
            <w:r>
              <w:rPr>
                <w:rFonts w:ascii="Calibri" w:hAnsi="Calibri" w:eastAsia="Microsoft YaHei"/>
                <w:sz w:val="18"/>
              </w:rPr>
              <w:t>计算特征</w:t>
            </w:r>
          </w:p>
        </w:tc>
        <w:tc>
          <w:tcPr>
            <w:tcW w:type="dxa" w:w="35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计算密集</w:t>
            </w:r>
          </w:p>
        </w:tc>
        <w:tc>
          <w:tcPr>
            <w:tcW w:type="dxa" w:w="39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访存密集</w:t>
            </w:r>
          </w:p>
        </w:tc>
      </w:tr>
      <w:tr>
        <w:tc>
          <w:tcPr>
            <w:tcW w:type="dxa" w:w="1874"/>
            <w:vAlign w:val="center"/>
            <w:tcMar>
              <w:top w:w="80" w:type="dxa"/>
              <w:start w:w="120" w:type="dxa"/>
              <w:bottom w:w="80" w:type="dxa"/>
              <w:end w:w="120" w:type="dxa"/>
            </w:tcMar>
          </w:tcPr>
          <w:p>
            <w:pPr>
              <w:spacing w:before="0" w:after="0" w:line="259" w:lineRule="auto"/>
            </w:pPr>
            <w:r>
              <w:rPr>
                <w:rFonts w:ascii="Calibri" w:hAnsi="Calibri" w:eastAsia="Microsoft YaHei"/>
                <w:sz w:val="18"/>
              </w:rPr>
              <w:t>显存压力</w:t>
            </w:r>
          </w:p>
        </w:tc>
        <w:tc>
          <w:tcPr>
            <w:tcW w:type="dxa" w:w="3550"/>
            <w:vAlign w:val="center"/>
            <w:tcMar>
              <w:top w:w="80" w:type="dxa"/>
              <w:start w:w="120" w:type="dxa"/>
              <w:bottom w:w="80" w:type="dxa"/>
              <w:end w:w="120" w:type="dxa"/>
            </w:tcMar>
          </w:tcPr>
          <w:p>
            <w:pPr>
              <w:spacing w:before="0" w:after="0" w:line="259" w:lineRule="auto"/>
            </w:pPr>
            <w:r>
              <w:rPr>
                <w:rFonts w:ascii="Calibri" w:hAnsi="Calibri" w:eastAsia="Microsoft YaHei"/>
                <w:sz w:val="18"/>
              </w:rPr>
              <w:t>高——长序列产生大量 KV Cache</w:t>
            </w:r>
          </w:p>
        </w:tc>
        <w:tc>
          <w:tcPr>
            <w:tcW w:type="dxa" w:w="3936"/>
            <w:vAlign w:val="center"/>
            <w:tcMar>
              <w:top w:w="80" w:type="dxa"/>
              <w:start w:w="120" w:type="dxa"/>
              <w:bottom w:w="80" w:type="dxa"/>
              <w:end w:w="120" w:type="dxa"/>
            </w:tcMar>
          </w:tcPr>
          <w:p>
            <w:pPr>
              <w:spacing w:before="0" w:after="0" w:line="259" w:lineRule="auto"/>
            </w:pPr>
            <w:r>
              <w:rPr>
                <w:rFonts w:ascii="Calibri" w:hAnsi="Calibri" w:eastAsia="Microsoft YaHei"/>
                <w:sz w:val="18"/>
              </w:rPr>
              <w:t>较低——KV Cache 可从 P 节点传输</w:t>
            </w:r>
          </w:p>
        </w:tc>
      </w:tr>
      <w:tr>
        <w:tc>
          <w:tcPr>
            <w:tcW w:type="dxa" w:w="1874"/>
            <w:vAlign w:val="center"/>
            <w:tcMar>
              <w:top w:w="80" w:type="dxa"/>
              <w:start w:w="120" w:type="dxa"/>
              <w:bottom w:w="80" w:type="dxa"/>
              <w:end w:w="120" w:type="dxa"/>
            </w:tcMar>
          </w:tcPr>
          <w:p>
            <w:pPr>
              <w:spacing w:before="0" w:after="0" w:line="259" w:lineRule="auto"/>
            </w:pPr>
            <w:r>
              <w:rPr>
                <w:rFonts w:ascii="Calibri" w:hAnsi="Calibri" w:eastAsia="Microsoft YaHei"/>
                <w:sz w:val="18"/>
              </w:rPr>
              <w:t>核心延迟指标</w:t>
            </w:r>
          </w:p>
        </w:tc>
        <w:tc>
          <w:tcPr>
            <w:tcW w:type="dxa" w:w="35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TTFT</w:t>
            </w:r>
          </w:p>
        </w:tc>
        <w:tc>
          <w:tcPr>
            <w:tcW w:type="dxa" w:w="39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TPOT</w:t>
            </w:r>
          </w:p>
        </w:tc>
      </w:tr>
      <w:tr>
        <w:tc>
          <w:tcPr>
            <w:tcW w:type="dxa" w:w="1874"/>
            <w:vAlign w:val="center"/>
            <w:tcMar>
              <w:top w:w="80" w:type="dxa"/>
              <w:start w:w="120" w:type="dxa"/>
              <w:bottom w:w="80" w:type="dxa"/>
              <w:end w:w="120" w:type="dxa"/>
            </w:tcMar>
          </w:tcPr>
          <w:p>
            <w:pPr>
              <w:spacing w:before="0" w:after="0" w:line="259" w:lineRule="auto"/>
            </w:pPr>
            <w:r>
              <w:rPr>
                <w:rFonts w:ascii="Calibri" w:hAnsi="Calibri" w:eastAsia="Microsoft YaHei"/>
                <w:sz w:val="18"/>
              </w:rPr>
              <w:t>扩容方向</w:t>
            </w:r>
          </w:p>
        </w:tc>
        <w:tc>
          <w:tcPr>
            <w:tcW w:type="dxa" w:w="35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增加算力</w:t>
            </w:r>
          </w:p>
        </w:tc>
        <w:tc>
          <w:tcPr>
            <w:tcW w:type="dxa" w:w="39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增加并发通道</w:t>
            </w:r>
          </w:p>
        </w:tc>
      </w:tr>
    </w:tbl>
    <w:p>
      <w:pPr>
        <w:spacing w:after="40"/>
      </w:pPr>
    </w:p>
    <w:p>
      <w:pPr/>
      <w:r>
        <w:t>在混布模式下，一套并行参数无法同时满足上述两组截然不同的需求。</w:t>
      </w:r>
    </w:p>
    <w:p>
      <w:pPr>
        <w:pStyle w:val="Heading2"/>
      </w:pPr>
      <w:r>
        <w:t>PD 分离的核心机制</w:t>
      </w:r>
    </w:p>
    <w:p>
      <w:pPr/>
      <w:r>
        <w:rPr>
          <w:b/>
        </w:rPr>
        <w:t>PD 分离（Prefill/Decode Disaggregation）</w:t>
      </w:r>
      <w:r>
        <w:t xml:space="preserve"> 的思路直截了当：将两阶段部署到不同的物理节点上，各自独立调度，互不抢占资源。</w:t>
      </w:r>
    </w:p>
    <w:p>
      <w:pPr>
        <w:spacing w:after="80" w:line="290" w:lineRule="auto"/>
        <w:numPr>
          <w:ilvl w:val="0"/>
          <w:numId w:val="10"/>
        </w:numPr>
      </w:pPr>
      <w:r>
        <w:rPr>
          <w:b/>
        </w:rPr>
        <w:t>P 节点</w:t>
      </w:r>
      <w:r>
        <w:t>（Prefill 节点）专门执行 prompt 的首次计算，完成后将生成的 KV Cache 通过节点间通信传输给 D 节点。</w:t>
      </w:r>
    </w:p>
    <w:p>
      <w:pPr>
        <w:spacing w:after="80" w:line="290" w:lineRule="auto"/>
        <w:numPr>
          <w:ilvl w:val="0"/>
          <w:numId w:val="10"/>
        </w:numPr>
      </w:pPr>
      <w:r>
        <w:rPr>
          <w:b/>
        </w:rPr>
        <w:t>D 节点</w:t>
      </w:r>
      <w:r>
        <w:t>（Decode 节点）仅负责逐 token 生成，从 P 节点按需接收 KV Cache。</w:t>
      </w:r>
    </w:p>
    <w:p>
      <w:pPr/>
      <w:r>
        <w:t>分离带来两个直接收益：</w:t>
      </w:r>
      <w:r>
        <w:rPr>
          <w:b/>
        </w:rPr>
        <w:t>独立弹性伸缩</w:t>
      </w:r>
      <w:r>
        <w:t>——TTFT 不达标时可单独增加 P 节点算力而无需调整 D 节点，反之亦然；</w:t>
      </w:r>
      <w:r>
        <w:rPr>
          <w:b/>
        </w:rPr>
        <w:t>针对性并行策略</w:t>
      </w:r>
      <w:r>
        <w:t>——两类节点分别选取最适合自身负载特征的方案。</w:t>
      </w:r>
    </w:p>
    <w:p>
      <w:pPr>
        <w:pStyle w:val="Heading2"/>
      </w:pPr>
      <w:r>
        <w:t>Prefill 阶段：小 DP、大 TP + CP</w:t>
      </w:r>
    </w:p>
    <w:p>
      <w:pPr/>
      <w:r>
        <w:t>长序列场景下，单条请求输入可达数万 token，Prefill 阶段显存压力极大。P 节点的并行策略倾向于"小 DP、大 TP"——减少数据并行副本数，增大单请求内部的模型切分规模。</w:t>
      </w:r>
    </w:p>
    <w:p>
      <w:pPr/>
      <w:r>
        <w:t>下图展示了 P 节点内各模块的并行分工，有助于理解不同并行策略在模型数据流中的具体位置：</w:t>
      </w:r>
    </w:p>
    <w:p>
      <w:pPr>
        <w:keepNext/>
        <w:keepLines/>
        <w:spacing w:before="120" w:after="0"/>
        <w:jc w:val="center"/>
      </w:pPr>
      <w:r>
        <w:drawing>
          <wp:inline xmlns:a="http://schemas.openxmlformats.org/drawingml/2006/main" xmlns:pic="http://schemas.openxmlformats.org/drawingml/2006/picture">
            <wp:extent cx="5943600" cy="3343275"/>
            <wp:docPr id="1" name="Picture 1" descr="GLM-5 Prefill 阶段的并行策略示意图，展示各模块所采用的并行方式" title="GLM-5 Prefill 阶段的并行策略示意图，展示各模块所采用的并行方式"/>
            <wp:cNvGraphicFramePr>
              <a:graphicFrameLocks noChangeAspect="1"/>
            </wp:cNvGraphicFramePr>
            <a:graphic>
              <a:graphicData uri="http://schemas.openxmlformats.org/drawingml/2006/picture">
                <pic:pic>
                  <pic:nvPicPr>
                    <pic:cNvPr id="0" name="slide-10.png"/>
                    <pic:cNvPicPr/>
                  </pic:nvPicPr>
                  <pic:blipFill>
                    <a:blip r:embed="rId13"/>
                    <a:stretch>
                      <a:fillRect/>
                    </a:stretch>
                  </pic:blipFill>
                  <pic:spPr>
                    <a:xfrm>
                      <a:off x="0" y="0"/>
                      <a:ext cx="5943600" cy="3343275"/>
                    </a:xfrm>
                    <a:prstGeom prst="rect"/>
                  </pic:spPr>
                </pic:pic>
              </a:graphicData>
            </a:graphic>
          </wp:inline>
        </w:drawing>
      </w:r>
    </w:p>
    <w:p>
      <w:pPr/>
      <w:r>
        <w:rPr>
          <w:i/>
        </w:rPr>
        <w:t>图注：Prefill 并行策略——Input 经过 Embedding（TP）、Attention（CP）、O_proj（TP）、MoE（EP）、LM Head（TP）输出。来源：PPT 第 10 页</w:t>
      </w:r>
    </w:p>
    <w:p>
      <w:pPr/>
      <w:r>
        <w:t>图中关键元素解读：</w:t>
      </w:r>
    </w:p>
    <w:p>
      <w:pPr>
        <w:spacing w:after="80" w:line="290" w:lineRule="auto"/>
        <w:numPr>
          <w:ilvl w:val="0"/>
          <w:numId w:val="10"/>
        </w:numPr>
      </w:pPr>
      <w:r>
        <w:rPr>
          <w:b/>
        </w:rPr>
        <w:t>Embedding / LM Head → TP</w:t>
      </w:r>
      <w:r>
        <w:t>：矩阵乘法通过张量并行切分到多卡，最常规的并行方式。</w:t>
      </w:r>
    </w:p>
    <w:p>
      <w:pPr>
        <w:spacing w:after="80" w:line="290" w:lineRule="auto"/>
        <w:numPr>
          <w:ilvl w:val="0"/>
          <w:numId w:val="10"/>
        </w:numPr>
      </w:pPr>
      <w:r>
        <w:rPr>
          <w:b/>
        </w:rPr>
        <w:t>Attention → CP（Context Parallelism，上下文并行）</w:t>
      </w:r>
      <w:r>
        <w:t>：这是应对长序列的核心手段。CP 将输入 token 序列按位置维度切分，每张卡只处理一部分上下文。好处有二：单卡需要缓存的 KV Cache 量随切分数线性下降，直接缓解显存瓶颈；CP 的通信与计算之间可以形成 overlap，从而部分掩盖通信开销。</w:t>
      </w:r>
    </w:p>
    <w:p>
      <w:pPr>
        <w:spacing w:after="80" w:line="290" w:lineRule="auto"/>
        <w:numPr>
          <w:ilvl w:val="0"/>
          <w:numId w:val="10"/>
        </w:numPr>
      </w:pPr>
      <w:r>
        <w:rPr>
          <w:b/>
        </w:rPr>
        <w:t>MoE → EP</w:t>
      </w:r>
      <w:r>
        <w:t>：不同专家分配到不同设备上，通过 All-to-All 通信路由 token，使专家权重不必在每张卡上完整存放。</w:t>
      </w:r>
    </w:p>
    <w:p>
      <w:pPr/>
      <w:r>
        <w:t>这套组合的因果逻辑是：长序列 → 显存不足 → 用 CP 切分序列 + EP 切分专家 → 单卡负载可控 → TTFT 达标。</w:t>
      </w:r>
    </w:p>
    <w:p>
      <w:pPr>
        <w:pStyle w:val="Heading2"/>
      </w:pPr>
      <w:r>
        <w:t>Decode 阶段：大 DP、小 TP</w:t>
      </w:r>
    </w:p>
    <w:p>
      <w:pPr/>
      <w:r>
        <w:t>D 节点的 KV Cache 从 P 节点按需传输而来，自身显存压力较低。此时瓶颈转移到通信占比——TP 越大，每步需要执行的跨卡通信越多，而每次通信搬运的有效数据量却很小，通信占比过高直接拖慢 TPOT。因此 D 节点采用"大 DP、小 TP"策略。</w:t>
      </w:r>
    </w:p>
    <w:p>
      <w:pPr/>
      <w:r>
        <w:t>下图展示了 D 节点的并行分工，与上图 P 节点策略形成对照：</w:t>
      </w:r>
    </w:p>
    <w:p>
      <w:pPr>
        <w:keepNext/>
        <w:keepLines/>
        <w:spacing w:before="120" w:after="0"/>
        <w:jc w:val="center"/>
      </w:pPr>
      <w:r>
        <w:drawing>
          <wp:inline xmlns:a="http://schemas.openxmlformats.org/drawingml/2006/main" xmlns:pic="http://schemas.openxmlformats.org/drawingml/2006/picture">
            <wp:extent cx="5943600" cy="3343275"/>
            <wp:docPr id="2" name="Picture 2" descr="GLM-5 Decode 阶段的并行策略示意图，展示各模块所采用的并行方式" title="GLM-5 Decode 阶段的并行策略示意图，展示各模块所采用的并行方式"/>
            <wp:cNvGraphicFramePr>
              <a:graphicFrameLocks noChangeAspect="1"/>
            </wp:cNvGraphicFramePr>
            <a:graphic>
              <a:graphicData uri="http://schemas.openxmlformats.org/drawingml/2006/picture">
                <pic:pic>
                  <pic:nvPicPr>
                    <pic:cNvPr id="0" name="slide-11.png"/>
                    <pic:cNvPicPr/>
                  </pic:nvPicPr>
                  <pic:blipFill>
                    <a:blip r:embed="rId14"/>
                    <a:stretch>
                      <a:fillRect/>
                    </a:stretch>
                  </pic:blipFill>
                  <pic:spPr>
                    <a:xfrm>
                      <a:off x="0" y="0"/>
                      <a:ext cx="5943600" cy="3343275"/>
                    </a:xfrm>
                    <a:prstGeom prst="rect"/>
                  </pic:spPr>
                </pic:pic>
              </a:graphicData>
            </a:graphic>
          </wp:inline>
        </w:drawing>
      </w:r>
    </w:p>
    <w:p>
      <w:pPr/>
      <w:r>
        <w:rPr>
          <w:i/>
        </w:rPr>
        <w:t>图注：Decode 并行策略——Attention 改为 DP 并行，其余模块保持不变。来源：PPT 第 11 页（原图左侧框标题误标为"Prefill"，实际描述的是 Decode 策略）</w:t>
      </w:r>
    </w:p>
    <w:p>
      <w:pPr/>
      <w:r>
        <w:t>与 Prefill 对比，关键变化集中在 Attention 模块：改为 DP，让每张卡独立处理不同请求。单步 Decode 的序列长度仅为 1，CP 切分已无意义。</w:t>
      </w:r>
    </w:p>
    <w:p>
      <w:pPr/>
      <w:r>
        <w:t>两阶段策略差异总结：</w:t>
      </w:r>
    </w:p>
    <w:tbl>
      <w:tblPr>
        <w:tblStyle w:val="TableGrid"/>
        <w:tblW w:type="dxa" w:w="9360"/>
        <w:jc w:val="left"/>
        <w:tblLayout w:type="fixed"/>
        <w:tblLook w:firstColumn="1" w:firstRow="1" w:lastColumn="0" w:lastRow="0" w:noHBand="0" w:noVBand="1" w:val="04A0"/>
        <w:tblInd w:w="120" w:type="dxa"/>
      </w:tblPr>
      <w:tblGrid>
        <w:gridCol w:w="3717"/>
        <w:gridCol w:w="2890"/>
        <w:gridCol w:w="2753"/>
      </w:tblGrid>
      <w:tr>
        <w:trPr>
          <w:tblHeader w:val="true"/>
        </w:trPr>
        <w:tc>
          <w:tcPr>
            <w:tcW w:type="dxa" w:w="371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模块</w:t>
            </w:r>
          </w:p>
        </w:tc>
        <w:tc>
          <w:tcPr>
            <w:tcW w:type="dxa" w:w="289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Prefill（P 节点）</w:t>
            </w:r>
          </w:p>
        </w:tc>
        <w:tc>
          <w:tcPr>
            <w:tcW w:type="dxa" w:w="275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Decode（D 节点）</w:t>
            </w:r>
          </w:p>
        </w:tc>
      </w:tr>
      <w:tr>
        <w:tc>
          <w:tcPr>
            <w:tcW w:type="dxa" w:w="3717"/>
            <w:vAlign w:val="center"/>
            <w:tcMar>
              <w:top w:w="80" w:type="dxa"/>
              <w:start w:w="120" w:type="dxa"/>
              <w:bottom w:w="80" w:type="dxa"/>
              <w:end w:w="120" w:type="dxa"/>
            </w:tcMar>
          </w:tcPr>
          <w:p>
            <w:pPr>
              <w:spacing w:before="0" w:after="0" w:line="259" w:lineRule="auto"/>
            </w:pPr>
            <w:r>
              <w:rPr>
                <w:rFonts w:ascii="Calibri" w:hAnsi="Calibri" w:eastAsia="Microsoft YaHei"/>
                <w:sz w:val="18"/>
              </w:rPr>
              <w:t>Embedding / LM Head</w:t>
            </w:r>
          </w:p>
        </w:tc>
        <w:tc>
          <w:tcPr>
            <w:tcW w:type="dxa" w:w="28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w:t>
            </w:r>
          </w:p>
        </w:tc>
      </w:tr>
      <w:tr>
        <w:tc>
          <w:tcPr>
            <w:tcW w:type="dxa" w:w="3717"/>
            <w:vAlign w:val="center"/>
            <w:tcMar>
              <w:top w:w="80" w:type="dxa"/>
              <w:start w:w="120" w:type="dxa"/>
              <w:bottom w:w="80" w:type="dxa"/>
              <w:end w:w="120" w:type="dxa"/>
            </w:tcMar>
          </w:tcPr>
          <w:p>
            <w:pPr>
              <w:spacing w:before="0" w:after="0" w:line="259" w:lineRule="auto"/>
            </w:pPr>
            <w:r>
              <w:rPr>
                <w:rFonts w:ascii="Calibri" w:hAnsi="Calibri" w:eastAsia="Microsoft YaHei"/>
                <w:sz w:val="18"/>
              </w:rPr>
              <w:t>Attention</w:t>
            </w:r>
          </w:p>
        </w:tc>
        <w:tc>
          <w:tcPr>
            <w:tcW w:type="dxa" w:w="2890"/>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CP</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DP</w:t>
            </w:r>
          </w:p>
        </w:tc>
      </w:tr>
      <w:tr>
        <w:tc>
          <w:tcPr>
            <w:tcW w:type="dxa" w:w="3717"/>
            <w:vAlign w:val="center"/>
            <w:tcMar>
              <w:top w:w="80" w:type="dxa"/>
              <w:start w:w="120" w:type="dxa"/>
              <w:bottom w:w="80" w:type="dxa"/>
              <w:end w:w="120" w:type="dxa"/>
            </w:tcMar>
          </w:tcPr>
          <w:p>
            <w:pPr>
              <w:spacing w:before="0" w:after="0" w:line="259" w:lineRule="auto"/>
            </w:pPr>
            <w:r>
              <w:rPr>
                <w:rFonts w:ascii="Calibri" w:hAnsi="Calibri" w:eastAsia="Microsoft YaHei"/>
                <w:sz w:val="18"/>
              </w:rPr>
              <w:t>MoE</w:t>
            </w:r>
          </w:p>
        </w:tc>
        <w:tc>
          <w:tcPr>
            <w:tcW w:type="dxa" w:w="28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EP</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EP</w:t>
            </w:r>
          </w:p>
        </w:tc>
      </w:tr>
      <w:tr>
        <w:tc>
          <w:tcPr>
            <w:tcW w:type="dxa" w:w="3717"/>
            <w:vAlign w:val="center"/>
            <w:tcMar>
              <w:top w:w="80" w:type="dxa"/>
              <w:start w:w="120" w:type="dxa"/>
              <w:bottom w:w="80" w:type="dxa"/>
              <w:end w:w="120" w:type="dxa"/>
            </w:tcMar>
          </w:tcPr>
          <w:p>
            <w:pPr>
              <w:spacing w:before="0" w:after="0" w:line="259" w:lineRule="auto"/>
            </w:pPr>
            <w:r>
              <w:rPr>
                <w:rFonts w:ascii="Calibri" w:hAnsi="Calibri" w:eastAsia="Microsoft YaHei"/>
                <w:sz w:val="18"/>
              </w:rPr>
              <w:t>DP 规模</w:t>
            </w:r>
          </w:p>
        </w:tc>
        <w:tc>
          <w:tcPr>
            <w:tcW w:type="dxa" w:w="28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小</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大</w:t>
            </w:r>
          </w:p>
        </w:tc>
      </w:tr>
      <w:tr>
        <w:tc>
          <w:tcPr>
            <w:tcW w:type="dxa" w:w="3717"/>
            <w:vAlign w:val="center"/>
            <w:tcMar>
              <w:top w:w="80" w:type="dxa"/>
              <w:start w:w="120" w:type="dxa"/>
              <w:bottom w:w="80" w:type="dxa"/>
              <w:end w:w="120" w:type="dxa"/>
            </w:tcMar>
          </w:tcPr>
          <w:p>
            <w:pPr>
              <w:spacing w:before="0" w:after="0" w:line="259" w:lineRule="auto"/>
            </w:pPr>
            <w:r>
              <w:rPr>
                <w:rFonts w:ascii="Calibri" w:hAnsi="Calibri" w:eastAsia="Microsoft YaHei"/>
                <w:sz w:val="18"/>
              </w:rPr>
              <w:t>TP 规模</w:t>
            </w:r>
          </w:p>
        </w:tc>
        <w:tc>
          <w:tcPr>
            <w:tcW w:type="dxa" w:w="28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大</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小</w:t>
            </w:r>
          </w:p>
        </w:tc>
      </w:tr>
    </w:tbl>
    <w:p>
      <w:pPr>
        <w:spacing w:after="40"/>
      </w:pPr>
    </w:p>
    <w:p>
      <w:pPr/>
      <w:r>
        <w:rPr>
          <w:b/>
        </w:rPr>
        <w:t>结论</w:t>
      </w:r>
      <w:r>
        <w:t>：PD 分离为长序列推理提供了架构层面的保障，是实现低 TTFT 与低 TPOT 兼得的前提。需要注意的边界条件是：PD 分离引入了 P 节点向 D 节点传输 KV Cache 的跨节点通信开销。当序列极长时，这部分传输量可能可观，是否成为新瓶颈取决于节点间互联带宽与 KV Cache 的压缩程度——后者正是下一节要讨论的内容。</w:t>
      </w:r>
    </w:p>
    <w:p>
      <w:pPr>
        <w:pStyle w:val="Heading1"/>
      </w:pPr>
      <w:r>
        <w:t>五、突破显存墙：量化策略与 C8 KV Cache</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本节核心问题</w:t>
      </w:r>
      <w:r>
        <w:rPr>
          <w:rFonts w:ascii="Calibri" w:hAnsi="Calibri" w:eastAsia="Microsoft YaHei"/>
          <w:color w:val="203748"/>
          <w:sz w:val="23"/>
        </w:rPr>
        <w:t>：在不增加硬件的前提下，如何进一步压缩显存占用以提升系统最大并发容量？</w:t>
      </w:r>
    </w:p>
    <w:p>
      <w:pPr/>
      <w:r>
        <w:t>架构层面的拆分解决了计算资源的分配问题，但单节点的物理显存上限依然存在。当模型权重和 KV Cache 的总量逼近 HBM 边界时，单卡可容纳的并发请求数仍会受限。答案指向两个维度的量化——权重激活量化与 KV Cache 量化。</w:t>
      </w:r>
    </w:p>
    <w:p>
      <w:pPr>
        <w:pStyle w:val="Heading2"/>
      </w:pPr>
      <w:r>
        <w:t>权重与激活量化：W8A8 / W4A8</w:t>
      </w:r>
    </w:p>
    <w:p>
      <w:pPr/>
      <w:r>
        <w:t>量化（Quantization）用更低位宽的整数表示原本以 BF16（16-bit Brain Floating Point）存储的权重（W）和激活值（A），减少每个参数的字节数。GLM-5 在昇腾 NPU 上支持两种量化方案，三种精度下模型权重的显存占用对比如下（数据来源：PPT 第 12 页）：</w:t>
      </w:r>
    </w:p>
    <w:tbl>
      <w:tblPr>
        <w:tblStyle w:val="TableGrid"/>
        <w:tblW w:type="dxa" w:w="9360"/>
        <w:jc w:val="left"/>
        <w:tblLayout w:type="fixed"/>
        <w:tblLook w:firstColumn="1" w:firstRow="1" w:lastColumn="0" w:lastRow="0" w:noHBand="0" w:noVBand="1" w:val="04A0"/>
        <w:tblInd w:w="120" w:type="dxa"/>
      </w:tblPr>
      <w:tblGrid>
        <w:gridCol w:w="2517"/>
        <w:gridCol w:w="2163"/>
        <w:gridCol w:w="2163"/>
        <w:gridCol w:w="2517"/>
      </w:tblGrid>
      <w:tr>
        <w:trPr>
          <w:tblHeader w:val="true"/>
        </w:trPr>
        <w:tc>
          <w:tcPr>
            <w:tcW w:type="dxa" w:w="251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精度方案</w:t>
            </w:r>
          </w:p>
        </w:tc>
        <w:tc>
          <w:tcPr>
            <w:tcW w:type="dxa" w:w="216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权重位宽</w:t>
            </w:r>
          </w:p>
        </w:tc>
        <w:tc>
          <w:tcPr>
            <w:tcW w:type="dxa" w:w="216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激活位宽</w:t>
            </w:r>
          </w:p>
        </w:tc>
        <w:tc>
          <w:tcPr>
            <w:tcW w:type="dxa" w:w="251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权重显存占用</w:t>
            </w:r>
          </w:p>
        </w:tc>
      </w:tr>
      <w:tr>
        <w:tc>
          <w:tcPr>
            <w:tcW w:type="dxa" w:w="2517"/>
            <w:vAlign w:val="center"/>
            <w:tcMar>
              <w:top w:w="80" w:type="dxa"/>
              <w:start w:w="120" w:type="dxa"/>
              <w:bottom w:w="80" w:type="dxa"/>
              <w:end w:w="120" w:type="dxa"/>
            </w:tcMar>
          </w:tcPr>
          <w:p>
            <w:pPr>
              <w:spacing w:before="0" w:after="0" w:line="259" w:lineRule="auto"/>
            </w:pPr>
            <w:r>
              <w:rPr>
                <w:rFonts w:ascii="Calibri" w:hAnsi="Calibri" w:eastAsia="Microsoft YaHei"/>
                <w:sz w:val="18"/>
              </w:rPr>
              <w:t>BF16（原始）</w:t>
            </w:r>
          </w:p>
        </w:tc>
        <w:tc>
          <w:tcPr>
            <w:tcW w:type="dxa" w:w="216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 bit</w:t>
            </w:r>
          </w:p>
        </w:tc>
        <w:tc>
          <w:tcPr>
            <w:tcW w:type="dxa" w:w="216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 bit</w:t>
            </w:r>
          </w:p>
        </w:tc>
        <w:tc>
          <w:tcPr>
            <w:tcW w:type="dxa" w:w="2517"/>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1 510 GB</w:t>
            </w:r>
          </w:p>
        </w:tc>
      </w:tr>
      <w:tr>
        <w:tc>
          <w:tcPr>
            <w:tcW w:type="dxa" w:w="2517"/>
            <w:vAlign w:val="center"/>
            <w:tcMar>
              <w:top w:w="80" w:type="dxa"/>
              <w:start w:w="120" w:type="dxa"/>
              <w:bottom w:w="80" w:type="dxa"/>
              <w:end w:w="120" w:type="dxa"/>
            </w:tcMar>
          </w:tcPr>
          <w:p>
            <w:pPr>
              <w:spacing w:before="0" w:after="0" w:line="259" w:lineRule="auto"/>
            </w:pPr>
            <w:r>
              <w:rPr>
                <w:rFonts w:ascii="Calibri" w:hAnsi="Calibri" w:eastAsia="Microsoft YaHei"/>
                <w:sz w:val="18"/>
              </w:rPr>
              <w:t>W8A8</w:t>
            </w:r>
          </w:p>
        </w:tc>
        <w:tc>
          <w:tcPr>
            <w:tcW w:type="dxa" w:w="216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 bit</w:t>
            </w:r>
          </w:p>
        </w:tc>
        <w:tc>
          <w:tcPr>
            <w:tcW w:type="dxa" w:w="216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 bit</w:t>
            </w:r>
          </w:p>
        </w:tc>
        <w:tc>
          <w:tcPr>
            <w:tcW w:type="dxa" w:w="2517"/>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764 GB</w:t>
            </w:r>
          </w:p>
        </w:tc>
      </w:tr>
      <w:tr>
        <w:tc>
          <w:tcPr>
            <w:tcW w:type="dxa" w:w="2517"/>
            <w:vAlign w:val="center"/>
            <w:tcMar>
              <w:top w:w="80" w:type="dxa"/>
              <w:start w:w="120" w:type="dxa"/>
              <w:bottom w:w="80" w:type="dxa"/>
              <w:end w:w="120" w:type="dxa"/>
            </w:tcMar>
          </w:tcPr>
          <w:p>
            <w:pPr>
              <w:spacing w:before="0" w:after="0" w:line="259" w:lineRule="auto"/>
            </w:pPr>
            <w:r>
              <w:rPr>
                <w:rFonts w:ascii="Calibri" w:hAnsi="Calibri" w:eastAsia="Microsoft YaHei"/>
                <w:sz w:val="18"/>
              </w:rPr>
              <w:t>W4A8</w:t>
            </w:r>
          </w:p>
        </w:tc>
        <w:tc>
          <w:tcPr>
            <w:tcW w:type="dxa" w:w="216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bit</w:t>
            </w:r>
          </w:p>
        </w:tc>
        <w:tc>
          <w:tcPr>
            <w:tcW w:type="dxa" w:w="216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 bit</w:t>
            </w:r>
          </w:p>
        </w:tc>
        <w:tc>
          <w:tcPr>
            <w:tcW w:type="dxa" w:w="2517"/>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395 GB</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color w:val="203748"/>
          <w:sz w:val="23"/>
        </w:rPr>
        <w:t>以上为整个模型的权重总量，不含 KV Cache 和中间激活。</w:t>
      </w:r>
    </w:p>
    <w:p>
      <w:pPr/>
      <w:r>
        <w:t>从 BF16 到 W8A8，权重占用降至约一半；W4A8 仅为原始的 26%。若坚持 BF16 全精度部署并需在长序列场景下稳定运行，所需资源量远超量化方案。</w:t>
      </w:r>
    </w:p>
    <w:p>
      <w:pPr/>
      <w:r>
        <w:t>GLM-5 并非对所有子模块采用统一精度，而是根据各部分对精度的敏感度做区分。PPT 第 12 页展示的配置中，注意力计算的 SFA（Sparse Flash Attention）部分保留 BF16，Lightning Indexer 采用 A8C8（激活 8 bit、Cache 为 int8），其余线性投影和 MoE 专家层采用 W8A8。注意力分数对数值误差更为敏感，这是 SFA 保留高精度的原因。</w:t>
      </w:r>
    </w:p>
    <w:p>
      <w:pPr>
        <w:pStyle w:val="Heading2"/>
      </w:pPr>
      <w:r>
        <w:t>C8 KV Cache：把省下来的显存还给并发</w:t>
      </w:r>
    </w:p>
    <w:p>
      <w:pPr/>
      <w:r>
        <w:t>权重量化只解决了"静态"占用。在推理服务中，KV Cache 才是显存的动态大户——它与序列长度 × 并发请求数成正比增长。</w:t>
      </w:r>
    </w:p>
    <w:p>
      <w:pPr/>
      <w:r>
        <w:rPr>
          <w:b/>
        </w:rPr>
        <w:t>C8 KV Cache</w:t>
      </w:r>
      <w:r>
        <w:t xml:space="preserve"> 技术将 KV Cache 从默认的 BF16/FP16 压缩为 int8（8-bit 整数）格式存储，每个缓存元素的字节数直接减半。因果链如下：</w:t>
      </w:r>
    </w:p>
    <w:p>
      <w:pPr/>
      <w:r>
        <w:t>```</w:t>
      </w:r>
    </w:p>
    <w:p>
      <w:pPr/>
      <w:r>
        <w:t>KV Cache 以 int8 存储</w:t>
      </w:r>
    </w:p>
    <w:p>
      <w:pPr/>
      <w:r>
        <w:t>→ 每个 token 的缓存占用减少约 50%</w:t>
      </w:r>
    </w:p>
    <w:p>
      <w:pPr/>
      <w:r>
        <w:t>→ 相同 HBM 容量可容纳更多 token 的缓存</w:t>
      </w:r>
    </w:p>
    <w:p>
      <w:pPr/>
      <w:r>
        <w:t>→ 系统可同时服务更多并发请求（或支撑更长上下文）</w:t>
      </w:r>
    </w:p>
    <w:p>
      <w:pPr/>
      <w:r>
        <w:t>→ 整体吞吐提升</w:t>
      </w:r>
    </w:p>
    <w:p>
      <w:pPr/>
      <w:r>
        <w:t>```</w:t>
      </w:r>
    </w:p>
    <w:p>
      <w:pPr/>
      <w:r>
        <w:rPr>
          <w:b/>
        </w:rPr>
        <w:t>最小数字例子</w:t>
      </w:r>
      <w:r>
        <w:t>：假设单请求在 BF16 下 KV Cache 占用 200 MB，int8 压缩后约 100 MB。一块空余 16 GB 显存的卡，BF16 下最多容纳 80 路并发，C8 模式下可扩展至约 160 路——并发上限直接翻倍。（此例为说明原理的简化计算，实际数值取决于序列长度、层数和注意力头维度。）</w:t>
      </w:r>
    </w:p>
    <w:p>
      <w:pPr>
        <w:pStyle w:val="Heading2"/>
      </w:pPr>
      <w:r>
        <w:t>精度边界与硬件适配</w:t>
      </w:r>
    </w:p>
    <w:p>
      <w:pPr/>
      <w:r>
        <w:t>当前昇腾 910B / 910C 上，C8 仅指 int8。未来 910 系列后续型号将支持 FP8 格式，届时 C8 的含义也会扩展。量化的代价包括：</w:t>
      </w:r>
    </w:p>
    <w:p>
      <w:pPr>
        <w:spacing w:after="80" w:line="290" w:lineRule="auto"/>
        <w:numPr>
          <w:ilvl w:val="0"/>
          <w:numId w:val="16"/>
        </w:numPr>
      </w:pPr>
      <w:r>
        <w:rPr>
          <w:b/>
        </w:rPr>
        <w:t>精度损失</w:t>
      </w:r>
      <w:r>
        <w:t>——部分场景下输出质量可能下降，需结合业务容忍度评估。</w:t>
      </w:r>
    </w:p>
    <w:p>
      <w:pPr>
        <w:spacing w:after="80" w:line="290" w:lineRule="auto"/>
        <w:numPr>
          <w:ilvl w:val="0"/>
          <w:numId w:val="16"/>
        </w:numPr>
      </w:pPr>
      <w:r>
        <w:rPr>
          <w:b/>
        </w:rPr>
        <w:t>算子适配</w:t>
      </w:r>
      <w:r>
        <w:t>——W4A8 场景下权重以 4 bit 存储、计算以 8 bit 执行，涉及 dequant 过程。当前采用融合算子方式将 dequant 与矩阵乘合并，避免单独调用带来的额外时延。</w:t>
      </w:r>
    </w:p>
    <w:p>
      <w:pPr>
        <w:spacing w:after="80" w:line="290" w:lineRule="auto"/>
        <w:numPr>
          <w:ilvl w:val="0"/>
          <w:numId w:val="16"/>
        </w:numPr>
      </w:pPr>
      <w:r>
        <w:rPr>
          <w:b/>
        </w:rPr>
        <w:t>并非所有子模块都适合低精度</w:t>
      </w:r>
      <w:r>
        <w:t>——SFA 仍保持 BF16，说明量化策略需逐模块评估。</w:t>
      </w:r>
    </w:p>
    <w:p>
      <w:pPr/>
      <w:r>
        <w:rPr>
          <w:b/>
        </w:rPr>
        <w:t>结论</w:t>
      </w:r>
      <w:r>
        <w:t>：量化是在固定硬件预算下提升并发能力最直接的手段。权重量化压缩静态占用，C8 KV Cache 压缩动态占用，二者叠加可将系统可部署规模显著提升。但模块级的精度分配与硬件对低精度格式的支持范围，决定了量化策略的实际上限。</w:t>
      </w:r>
    </w:p>
    <w:p>
      <w:pPr>
        <w:pStyle w:val="Heading1"/>
      </w:pPr>
      <w:r>
        <w:t>六、底层加速：图模式与定制融合算子</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本节核心问题</w:t>
      </w:r>
      <w:r>
        <w:rPr>
          <w:rFonts w:ascii="Calibri" w:hAnsi="Calibri" w:eastAsia="Microsoft YaHei"/>
          <w:color w:val="203748"/>
          <w:sz w:val="23"/>
        </w:rPr>
        <w:t>：如何降低算子下发时延并提升 MoE 等复杂结构的执行效率？</w:t>
      </w:r>
    </w:p>
    <w:p>
      <w:pPr/>
      <w:r>
        <w:t>显存容量问题缓解后，系统性能的瓶颈可能转移到框架层：每个算子（Operator，神经网络中的基本计算单元）从 CPU 调度到 NPU 的延时累积起来，可能超过算子本身在加速卡上的执行耗时。此外，MoE 在分发、计算、合并各阶段之间会产生大量中间数据搬运。本节拆解两项底层技术：图模式消除调度开销，融合算子消除冗余搬运与通信等待。</w:t>
      </w:r>
    </w:p>
    <w:p>
      <w:pPr>
        <w:pStyle w:val="Heading2"/>
      </w:pPr>
      <w:r>
        <w:t>ACL Graph：一次捕获，反复重放</w:t>
      </w:r>
    </w:p>
    <w:p>
      <w:pPr/>
      <w:r>
        <w:rPr>
          <w:b/>
        </w:rPr>
        <w:t>ACL Graph</w:t>
      </w:r>
      <w:r>
        <w:t xml:space="preserve"> 是昇腾平台上对标 NVIDIA </w:t>
      </w:r>
      <w:r>
        <w:rPr>
          <w:b/>
        </w:rPr>
        <w:t>CUDA Graph</w:t>
      </w:r>
      <w:r>
        <w:t xml:space="preserve"> 的图模式（Graph Mode）技术。其工作流程可用三步概括：</w:t>
      </w:r>
    </w:p>
    <w:tbl>
      <w:tblPr>
        <w:tblStyle w:val="TableGrid"/>
        <w:tblW w:type="dxa" w:w="9360"/>
        <w:jc w:val="left"/>
        <w:tblLayout w:type="fixed"/>
        <w:tblLook w:firstColumn="1" w:firstRow="1" w:lastColumn="0" w:lastRow="0" w:noHBand="0" w:noVBand="1" w:val="04A0"/>
        <w:tblInd w:w="120" w:type="dxa"/>
      </w:tblPr>
      <w:tblGrid>
        <w:gridCol w:w="1491"/>
        <w:gridCol w:w="4912"/>
        <w:gridCol w:w="2957"/>
      </w:tblGrid>
      <w:tr>
        <w:trPr>
          <w:tblHeader w:val="true"/>
        </w:trPr>
        <w:tc>
          <w:tcPr>
            <w:tcW w:type="dxa" w:w="149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491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行为</w:t>
            </w:r>
          </w:p>
        </w:tc>
        <w:tc>
          <w:tcPr>
            <w:tcW w:type="dxa" w:w="295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收益</w:t>
            </w:r>
          </w:p>
        </w:tc>
      </w:tr>
      <w:tr>
        <w:tc>
          <w:tcPr>
            <w:tcW w:type="dxa" w:w="1491"/>
            <w:vAlign w:val="center"/>
            <w:tcMar>
              <w:top w:w="80" w:type="dxa"/>
              <w:start w:w="120" w:type="dxa"/>
              <w:bottom w:w="80" w:type="dxa"/>
              <w:end w:w="120" w:type="dxa"/>
            </w:tcMar>
          </w:tcPr>
          <w:p>
            <w:pPr>
              <w:spacing w:before="0" w:after="0" w:line="259" w:lineRule="auto"/>
            </w:pPr>
            <w:r>
              <w:rPr>
                <w:rFonts w:ascii="Calibri" w:hAnsi="Calibri" w:eastAsia="Microsoft YaHei"/>
                <w:b/>
                <w:sz w:val="18"/>
              </w:rPr>
              <w:t>捕获</w:t>
            </w:r>
          </w:p>
        </w:tc>
        <w:tc>
          <w:tcPr>
            <w:tcW w:type="dxa" w:w="4912"/>
            <w:vAlign w:val="center"/>
            <w:tcMar>
              <w:top w:w="80" w:type="dxa"/>
              <w:start w:w="120" w:type="dxa"/>
              <w:bottom w:w="80" w:type="dxa"/>
              <w:end w:w="120" w:type="dxa"/>
            </w:tcMar>
          </w:tcPr>
          <w:p>
            <w:pPr>
              <w:spacing w:before="0" w:after="0" w:line="259" w:lineRule="auto"/>
            </w:pPr>
            <w:r>
              <w:rPr>
                <w:rFonts w:ascii="Calibri" w:hAnsi="Calibri" w:eastAsia="Microsoft YaHei"/>
                <w:sz w:val="18"/>
              </w:rPr>
              <w:t>首次执行时，框架将一连串算子的 shape、参数和依赖关系记录为一张静态计算图</w:t>
            </w:r>
          </w:p>
        </w:tc>
        <w:tc>
          <w:tcPr>
            <w:tcW w:type="dxa" w:w="29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仅发生一次</w:t>
            </w:r>
          </w:p>
        </w:tc>
      </w:tr>
      <w:tr>
        <w:tc>
          <w:tcPr>
            <w:tcW w:type="dxa" w:w="1491"/>
            <w:vAlign w:val="center"/>
            <w:tcMar>
              <w:top w:w="80" w:type="dxa"/>
              <w:start w:w="120" w:type="dxa"/>
              <w:bottom w:w="80" w:type="dxa"/>
              <w:end w:w="120" w:type="dxa"/>
            </w:tcMar>
          </w:tcPr>
          <w:p>
            <w:pPr>
              <w:spacing w:before="0" w:after="0" w:line="259" w:lineRule="auto"/>
            </w:pPr>
            <w:r>
              <w:rPr>
                <w:rFonts w:ascii="Calibri" w:hAnsi="Calibri" w:eastAsia="Microsoft YaHei"/>
                <w:b/>
                <w:sz w:val="18"/>
              </w:rPr>
              <w:t>编译</w:t>
            </w:r>
          </w:p>
        </w:tc>
        <w:tc>
          <w:tcPr>
            <w:tcW w:type="dxa" w:w="49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对图做算子融合、内存规划等离线优化</w:t>
            </w:r>
          </w:p>
        </w:tc>
        <w:tc>
          <w:tcPr>
            <w:tcW w:type="dxa" w:w="29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生成高效的下发指令序列</w:t>
            </w:r>
          </w:p>
        </w:tc>
      </w:tr>
      <w:tr>
        <w:tc>
          <w:tcPr>
            <w:tcW w:type="dxa" w:w="1491"/>
            <w:vAlign w:val="center"/>
            <w:tcMar>
              <w:top w:w="80" w:type="dxa"/>
              <w:start w:w="120" w:type="dxa"/>
              <w:bottom w:w="80" w:type="dxa"/>
              <w:end w:w="120" w:type="dxa"/>
            </w:tcMar>
          </w:tcPr>
          <w:p>
            <w:pPr>
              <w:spacing w:before="0" w:after="0" w:line="259" w:lineRule="auto"/>
            </w:pPr>
            <w:r>
              <w:rPr>
                <w:rFonts w:ascii="Calibri" w:hAnsi="Calibri" w:eastAsia="Microsoft YaHei"/>
                <w:b/>
                <w:sz w:val="18"/>
              </w:rPr>
              <w:t>重放</w:t>
            </w:r>
          </w:p>
        </w:tc>
        <w:tc>
          <w:tcPr>
            <w:tcW w:type="dxa" w:w="4912"/>
            <w:vAlign w:val="center"/>
            <w:tcMar>
              <w:top w:w="80" w:type="dxa"/>
              <w:start w:w="120" w:type="dxa"/>
              <w:bottom w:w="80" w:type="dxa"/>
              <w:end w:w="120" w:type="dxa"/>
            </w:tcMar>
          </w:tcPr>
          <w:p>
            <w:pPr>
              <w:spacing w:before="0" w:after="0" w:line="259" w:lineRule="auto"/>
            </w:pPr>
            <w:r>
              <w:rPr>
                <w:rFonts w:ascii="Calibri" w:hAnsi="Calibri" w:eastAsia="Microsoft YaHei"/>
                <w:sz w:val="18"/>
              </w:rPr>
              <w:t>后续每次推理直接将整张图一次性提交给 NPU</w:t>
            </w:r>
          </w:p>
        </w:tc>
        <w:tc>
          <w:tcPr>
            <w:tcW w:type="dxa" w:w="2957"/>
            <w:vAlign w:val="center"/>
            <w:tcMar>
              <w:top w:w="80" w:type="dxa"/>
              <w:start w:w="120" w:type="dxa"/>
              <w:bottom w:w="80" w:type="dxa"/>
              <w:end w:w="120" w:type="dxa"/>
            </w:tcMar>
          </w:tcPr>
          <w:p>
            <w:pPr>
              <w:spacing w:before="0" w:after="0" w:line="259" w:lineRule="auto"/>
            </w:pPr>
            <w:r>
              <w:rPr>
                <w:rFonts w:ascii="Calibri" w:hAnsi="Calibri" w:eastAsia="Microsoft YaHei"/>
                <w:sz w:val="18"/>
              </w:rPr>
              <w:t>将"逐算子下发"变为"整图一次性下发"</w:t>
            </w:r>
          </w:p>
        </w:tc>
      </w:tr>
    </w:tbl>
    <w:p>
      <w:pPr>
        <w:spacing w:after="40"/>
      </w:pPr>
    </w:p>
    <w:p>
      <w:pPr/>
      <w:r>
        <w:rPr>
          <w:b/>
        </w:rPr>
        <w:t>为什么对 Decode 尤为关键？</w:t>
      </w:r>
      <w:r>
        <w:t xml:space="preserve"> Decode 阶段每步只生成一个 token，单算子计算量极小，CPU 端逐条下发的延时占比可能远超算子执行本身。启用 ACL Graph 后，TTFT 和 TPOT 均可观察到改善。</w:t>
      </w:r>
    </w:p>
    <w:p>
      <w:pPr>
        <w:spacing w:before="80" w:after="200" w:line="300" w:lineRule="auto"/>
        <w:ind w:left="317" w:right="173"/>
        <w:pBdr>
          <w:left w:val="single" w:sz="18" w:space="8" w:color="2E74B5"/>
        </w:pBdr>
        <w:shd w:fill="F4F6F9"/>
      </w:pPr>
      <w:r>
        <w:rPr>
          <w:rFonts w:ascii="Calibri" w:hAnsi="Calibri" w:eastAsia="Microsoft YaHei"/>
          <w:b/>
          <w:color w:val="203748"/>
          <w:sz w:val="23"/>
        </w:rPr>
        <w:t>边界条件</w:t>
      </w:r>
      <w:r>
        <w:rPr>
          <w:rFonts w:ascii="Calibri" w:hAnsi="Calibri" w:eastAsia="Microsoft YaHei"/>
          <w:color w:val="203748"/>
          <w:sz w:val="23"/>
        </w:rPr>
        <w:t>：图模式要求算子 shape 在捕获后保持不变；对于动态 shape 场景（如变长序列），通常需要对 shape 做分桶（bucketing）以维持静态图的复用率。</w:t>
      </w:r>
    </w:p>
    <w:p>
      <w:pPr>
        <w:pStyle w:val="Heading2"/>
      </w:pPr>
      <w:r>
        <w:t>融合算子：两个关键案例</w:t>
      </w:r>
    </w:p>
    <w:p>
      <w:pPr/>
      <w:r>
        <w:t>GLM-5 在昇腾上落地了多个定制融合算子，其中最具代表性的是 MLAProlog 和 DispatchFFNCombine。下图展示了这两个融合算子的内部结构与执行时序，是理解底层加速原理的关键参考：</w:t>
      </w:r>
    </w:p>
    <w:p>
      <w:pPr>
        <w:keepNext/>
        <w:keepLines/>
        <w:spacing w:before="120" w:after="0"/>
        <w:jc w:val="center"/>
      </w:pPr>
      <w:r>
        <w:drawing>
          <wp:inline xmlns:a="http://schemas.openxmlformats.org/drawingml/2006/main" xmlns:pic="http://schemas.openxmlformats.org/drawingml/2006/picture">
            <wp:extent cx="5943600" cy="3343275"/>
            <wp:docPr id="3" name="Picture 3" descr="MLAProlog 与 DispatchFFNCombine 融合算子的内部结构及执行时序示意" title="MLAProlog 与 DispatchFFNCombine 融合算子的内部结构及执行时序示意"/>
            <wp:cNvGraphicFramePr>
              <a:graphicFrameLocks noChangeAspect="1"/>
            </wp:cNvGraphicFramePr>
            <a:graphic>
              <a:graphicData uri="http://schemas.openxmlformats.org/drawingml/2006/picture">
                <pic:pic>
                  <pic:nvPicPr>
                    <pic:cNvPr id="0" name="slide-14.png"/>
                    <pic:cNvPicPr/>
                  </pic:nvPicPr>
                  <pic:blipFill>
                    <a:blip r:embed="rId15"/>
                    <a:stretch>
                      <a:fillRect/>
                    </a:stretch>
                  </pic:blipFill>
                  <pic:spPr>
                    <a:xfrm>
                      <a:off x="0" y="0"/>
                      <a:ext cx="5943600" cy="3343275"/>
                    </a:xfrm>
                    <a:prstGeom prst="rect"/>
                  </pic:spPr>
                </pic:pic>
              </a:graphicData>
            </a:graphic>
          </wp:inline>
        </w:drawing>
      </w:r>
    </w:p>
    <w:p>
      <w:pPr/>
      <w:r>
        <w:rPr>
          <w:i/>
        </w:rPr>
        <w:t>图注：左侧为 MLAProlog 数据流，右侧为 DispatchFFNCombine 的甘特图时序。来源：PPT 第 14 页</w:t>
      </w:r>
    </w:p>
    <w:p>
      <w:pPr>
        <w:pStyle w:val="Heading3"/>
      </w:pPr>
      <w:r>
        <w:t>MLAProlog——注意力前处理一步到位</w:t>
      </w:r>
    </w:p>
    <w:p>
      <w:pPr/>
      <w:r>
        <w:t>Multi-Head Latent Attention（MLA）在进入注意力计算之前，需要完成 Q/KV 的投影（</w:t>
      </w:r>
      <w:r>
        <w:rPr>
          <w:rFonts w:ascii="Consolas" w:hAnsi="Consolas" w:eastAsia="Microsoft YaHei"/>
          <w:color w:val="1F4D78"/>
          <w:sz w:val="19"/>
          <w:shd w:fill="EEF2F6"/>
        </w:rPr>
        <w:t>Q_a_proj</w:t>
      </w:r>
      <w:r>
        <w:t>、</w:t>
      </w:r>
      <w:r>
        <w:rPr>
          <w:rFonts w:ascii="Consolas" w:hAnsi="Consolas" w:eastAsia="Microsoft YaHei"/>
          <w:color w:val="1F4D78"/>
          <w:sz w:val="19"/>
          <w:shd w:fill="EEF2F6"/>
        </w:rPr>
        <w:t>KV_a_proj</w:t>
      </w:r>
      <w:r>
        <w:t xml:space="preserve"> 等）以及 RoPE 位置编码等一系列预处理。未融合时，这些操作各自作为独立算子依次下发，每次都带来一次 CPU→NPU 调度开销和一次中间 Tensor 的显存读写。</w:t>
      </w:r>
    </w:p>
    <w:p>
      <w:pPr/>
      <w:r>
        <w:rPr>
          <w:b/>
        </w:rPr>
        <w:t>MLAProlog</w:t>
      </w:r>
      <w:r>
        <w:t xml:space="preserve"> 将全部前处理计算融合进单个算子内核，一次调用即完成从投影到编码的全部工作。收益有二：调度开销从 N 次降为 1 次；中间 Tensor 不再写回 HBM，在片上 SRAM 中直接流转至下一步。</w:t>
      </w:r>
    </w:p>
    <w:p>
      <w:pPr>
        <w:pStyle w:val="Heading3"/>
      </w:pPr>
      <w:r>
        <w:t>DispatchFFNCombine——MoE 通算融合</w:t>
      </w:r>
    </w:p>
    <w:p>
      <w:pPr/>
      <w:r>
        <w:t xml:space="preserve">MoE 层的标准执行流为 </w:t>
      </w:r>
      <w:r>
        <w:rPr>
          <w:rFonts w:ascii="Consolas" w:hAnsi="Consolas" w:eastAsia="Microsoft YaHei"/>
          <w:color w:val="1F4D78"/>
          <w:sz w:val="19"/>
          <w:shd w:fill="EEF2F6"/>
        </w:rPr>
        <w:t>Dispatch → GMM1 → SwiGLU → GMM2 → Combine</w:t>
      </w:r>
      <w:r>
        <w:t>。其中 Dispatch 将每个 token 路由到对应专家，Combine 将各专家输出按权重合并。若串行执行，Dispatch 和 Combine 涉及跨卡通信，计算单元在等待通信完成时处于空闲。</w:t>
      </w:r>
    </w:p>
    <w:p>
      <w:pPr/>
      <w:r>
        <w:t>上图右侧的甘特图清晰展示了优化前后的对比。优化后，通过 Task 级别的重排，将执行拆分到不同硬件单元并行：</w:t>
      </w:r>
    </w:p>
    <w:tbl>
      <w:tblPr>
        <w:tblStyle w:val="TableGrid"/>
        <w:tblW w:type="dxa" w:w="9360"/>
        <w:jc w:val="left"/>
        <w:tblLayout w:type="fixed"/>
        <w:tblLook w:firstColumn="1" w:firstRow="1" w:lastColumn="0" w:lastRow="0" w:noHBand="0" w:noVBand="1" w:val="04A0"/>
        <w:tblInd w:w="120" w:type="dxa"/>
      </w:tblPr>
      <w:tblGrid>
        <w:gridCol w:w="2293"/>
        <w:gridCol w:w="7067"/>
      </w:tblGrid>
      <w:tr>
        <w:trPr>
          <w:tblHeader w:val="true"/>
        </w:trPr>
        <w:tc>
          <w:tcPr>
            <w:tcW w:type="dxa" w:w="229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硬件单元</w:t>
            </w:r>
          </w:p>
        </w:tc>
        <w:tc>
          <w:tcPr>
            <w:tcW w:type="dxa" w:w="706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承担的 Task 类型</w:t>
            </w:r>
          </w:p>
        </w:tc>
      </w:tr>
      <w:tr>
        <w:tc>
          <w:tcPr>
            <w:tcW w:type="dxa" w:w="2293"/>
            <w:vAlign w:val="center"/>
            <w:tcMar>
              <w:top w:w="80" w:type="dxa"/>
              <w:start w:w="120" w:type="dxa"/>
              <w:bottom w:w="80" w:type="dxa"/>
              <w:end w:w="120" w:type="dxa"/>
            </w:tcMar>
          </w:tcPr>
          <w:p>
            <w:pPr>
              <w:spacing w:before="0" w:after="0" w:line="259" w:lineRule="auto"/>
            </w:pPr>
            <w:r>
              <w:rPr>
                <w:rFonts w:ascii="Calibri" w:hAnsi="Calibri" w:eastAsia="Microsoft YaHei"/>
                <w:b/>
                <w:sz w:val="18"/>
              </w:rPr>
              <w:t>AIV1</w:t>
            </w:r>
          </w:p>
        </w:tc>
        <w:tc>
          <w:tcPr>
            <w:tcW w:type="dxa" w:w="7067"/>
            <w:vAlign w:val="center"/>
            <w:tcMar>
              <w:top w:w="80" w:type="dxa"/>
              <w:start w:w="120" w:type="dxa"/>
              <w:bottom w:w="80" w:type="dxa"/>
              <w:end w:w="120" w:type="dxa"/>
            </w:tcMar>
          </w:tcPr>
          <w:p>
            <w:pPr>
              <w:spacing w:before="0" w:after="0" w:line="259" w:lineRule="auto"/>
            </w:pPr>
            <w:r>
              <w:rPr>
                <w:rFonts w:ascii="Calibri" w:hAnsi="Calibri" w:eastAsia="Microsoft YaHei"/>
                <w:sz w:val="18"/>
              </w:rPr>
              <w:t>重排 Task、激活 + 量化 Task</w:t>
            </w:r>
          </w:p>
        </w:tc>
      </w:tr>
      <w:tr>
        <w:tc>
          <w:tcPr>
            <w:tcW w:type="dxa" w:w="2293"/>
            <w:vAlign w:val="center"/>
            <w:tcMar>
              <w:top w:w="80" w:type="dxa"/>
              <w:start w:w="120" w:type="dxa"/>
              <w:bottom w:w="80" w:type="dxa"/>
              <w:end w:w="120" w:type="dxa"/>
            </w:tcMar>
          </w:tcPr>
          <w:p>
            <w:pPr>
              <w:spacing w:before="0" w:after="0" w:line="259" w:lineRule="auto"/>
            </w:pPr>
            <w:r>
              <w:rPr>
                <w:rFonts w:ascii="Calibri" w:hAnsi="Calibri" w:eastAsia="Microsoft YaHei"/>
                <w:b/>
                <w:sz w:val="18"/>
              </w:rPr>
              <w:t>AIV2</w:t>
            </w:r>
          </w:p>
        </w:tc>
        <w:tc>
          <w:tcPr>
            <w:tcW w:type="dxa" w:w="706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通信 Task</w:t>
            </w:r>
          </w:p>
        </w:tc>
      </w:tr>
      <w:tr>
        <w:tc>
          <w:tcPr>
            <w:tcW w:type="dxa" w:w="2293"/>
            <w:vAlign w:val="center"/>
            <w:tcMar>
              <w:top w:w="80" w:type="dxa"/>
              <w:start w:w="120" w:type="dxa"/>
              <w:bottom w:w="80" w:type="dxa"/>
              <w:end w:w="120" w:type="dxa"/>
            </w:tcMar>
          </w:tcPr>
          <w:p>
            <w:pPr>
              <w:spacing w:before="0" w:after="0" w:line="259" w:lineRule="auto"/>
            </w:pPr>
            <w:r>
              <w:rPr>
                <w:rFonts w:ascii="Calibri" w:hAnsi="Calibri" w:eastAsia="Microsoft YaHei"/>
                <w:b/>
                <w:sz w:val="18"/>
              </w:rPr>
              <w:t>Cube</w:t>
            </w:r>
          </w:p>
        </w:tc>
        <w:tc>
          <w:tcPr>
            <w:tcW w:type="dxa" w:w="706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Matmul Task</w:t>
            </w:r>
          </w:p>
        </w:tc>
      </w:tr>
    </w:tbl>
    <w:p>
      <w:pPr>
        <w:spacing w:after="40"/>
      </w:pPr>
    </w:p>
    <w:p>
      <w:pPr/>
      <w:r>
        <w:t>关键在于：当 AIV2 执行通信 Task 时，Cube 可同步执行 Matmul Task——即图中"已掩盖通信"区域。理想情况下通信耗时完全被计算掩盖；实际中仍有少量无法重叠的部分，但整体 MoE 层执行效率显著提升。</w:t>
      </w:r>
    </w:p>
    <w:p>
      <w:pPr>
        <w:pStyle w:val="Heading2"/>
      </w:pPr>
      <w:r>
        <w:t>MTP：以额外计算换取多 token 产出</w:t>
      </w:r>
    </w:p>
    <w:p>
      <w:pPr/>
      <w:r>
        <w:rPr>
          <w:b/>
        </w:rPr>
        <w:t>MTP（Multi-Token Prediction，多 token 预测）</w:t>
      </w:r>
      <w:r>
        <w:t xml:space="preserve"> 在标准结构之上额外增加一层计算，使每轮 Decode 可输出多个候选 token。</w:t>
      </w:r>
    </w:p>
    <w:p>
      <w:pPr/>
      <w:r>
        <w:t>但 MTP 并非越大越好。接受率（Acceptance Rate）随 MTP 值递增而递减：MTP 设置过大时多预测的 token 大部分被丢弃，而额外计算层带来的时延开销却是确定的——净收益为负。需根据实际业务的 token 分布选取合理的 MTP 值。</w:t>
      </w:r>
    </w:p>
    <w:p>
      <w:pPr/>
      <w:r>
        <w:rPr>
          <w:b/>
        </w:rPr>
        <w:t>结论</w:t>
      </w:r>
      <w:r>
        <w:t>：图模式与融合算子分别从调度路径和执行路径两个维度压缩了框架层的无效开销。ACL Graph 将逐算子下发变为整图重放；MLAProlog 和 DispatchFFNCombine 消除了中间数据搬运，并通过硬件单元级别的 Task 并行实现通信与计算的重叠。这些底层技术是突破框架性能天花板、释放硬件算力的必要手段。</w:t>
      </w:r>
    </w:p>
    <w:p>
      <w:pPr>
        <w:pStyle w:val="Heading1"/>
      </w:pPr>
      <w:r>
        <w:t>七、端到端性能验证与极端场景分析</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本节核心问题</w:t>
      </w:r>
      <w:r>
        <w:rPr>
          <w:rFonts w:ascii="Calibri" w:hAnsi="Calibri" w:eastAsia="Microsoft YaHei"/>
          <w:color w:val="203748"/>
          <w:sz w:val="23"/>
        </w:rPr>
        <w:t>：组合上述所有优化手段后，GLM-5 在真实高并发场景下表现如何？哪些测试条件对结果有决定性影响？</w:t>
      </w:r>
    </w:p>
    <w:p>
      <w:pPr/>
      <w:r>
        <w:t>经过从架构到算子层面的全方位优化，最终需要在复杂业务场景中验证这些技术组合的端到端收益。以下数据来自 PD 分离部署形态（PPT 第 15 页）：</w:t>
      </w:r>
    </w:p>
    <w:p>
      <w:pPr>
        <w:pStyle w:val="Heading2"/>
      </w:pPr>
      <w:r>
        <w:t>多场景性能全景</w:t>
      </w:r>
    </w:p>
    <w:tbl>
      <w:tblPr>
        <w:tblStyle w:val="TableGrid"/>
        <w:tblW w:type="dxa" w:w="9360"/>
        <w:jc w:val="left"/>
        <w:tblLayout w:type="fixed"/>
        <w:tblLook w:firstColumn="1" w:firstRow="1" w:lastColumn="0" w:lastRow="0" w:noHBand="0" w:noVBand="1" w:val="04A0"/>
        <w:tblInd w:w="120" w:type="dxa"/>
      </w:tblPr>
      <w:tblGrid>
        <w:gridCol w:w="851"/>
        <w:gridCol w:w="851"/>
        <w:gridCol w:w="1244"/>
        <w:gridCol w:w="1342"/>
        <w:gridCol w:w="851"/>
        <w:gridCol w:w="1113"/>
        <w:gridCol w:w="1113"/>
        <w:gridCol w:w="1113"/>
        <w:gridCol w:w="882"/>
      </w:tblGrid>
      <w:tr>
        <w:trPr>
          <w:tblHeader w:val="true"/>
        </w:trPr>
        <w:tc>
          <w:tcPr>
            <w:tcW w:type="dxa" w:w="85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平均输入</w:t>
            </w:r>
          </w:p>
        </w:tc>
        <w:tc>
          <w:tcPr>
            <w:tcW w:type="dxa" w:w="85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平均输出</w:t>
            </w:r>
          </w:p>
        </w:tc>
        <w:tc>
          <w:tcPr>
            <w:tcW w:type="dxa" w:w="124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Prefix Cache 命中率</w:t>
            </w:r>
          </w:p>
        </w:tc>
        <w:tc>
          <w:tcPr>
            <w:tcW w:type="dxa" w:w="134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并行策略（P / D）</w:t>
            </w:r>
          </w:p>
        </w:tc>
        <w:tc>
          <w:tcPr>
            <w:tcW w:type="dxa" w:w="85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最大并发</w:t>
            </w:r>
          </w:p>
        </w:tc>
        <w:tc>
          <w:tcPr>
            <w:tcW w:type="dxa" w:w="111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请求频率 (req/s)</w:t>
            </w:r>
          </w:p>
        </w:tc>
        <w:tc>
          <w:tcPr>
            <w:tcW w:type="dxa" w:w="111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TTFT 均值 (ms)</w:t>
            </w:r>
          </w:p>
        </w:tc>
        <w:tc>
          <w:tcPr>
            <w:tcW w:type="dxa" w:w="111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TPOT 均值 (ms)</w:t>
            </w:r>
          </w:p>
        </w:tc>
        <w:tc>
          <w:tcPr>
            <w:tcW w:type="dxa" w:w="88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TPS</w:t>
            </w:r>
          </w:p>
        </w:tc>
      </w:tr>
      <w:tr>
        <w:tc>
          <w:tcPr>
            <w:tcW w:type="dxa" w:w="851"/>
            <w:vAlign w:val="center"/>
            <w:tcMar>
              <w:top w:w="80" w:type="dxa"/>
              <w:start w:w="120" w:type="dxa"/>
              <w:bottom w:w="80" w:type="dxa"/>
              <w:end w:w="120" w:type="dxa"/>
            </w:tcMar>
          </w:tcPr>
          <w:p>
            <w:pPr>
              <w:spacing w:before="0" w:after="0" w:line="259" w:lineRule="auto"/>
            </w:pPr>
            <w:r>
              <w:rPr>
                <w:rFonts w:ascii="Calibri" w:hAnsi="Calibri" w:eastAsia="Microsoft YaHei"/>
                <w:sz w:val="18"/>
              </w:rPr>
              <w:t>16K</w:t>
            </w:r>
          </w:p>
        </w:tc>
        <w:tc>
          <w:tcPr>
            <w:tcW w:type="dxa" w:w="8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1K</w:t>
            </w:r>
          </w:p>
        </w:tc>
        <w:tc>
          <w:tcPr>
            <w:tcW w:type="dxa" w:w="12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w:t>
            </w:r>
          </w:p>
        </w:tc>
        <w:tc>
          <w:tcPr>
            <w:tcW w:type="dxa" w:w="13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DP4 TP8 / DP8 TP4</w:t>
            </w:r>
          </w:p>
        </w:tc>
        <w:tc>
          <w:tcPr>
            <w:tcW w:type="dxa" w:w="8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112</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1.5</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30 825</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22.5</w:t>
            </w:r>
          </w:p>
        </w:tc>
        <w:tc>
          <w:tcPr>
            <w:tcW w:type="dxa" w:w="8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1 205</w:t>
            </w:r>
          </w:p>
        </w:tc>
      </w:tr>
      <w:tr>
        <w:tc>
          <w:tcPr>
            <w:tcW w:type="dxa" w:w="851"/>
            <w:vAlign w:val="center"/>
            <w:tcMar>
              <w:top w:w="80" w:type="dxa"/>
              <w:start w:w="120" w:type="dxa"/>
              <w:bottom w:w="80" w:type="dxa"/>
              <w:end w:w="120" w:type="dxa"/>
            </w:tcMar>
          </w:tcPr>
          <w:p>
            <w:pPr>
              <w:spacing w:before="0" w:after="0" w:line="259" w:lineRule="auto"/>
            </w:pPr>
            <w:r>
              <w:rPr>
                <w:rFonts w:ascii="Calibri" w:hAnsi="Calibri" w:eastAsia="Microsoft YaHei"/>
                <w:sz w:val="18"/>
              </w:rPr>
              <w:t>64K</w:t>
            </w:r>
          </w:p>
        </w:tc>
        <w:tc>
          <w:tcPr>
            <w:tcW w:type="dxa" w:w="8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1K</w:t>
            </w:r>
          </w:p>
        </w:tc>
        <w:tc>
          <w:tcPr>
            <w:tcW w:type="dxa" w:w="12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90%</w:t>
            </w:r>
          </w:p>
        </w:tc>
        <w:tc>
          <w:tcPr>
            <w:tcW w:type="dxa" w:w="1342"/>
            <w:vAlign w:val="center"/>
            <w:tcMar>
              <w:top w:w="80" w:type="dxa"/>
              <w:start w:w="120" w:type="dxa"/>
              <w:bottom w:w="80" w:type="dxa"/>
              <w:end w:w="120" w:type="dxa"/>
            </w:tcMar>
          </w:tcPr>
          <w:p>
            <w:pPr>
              <w:spacing w:before="0" w:after="0" w:line="259" w:lineRule="auto"/>
            </w:pPr>
            <w:r>
              <w:rPr>
                <w:rFonts w:ascii="Calibri" w:hAnsi="Calibri" w:eastAsia="Microsoft YaHei"/>
                <w:sz w:val="18"/>
              </w:rPr>
              <w:t>DP2 TP16 / DP8 TP4</w:t>
            </w:r>
          </w:p>
        </w:tc>
        <w:tc>
          <w:tcPr>
            <w:tcW w:type="dxa" w:w="8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256</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0</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64 367</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34.1</w:t>
            </w:r>
          </w:p>
        </w:tc>
        <w:tc>
          <w:tcPr>
            <w:tcW w:type="dxa" w:w="8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2 354</w:t>
            </w:r>
          </w:p>
        </w:tc>
      </w:tr>
      <w:tr>
        <w:tc>
          <w:tcPr>
            <w:tcW w:type="dxa" w:w="851"/>
            <w:vAlign w:val="center"/>
            <w:tcMar>
              <w:top w:w="80" w:type="dxa"/>
              <w:start w:w="120" w:type="dxa"/>
              <w:bottom w:w="80" w:type="dxa"/>
              <w:end w:w="120" w:type="dxa"/>
            </w:tcMar>
          </w:tcPr>
          <w:p>
            <w:pPr>
              <w:spacing w:before="0" w:after="0" w:line="259" w:lineRule="auto"/>
            </w:pPr>
            <w:r>
              <w:rPr>
                <w:rFonts w:ascii="Calibri" w:hAnsi="Calibri" w:eastAsia="Microsoft YaHei"/>
                <w:sz w:val="18"/>
              </w:rPr>
              <w:t>128K</w:t>
            </w:r>
          </w:p>
        </w:tc>
        <w:tc>
          <w:tcPr>
            <w:tcW w:type="dxa" w:w="8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1K</w:t>
            </w:r>
          </w:p>
        </w:tc>
        <w:tc>
          <w:tcPr>
            <w:tcW w:type="dxa" w:w="12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90%</w:t>
            </w:r>
          </w:p>
        </w:tc>
        <w:tc>
          <w:tcPr>
            <w:tcW w:type="dxa" w:w="1342"/>
            <w:vAlign w:val="center"/>
            <w:tcMar>
              <w:top w:w="80" w:type="dxa"/>
              <w:start w:w="120" w:type="dxa"/>
              <w:bottom w:w="80" w:type="dxa"/>
              <w:end w:w="120" w:type="dxa"/>
            </w:tcMar>
          </w:tcPr>
          <w:p>
            <w:pPr>
              <w:spacing w:before="0" w:after="0" w:line="259" w:lineRule="auto"/>
            </w:pPr>
            <w:r>
              <w:rPr>
                <w:rFonts w:ascii="Calibri" w:hAnsi="Calibri" w:eastAsia="Microsoft YaHei"/>
                <w:sz w:val="18"/>
              </w:rPr>
              <w:t>DP2 TP16 / DP8 TP4</w:t>
            </w:r>
          </w:p>
        </w:tc>
        <w:tc>
          <w:tcPr>
            <w:tcW w:type="dxa" w:w="8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120</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28 334</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25.2</w:t>
            </w:r>
          </w:p>
        </w:tc>
        <w:tc>
          <w:tcPr>
            <w:tcW w:type="dxa" w:w="8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934</w:t>
            </w:r>
          </w:p>
        </w:tc>
      </w:tr>
      <w:tr>
        <w:tc>
          <w:tcPr>
            <w:tcW w:type="dxa" w:w="851"/>
            <w:vAlign w:val="center"/>
            <w:tcMar>
              <w:top w:w="80" w:type="dxa"/>
              <w:start w:w="120" w:type="dxa"/>
              <w:bottom w:w="80" w:type="dxa"/>
              <w:end w:w="120" w:type="dxa"/>
            </w:tcMar>
          </w:tcPr>
          <w:p>
            <w:pPr>
              <w:spacing w:before="0" w:after="0" w:line="259" w:lineRule="auto"/>
            </w:pPr>
            <w:r>
              <w:rPr>
                <w:rFonts w:ascii="Calibri" w:hAnsi="Calibri" w:eastAsia="Microsoft YaHei"/>
                <w:sz w:val="18"/>
              </w:rPr>
              <w:t>64K</w:t>
            </w:r>
          </w:p>
        </w:tc>
        <w:tc>
          <w:tcPr>
            <w:tcW w:type="dxa" w:w="8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256</w:t>
            </w:r>
          </w:p>
        </w:tc>
        <w:tc>
          <w:tcPr>
            <w:tcW w:type="dxa" w:w="12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90%</w:t>
            </w:r>
          </w:p>
        </w:tc>
        <w:tc>
          <w:tcPr>
            <w:tcW w:type="dxa" w:w="1342"/>
            <w:vAlign w:val="center"/>
            <w:tcMar>
              <w:top w:w="80" w:type="dxa"/>
              <w:start w:w="120" w:type="dxa"/>
              <w:bottom w:w="80" w:type="dxa"/>
              <w:end w:w="120" w:type="dxa"/>
            </w:tcMar>
          </w:tcPr>
          <w:p>
            <w:pPr>
              <w:spacing w:before="0" w:after="0" w:line="259" w:lineRule="auto"/>
            </w:pPr>
            <w:r>
              <w:rPr>
                <w:rFonts w:ascii="Calibri" w:hAnsi="Calibri" w:eastAsia="Microsoft YaHei"/>
                <w:sz w:val="18"/>
              </w:rPr>
              <w:t>DP2 TP16 / DP32 TP2</w:t>
            </w:r>
          </w:p>
        </w:tc>
        <w:tc>
          <w:tcPr>
            <w:tcW w:type="dxa" w:w="8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200</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4.2</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8 009</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21.2</w:t>
            </w:r>
          </w:p>
        </w:tc>
        <w:tc>
          <w:tcPr>
            <w:tcW w:type="dxa" w:w="8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932</w:t>
            </w:r>
          </w:p>
        </w:tc>
      </w:tr>
      <w:tr>
        <w:tc>
          <w:tcPr>
            <w:tcW w:type="dxa" w:w="851"/>
            <w:vAlign w:val="center"/>
            <w:tcMar>
              <w:top w:w="80" w:type="dxa"/>
              <w:start w:w="120" w:type="dxa"/>
              <w:bottom w:w="80" w:type="dxa"/>
              <w:end w:w="120" w:type="dxa"/>
            </w:tcMar>
          </w:tcPr>
          <w:p>
            <w:pPr>
              <w:spacing w:before="0" w:after="0" w:line="259" w:lineRule="auto"/>
            </w:pPr>
            <w:r>
              <w:rPr>
                <w:rFonts w:ascii="Calibri" w:hAnsi="Calibri" w:eastAsia="Microsoft YaHei"/>
                <w:sz w:val="18"/>
              </w:rPr>
              <w:t>64K</w:t>
            </w:r>
          </w:p>
        </w:tc>
        <w:tc>
          <w:tcPr>
            <w:tcW w:type="dxa" w:w="8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1K</w:t>
            </w:r>
          </w:p>
        </w:tc>
        <w:tc>
          <w:tcPr>
            <w:tcW w:type="dxa" w:w="12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90%</w:t>
            </w:r>
          </w:p>
        </w:tc>
        <w:tc>
          <w:tcPr>
            <w:tcW w:type="dxa" w:w="1342"/>
            <w:vAlign w:val="center"/>
            <w:tcMar>
              <w:top w:w="80" w:type="dxa"/>
              <w:start w:w="120" w:type="dxa"/>
              <w:bottom w:w="80" w:type="dxa"/>
              <w:end w:w="120" w:type="dxa"/>
            </w:tcMar>
          </w:tcPr>
          <w:p>
            <w:pPr>
              <w:spacing w:before="0" w:after="0" w:line="259" w:lineRule="auto"/>
            </w:pPr>
            <w:r>
              <w:rPr>
                <w:rFonts w:ascii="Calibri" w:hAnsi="Calibri" w:eastAsia="Microsoft YaHei"/>
                <w:sz w:val="18"/>
              </w:rPr>
              <w:t>DP2 TP16 / DP32 TP2</w:t>
            </w:r>
          </w:p>
        </w:tc>
        <w:tc>
          <w:tcPr>
            <w:tcW w:type="dxa" w:w="85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200</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7 738</w:t>
            </w:r>
          </w:p>
        </w:tc>
        <w:tc>
          <w:tcPr>
            <w:tcW w:type="dxa" w:w="11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32.8</w:t>
            </w:r>
          </w:p>
        </w:tc>
        <w:tc>
          <w:tcPr>
            <w:tcW w:type="dxa" w:w="882"/>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3 059</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i/>
          <w:color w:val="203748"/>
          <w:sz w:val="23"/>
        </w:rPr>
        <w:t>Prefix Cache（前缀缓存）命中率指请求之间可复用的输入前缀比例，命中率越高，Prefill 实际需要重新计算的 token 越少。</w:t>
      </w:r>
    </w:p>
    <w:p>
      <w:pPr>
        <w:pStyle w:val="Heading2"/>
      </w:pPr>
      <w:r>
        <w:t>逐行解读关键变量</w:t>
      </w:r>
    </w:p>
    <w:p>
      <w:pPr/>
      <w:r>
        <w:rPr>
          <w:b/>
        </w:rPr>
        <w:t>最高吞吐行（第 5 行）。</w:t>
      </w:r>
      <w:r>
        <w:t xml:space="preserve"> 64K 输入、1K 输出、90% Prefix Cache 命中率条件下，Decode 侧扩展至 DP32 TP2——32 路数据并行、每路仅 2 卡张量并行。请求频率控制在 4 req/s，TTFT 降至约 7.7 s，TPS 达到 3 059。这是表中所有场景的吞吐峰值。</w:t>
      </w:r>
    </w:p>
    <w:p>
      <w:pPr/>
      <w:r>
        <w:rPr>
          <w:b/>
        </w:rPr>
        <w:t>极端 TTFT 行（第 2 行）。</w:t>
      </w:r>
      <w:r>
        <w:t xml:space="preserve"> 同为 64K + 90% 缓存命中，但请求频率标注为 0——256 个请求在同一时刻全部涌入 Prefill 节点。此时 TTFT 飙升到 64 367 ms（约 64 秒），比第 5 行高出近一个数量级，而 TPS 为 2 354，并未达到最高。</w:t>
      </w:r>
    </w:p>
    <w:p>
      <w:pPr/>
      <w:r>
        <w:rPr>
          <w:b/>
        </w:rPr>
        <w:t>128K 长上下文行（第 3 行）。</w:t>
      </w:r>
      <w:r>
        <w:t xml:space="preserve"> 输入翻倍至 128K 后，即使请求频率已降至 1 req/s，TTFT 仍为 28 s 级别。序列长度对 Prefill 计算量的影响接近平方级，是 TTFT 最直接的放大因素。</w:t>
      </w:r>
    </w:p>
    <w:p>
      <w:pPr/>
      <w:r>
        <w:rPr>
          <w:b/>
        </w:rPr>
        <w:t>短输出行（第 4 行）。</w:t>
      </w:r>
      <w:r>
        <w:t xml:space="preserve"> 输出长度从 1K 缩短到 256 token 后 TPS 从 3 059 降至 932。TPS 统计的是每秒输出 token 数，当每条请求生成的 token 更少时，即使处理速度相近，输出 token 总量也会下降。TPOT 反而是全表最低（21.2 ms），说明 Decode 本身并未成为瓶颈。</w:t>
      </w:r>
    </w:p>
    <w:p>
      <w:pPr>
        <w:pStyle w:val="Heading2"/>
      </w:pPr>
      <w:r>
        <w:t>瞬间并发的因果链</w:t>
      </w:r>
    </w:p>
    <w:p>
      <w:pPr/>
      <w:r>
        <w:t>第 2 行的 64 秒 TTFT 并非系统故障，而是可复现的边界行为：</w:t>
      </w:r>
    </w:p>
    <w:p>
      <w:pPr>
        <w:spacing w:after="80" w:line="290" w:lineRule="auto"/>
        <w:numPr>
          <w:ilvl w:val="0"/>
          <w:numId w:val="17"/>
        </w:numPr>
      </w:pPr>
      <w:r>
        <w:rPr>
          <w:b/>
        </w:rPr>
        <w:t>请求频率为 0</w:t>
      </w:r>
      <w:r>
        <w:t xml:space="preserve"> → 256 条 64K 请求在同一瞬间到达 Prefill 节点。</w:t>
      </w:r>
    </w:p>
    <w:p>
      <w:pPr>
        <w:spacing w:after="80" w:line="290" w:lineRule="auto"/>
        <w:numPr>
          <w:ilvl w:val="0"/>
          <w:numId w:val="17"/>
        </w:numPr>
      </w:pPr>
      <w:r>
        <w:t>P 节点采用 DP2 TP16，仅有 2 个数据并行实例；每个实例需排队处理约 128 条 64K 长序列。</w:t>
      </w:r>
    </w:p>
    <w:p>
      <w:pPr>
        <w:spacing w:after="80" w:line="290" w:lineRule="auto"/>
        <w:numPr>
          <w:ilvl w:val="0"/>
          <w:numId w:val="17"/>
        </w:numPr>
      </w:pPr>
      <w:r>
        <w:t>单条 64K Prefill 本身耗时已在秒级，128 条排队后，最后完成的请求等待时间累积至约 64 秒。</w:t>
      </w:r>
    </w:p>
    <w:p>
      <w:pPr>
        <w:spacing w:after="80" w:line="290" w:lineRule="auto"/>
        <w:numPr>
          <w:ilvl w:val="0"/>
          <w:numId w:val="17"/>
        </w:numPr>
      </w:pPr>
      <w:r>
        <w:t>Decode 节点仅为 DP8 TP4（而非第 5 行的 DP32 TP2），生成阶段并行度偏低。</w:t>
      </w:r>
    </w:p>
    <w:p>
      <w:pPr/>
      <w:r>
        <w:t>对比第 5 行：请求以 4 req/s 匀速到达，Prefill 节点始终保持可控队列深度，TTFT 降至 7.7 s；Decode 侧升级至 DP32 TP2 后进一步释放吞吐，TPS 跃升至 3 059。</w:t>
      </w:r>
    </w:p>
    <w:p>
      <w:pPr>
        <w:pStyle w:val="Heading2"/>
      </w:pPr>
      <w:r>
        <w:t>同配置不同打流方式的状态对比</w:t>
      </w:r>
    </w:p>
    <w:p>
      <w:pPr/>
      <w:r>
        <w:t>以 64K 输入、1K 输出、90% 缓存命中率为固定条件：</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对比维度</w:t>
            </w:r>
          </w:p>
        </w:tc>
        <w:tc>
          <w:tcPr>
            <w:tcW w:type="dxa" w:w="31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瞬间全量（第 2 行）</w:t>
            </w:r>
          </w:p>
        </w:tc>
        <w:tc>
          <w:tcPr>
            <w:tcW w:type="dxa" w:w="31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匀速到达（第 5 行）</w:t>
            </w:r>
          </w:p>
        </w:tc>
      </w:tr>
      <w:tr>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请求频率</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0（一次性涌入）</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req/s</w:t>
            </w:r>
          </w:p>
        </w:tc>
      </w:tr>
      <w:tr>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Decode 并行策略</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DP8 TP4</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DP32 TP2</w:t>
            </w:r>
          </w:p>
        </w:tc>
      </w:tr>
      <w:tr>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TTFT</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64 367 ms</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7 738 ms</w:t>
            </w:r>
          </w:p>
        </w:tc>
      </w:tr>
      <w:tr>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TPOT</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34.1 ms</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32.8 ms</w:t>
            </w:r>
          </w:p>
        </w:tc>
      </w:tr>
      <w:tr>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TPS</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2 354</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3 059</w:t>
            </w:r>
          </w:p>
        </w:tc>
      </w:tr>
    </w:tbl>
    <w:p>
      <w:pPr>
        <w:spacing w:after="40"/>
      </w:pPr>
    </w:p>
    <w:p>
      <w:pPr/>
      <w:r>
        <w:rPr>
          <w:b/>
        </w:rPr>
        <w:t>TPOT 几乎不受打流方式影响</w:t>
      </w:r>
      <w:r>
        <w:t xml:space="preserve">（差异 &lt; 4%），因为单条请求进入 Decode 后的逐 token 生成速度由硬件和模型结构决定。而 </w:t>
      </w:r>
      <w:r>
        <w:rPr>
          <w:b/>
        </w:rPr>
        <w:t>TTFT 和 TPS 对请求到达模式与 Decode 侧并行度高度敏感</w:t>
      </w:r>
      <w:r>
        <w:t>。</w:t>
      </w:r>
    </w:p>
    <w:p>
      <w:pPr>
        <w:pStyle w:val="Heading2"/>
      </w:pPr>
      <w:r>
        <w:t>结论与边界条件</w:t>
      </w:r>
    </w:p>
    <w:p>
      <w:pPr/>
      <w:r>
        <w:t>组合 PD 分离、Prefix Cache、大 DP 小 TP 的 Decode 并行策略后，GLM-5 在昇腾平台上可于 64K 长上下文场景实现 3 059 TPS 的输出吞吐。但这一数字成立的前提条件缺一不可：</w:t>
      </w:r>
    </w:p>
    <w:p>
      <w:pPr>
        <w:spacing w:after="80" w:line="290" w:lineRule="auto"/>
        <w:numPr>
          <w:ilvl w:val="0"/>
          <w:numId w:val="10"/>
        </w:numPr>
      </w:pPr>
      <w:r>
        <w:rPr>
          <w:b/>
        </w:rPr>
        <w:t>90% 的 Prefix Cache 命中率</w:t>
      </w:r>
      <w:r>
        <w:t>——实际业务中能否达到取决于请求的前缀重叠程度；</w:t>
      </w:r>
    </w:p>
    <w:p>
      <w:pPr>
        <w:spacing w:after="80" w:line="290" w:lineRule="auto"/>
        <w:numPr>
          <w:ilvl w:val="0"/>
          <w:numId w:val="10"/>
        </w:numPr>
      </w:pPr>
      <w:r>
        <w:rPr>
          <w:b/>
        </w:rPr>
        <w:t>匀速到达的请求流</w:t>
      </w:r>
      <w:r>
        <w:t>——瞬间并发会使 Prefill 队列积压，TTFT 退化至分钟级；</w:t>
      </w:r>
    </w:p>
    <w:p>
      <w:pPr>
        <w:spacing w:after="80" w:line="290" w:lineRule="auto"/>
        <w:numPr>
          <w:ilvl w:val="0"/>
          <w:numId w:val="10"/>
        </w:numPr>
      </w:pPr>
      <w:r>
        <w:rPr>
          <w:b/>
        </w:rPr>
        <w:t>Decode 侧充分扩展</w:t>
      </w:r>
      <w:r>
        <w:t>——DP32 TP2 需要 64 张卡，资源成本不可忽视。</w:t>
      </w:r>
    </w:p>
    <w:p>
      <w:pPr>
        <w:pStyle w:val="Heading1"/>
      </w:pPr>
      <w:r>
        <w:t>总结</w:t>
      </w:r>
    </w:p>
    <w:p>
      <w:pPr/>
      <w:r>
        <w:t>本文沿"指标定义 → 瓶颈定位 → 架构拆分 → 数据压缩 → 算子加速 → 端到端验证"的因果链，系统拆解了 GLM-5 在昇腾平台上的推理优化路径。核心结论如下：</w:t>
      </w:r>
    </w:p>
    <w:p>
      <w:pPr>
        <w:spacing w:after="80" w:line="290" w:lineRule="auto"/>
        <w:numPr>
          <w:ilvl w:val="0"/>
          <w:numId w:val="18"/>
        </w:numPr>
      </w:pPr>
      <w:r>
        <w:rPr>
          <w:b/>
        </w:rPr>
        <w:t>推理优化是一个系统工程</w:t>
      </w:r>
      <w:r>
        <w:t>，需在延迟（TTFT/TPOT）、吞吐（TPS）和显存之间寻找基于业务 SLO 的最佳平衡点。四步分析框架（定指标 → 找瓶颈 → 选策略 → 量化验证）是所有优化决策的前提。</w:t>
      </w:r>
    </w:p>
    <w:p>
      <w:pPr>
        <w:spacing w:after="80" w:line="290" w:lineRule="auto"/>
        <w:numPr>
          <w:ilvl w:val="0"/>
          <w:numId w:val="18"/>
        </w:numPr>
      </w:pPr>
      <w:r>
        <w:rPr>
          <w:b/>
        </w:rPr>
        <w:t>GLM-5 的 Lightning Indexer 在长序列下构成显著瓶颈</w:t>
      </w:r>
      <w:r>
        <w:t>。该模块的 TopK 计算在长上下文场景下占据 Prefill 阶段 26.53% 的耗时，是整条推理链的最大单点热点。</w:t>
      </w:r>
    </w:p>
    <w:p>
      <w:pPr>
        <w:spacing w:after="80" w:line="290" w:lineRule="auto"/>
        <w:numPr>
          <w:ilvl w:val="0"/>
          <w:numId w:val="18"/>
        </w:numPr>
      </w:pPr>
      <w:r>
        <w:rPr>
          <w:b/>
        </w:rPr>
        <w:t>PD 分离架构有效解耦了计算密集与访存密集型任务</w:t>
      </w:r>
      <w:r>
        <w:t>。Prefill 采用"小 DP、大 TP + CP"分摊计算与显存压力，Decode 采用"大 DP、小 TP"降低通信占比并提升并发。</w:t>
      </w:r>
    </w:p>
    <w:p>
      <w:pPr>
        <w:spacing w:after="80" w:line="290" w:lineRule="auto"/>
        <w:numPr>
          <w:ilvl w:val="0"/>
          <w:numId w:val="18"/>
        </w:numPr>
      </w:pPr>
      <w:r>
        <w:rPr>
          <w:b/>
        </w:rPr>
        <w:t>量化是扩大并发容量最直接的手段</w:t>
      </w:r>
      <w:r>
        <w:t>。W4A8 可将权重显存从 1 510 GB 压缩至 395 GB；C8 KV Cache 将动态缓存占用减半，两者叠加显著提升可部署规模。</w:t>
      </w:r>
    </w:p>
    <w:p>
      <w:pPr>
        <w:spacing w:after="80" w:line="290" w:lineRule="auto"/>
        <w:numPr>
          <w:ilvl w:val="0"/>
          <w:numId w:val="18"/>
        </w:numPr>
      </w:pPr>
      <w:r>
        <w:rPr>
          <w:b/>
        </w:rPr>
        <w:t>软硬协同的底层加速不可或缺</w:t>
      </w:r>
      <w:r>
        <w:t>。ACL Graph 消除算子下发开销，MLAProlog 和 DispatchFFNCombine 融合算子消除中间数据搬运并实现通信计算重叠，是突破框架层性能天花板的关键。</w:t>
      </w:r>
    </w:p>
    <w:p>
      <w:pPr>
        <w:spacing w:after="80" w:line="290" w:lineRule="auto"/>
        <w:numPr>
          <w:ilvl w:val="0"/>
          <w:numId w:val="18"/>
        </w:numPr>
      </w:pPr>
      <w:r>
        <w:rPr>
          <w:b/>
        </w:rPr>
        <w:t>端到端性能对测试条件高度敏感</w:t>
      </w:r>
      <w:r>
        <w:t>。3 059 TPS 的峰值吞吐成立于 64K 输入、1K 输出、90% Prefix Cache 命中率、4 req/s 匀速到达、P: DP2 TP16 / D: DP32 TP2 等特定前提下；瞬间并发可使 TTFT 退化至 64 秒。</w:t>
      </w:r>
    </w:p>
    <w:p>
      <w:pPr/>
      <w:r>
        <w:rPr>
          <w:b/>
        </w:rPr>
        <w:t>明确局限</w:t>
      </w:r>
      <w:r>
        <w:t>：</w:t>
      </w:r>
    </w:p>
    <w:p>
      <w:pPr>
        <w:spacing w:after="80" w:line="290" w:lineRule="auto"/>
        <w:numPr>
          <w:ilvl w:val="0"/>
          <w:numId w:val="10"/>
        </w:numPr>
      </w:pPr>
      <w:r>
        <w:t>本文性能数据均来自演讲 PPT 公开的测试结果，未包含不同 Prefix Cache 命中率梯度、Prefill 节点更高 DP 配置、以及量化精度损失对输出质量影响的定量评估。</w:t>
      </w:r>
    </w:p>
    <w:p>
      <w:pPr>
        <w:spacing w:after="80" w:line="290" w:lineRule="auto"/>
        <w:numPr>
          <w:ilvl w:val="0"/>
          <w:numId w:val="10"/>
        </w:numPr>
      </w:pPr>
      <w:r>
        <w:t>TopK 耗时在长序列下的增长趋势为演讲者口头描述，精确的复杂度曲线未在材料中给出。</w:t>
      </w:r>
    </w:p>
    <w:p>
      <w:pPr>
        <w:spacing w:after="80" w:line="290" w:lineRule="auto"/>
        <w:numPr>
          <w:ilvl w:val="0"/>
          <w:numId w:val="10"/>
        </w:numPr>
      </w:pPr>
      <w:r>
        <w:t>PD 分离引入的跨节点 KV Cache 传输开销，材料中未公布具体带宽数据或延迟影响。</w:t>
      </w:r>
    </w:p>
    <w:p>
      <w:pPr>
        <w:spacing w:after="80" w:line="290" w:lineRule="auto"/>
        <w:numPr>
          <w:ilvl w:val="0"/>
          <w:numId w:val="10"/>
        </w:numPr>
      </w:pPr>
      <w:r>
        <w:t>逐模块量化配置（如 SFA 保留 BF16、Lightning Indexer 采用 A8C8）的精度影响需在具体业务场景中单独验证。</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技术深度解析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GLM-5 昇腾推理优化：从架构瓶颈到端到端性能的系统性拆解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eoJJ6eEUv" TargetMode="External"/><Relationship Id="rId12" Type="http://schemas.openxmlformats.org/officeDocument/2006/relationships/hyperlink" Target="https://drive.google.com/file/d/1-j3saiDcRuFyPjsDexGDAWN58fU-JvsO/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GLM-5 昇腾推理优化：从架构瓶颈到端到端性能的系统性拆解</dc:title>
  <dc:subject>技术视频与 PPT 整理的技术博客</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