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Core Analysis of vLLM-Omni: Asynchronous Batch Processing for Diffusion and the PiD Architecture in Practice</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BilibiliShare.pptx</w:t>
      </w:r>
    </w:p>
    <w:p>
      <w:pPr>
        <w:spacing w:before="680"/>
        <w:jc w:val="center"/>
      </w:pPr>
      <w:r>
        <w:rPr>
          <w:rFonts w:ascii="Calibri" w:hAnsi="Calibri" w:eastAsia="Microsoft YaHei"/>
          <w:color w:val="626B75"/>
          <w:sz w:val="20"/>
        </w:rPr>
        <w:t>2026-08-23</w:t>
      </w:r>
      <w:r>
        <w:br w:type="page"/>
      </w:r>
    </w:p>
    <w:p>
      <w:pPr>
        <w:pStyle w:val="Lead"/>
      </w:pPr>
      <w:r>
        <w:rPr>
          <w:b/>
        </w:rPr>
        <w:t>Source video</w:t>
      </w:r>
      <w:r>
        <w:t xml:space="preserve">: </w:t>
      </w:r>
      <w:hyperlink r:id="rId11">
        <w:r>
          <w:rPr>
            <w:color w:val="0563C1"/>
            <w:u w:val="single"/>
          </w:rPr>
          <w:t>Bilibili BV189816ZE9C</w:t>
        </w:r>
      </w:hyperlink>
      <w:r>
        <w:t xml:space="preserve"> · </w:t>
      </w:r>
      <w:r>
        <w:rPr>
          <w:b/>
        </w:rPr>
        <w:t>Slides</w:t>
      </w:r>
      <w:r>
        <w:t xml:space="preserve">: </w:t>
      </w:r>
      <w:hyperlink r:id="rId12">
        <w:r>
          <w:rPr>
            <w:color w:val="0563C1"/>
            <w:u w:val="single"/>
          </w:rPr>
          <w:t>BilibiliShare deck</w:t>
        </w:r>
      </w:hyperlink>
    </w:p>
    <w:p>
      <w:pPr/>
      <w:r>
        <w:t xml:space="preserve">Online inference for diffusion models presents a hard-to-reconcile contradiction: </w:t>
      </w:r>
      <w:r>
        <w:rPr>
          <w:b/>
        </w:rPr>
        <w:t>at small resolutions the GPU compute capacity is underutilized, while at large resolutions memory consumption and latency remain stubbornly high</w:t>
      </w:r>
      <w:r>
        <w:t>. vLLM-Omni addresses this by first decomposing the scheduling granularity from "entire request" down to "single denoising step," enabling dynamic batching between steps to boost throughput on small shapes; and then introducing PiD (Pixel Diffusion) to replace VAE decode, so that the main model always performs inference at a small resolution while a lightweight super-resolution module upscales to the target size. This article follows that causal chain, starting from the blocking problem and progressively dissecting asynchronous scheduling, dynamic batching, heterogeneous-resolution handling, performance boundaries, and the mechanism and measured benefits of PiD.</w:t>
      </w:r>
    </w:p>
    <w:p>
      <w:pPr/>
      <w:r>
        <w:rPr>
          <w:b/>
        </w:rPr>
        <w:t>Target audience</w:t>
      </w:r>
      <w:r>
        <w:t>: AI engineers and backend developers with a foundation in deep-learning inference who are interested in model deployment and performance optimization.</w:t>
      </w:r>
    </w:p>
    <w:p>
      <w:pPr/>
      <w:r>
        <w:rPr>
          <w:b/>
        </w:rPr>
        <w:t>Prerequisites</w:t>
      </w:r>
      <w:r>
        <w:t>: Familiarity with basic concepts of the diffusion-model denoising process (steps, latents, noise schedules), general principles of batched inference, and an introductory understanding of the attention mechanism.</w:t>
      </w:r>
    </w:p>
    <w:p>
      <w:pPr/>
      <w:r>
        <w:rPr>
          <w:b/>
        </w:rPr>
        <w:t>Reading objectives</w:t>
      </w:r>
      <w:r>
        <w:t>:</w:t>
      </w:r>
    </w:p>
    <w:p>
      <w:pPr>
        <w:spacing w:after="80" w:line="290" w:lineRule="auto"/>
        <w:numPr>
          <w:ilvl w:val="0"/>
          <w:numId w:val="12"/>
        </w:numPr>
      </w:pPr>
      <w:r>
        <w:t>Understand the root cause of compute underutilization in traditional synchronous diffusion inference.</w:t>
      </w:r>
    </w:p>
    <w:p>
      <w:pPr>
        <w:spacing w:after="80" w:line="290" w:lineRule="auto"/>
        <w:numPr>
          <w:ilvl w:val="0"/>
          <w:numId w:val="12"/>
        </w:numPr>
      </w:pPr>
      <w:r>
        <w:t>Master vLLM-Omni's step-granularity asynchronous request dispatch and dynamic batching mechanism.</w:t>
      </w:r>
    </w:p>
    <w:p>
      <w:pPr>
        <w:spacing w:after="80" w:line="290" w:lineRule="auto"/>
        <w:numPr>
          <w:ilvl w:val="0"/>
          <w:numId w:val="12"/>
        </w:numPr>
      </w:pPr>
      <w:r>
        <w:t>Learn the chunking and attention-isolation strategies for batching requests with heterogeneous resolutions.</w:t>
      </w:r>
    </w:p>
    <w:p>
      <w:pPr>
        <w:spacing w:after="80" w:line="290" w:lineRule="auto"/>
        <w:numPr>
          <w:ilvl w:val="0"/>
          <w:numId w:val="12"/>
        </w:numPr>
      </w:pPr>
      <w:r>
        <w:t>Recognize how PiD combines early termination with upsampling to achieve both high throughput at small resolutions and high-resolution image generation.</w:t>
      </w:r>
    </w:p>
    <w:p>
      <w:pPr>
        <w:pStyle w:val="Heading1"/>
      </w:pPr>
      <w:r>
        <w:t>1 The Engineering Contradiction of Synchronous Scheduling: Why Does Diffusion Need to Go Asynchronous?</w:t>
      </w:r>
    </w:p>
    <w:p>
      <w:pPr/>
      <w:r>
        <w:rPr>
          <w:b/>
        </w:rPr>
        <w:t>Core question of this section:</w:t>
      </w:r>
      <w:r>
        <w:t xml:space="preserve"> Why does the traditional diffusion inference interface cause GPU compute to sit idle?</w:t>
      </w:r>
    </w:p>
    <w:p>
      <w:pPr>
        <w:pStyle w:val="Heading2"/>
      </w:pPr>
      <w:r>
        <w:t>Why Request-Granularity Synchronous Execution Becomes a Bottleneck</w:t>
      </w:r>
    </w:p>
    <w:p>
      <w:pPr/>
      <w:r>
        <w:t xml:space="preserve">In vLLM-Omni's multi-stage pipeline, generation requests enter the Diffusion stage after the upstream AR (autoregressive) stage completes. Before the redesign, the Diffusion Engine dispatched tasks to backend Workers synchronously at the </w:t>
      </w:r>
      <w:r>
        <w:rPr>
          <w:b/>
        </w:rPr>
        <w:t>request granularity</w:t>
      </w:r>
      <w:r>
        <w:t>—meaning a single request had to run through all denoising steps (each step being one noise-removal computation in the diffusion generation process) before releasing the execution channel, forcing subsequent requests to queue.</w:t>
      </w:r>
    </w:p>
    <w:p>
      <w:pPr/>
      <w:r>
        <w:t xml:space="preserve">This means that even if the GPU has parallel headroom while processing a single request, newly arriving requests cannot be incorporated into the current computation. The prerequisite for </w:t>
      </w:r>
      <w:r>
        <w:rPr>
          <w:b/>
        </w:rPr>
        <w:t>dynamic batching</w:t>
      </w:r>
      <w:r>
        <w:t xml:space="preserve"> (combining multiple independent inference requests into a single batch for parallel computation to improve GPU utilization) is "gathering a set of compatible requests," but under the synchronous model this prerequisite can never be met.</w:t>
      </w:r>
    </w:p>
    <w:p>
      <w:pPr>
        <w:pStyle w:val="Heading2"/>
      </w:pPr>
      <w:r>
        <w:t>How Blocking Devours Batching Opportunities</w:t>
      </w:r>
    </w:p>
    <w:p>
      <w:pPr/>
      <w:r>
        <w:t xml:space="preserve">The figure below illustrates the motivation for the asynchronous redesign and the overall architecture. Focus on the </w:t>
      </w:r>
      <w:r>
        <w:rPr>
          <w:b/>
        </w:rPr>
        <w:t>Motivation</w:t>
      </w:r>
      <w:r>
        <w:t xml:space="preserve"> area in the upper-left corner and the causal chain it describes:</w:t>
      </w:r>
    </w:p>
    <w:p>
      <w:pPr>
        <w:keepNext/>
        <w:keepLines/>
        <w:spacing w:before="120" w:after="0"/>
        <w:jc w:val="center"/>
      </w:pPr>
      <w:r>
        <w:drawing>
          <wp:inline xmlns:a="http://schemas.openxmlformats.org/drawingml/2006/main" xmlns:pic="http://schemas.openxmlformats.org/drawingml/2006/picture">
            <wp:extent cx="5943600" cy="3343275"/>
            <wp:docPr id="1" name="Picture 1" descr="Diffusion asynchronous batching architecture: the complete flow from asynchronous request arrival, scheduling, and execution to out-of-order return" title="Diffusion asynchronous batching architecture: the complete flow from asynchronous request arrival, scheduling, and execu"/>
            <wp:cNvGraphicFramePr>
              <a:graphicFrameLocks noChangeAspect="1"/>
            </wp:cNvGraphicFramePr>
            <a:graphic>
              <a:graphicData uri="http://schemas.openxmlformats.org/drawingml/2006/picture">
                <pic:pic>
                  <pic:nvPicPr>
                    <pic:cNvPr id="0" name="slide-05.png"/>
                    <pic:cNvPicPr/>
                  </pic:nvPicPr>
                  <pic:blipFill>
                    <a:blip r:embed="rId13"/>
                    <a:stretch>
                      <a:fillRect/>
                    </a:stretch>
                  </pic:blipFill>
                  <pic:spPr>
                    <a:xfrm>
                      <a:off x="0" y="0"/>
                      <a:ext cx="5943600" cy="3343275"/>
                    </a:xfrm>
                    <a:prstGeom prst="rect"/>
                  </pic:spPr>
                </pic:pic>
              </a:graphicData>
            </a:graphic>
          </wp:inline>
        </w:drawing>
      </w:r>
    </w:p>
    <w:p>
      <w:pPr/>
      <w:r>
        <w:rPr>
          <w:i/>
        </w:rPr>
        <w:t>Caption: The left side illustrates requests arriving asynchronously over time; the center shows the three-tier responsibilities of Engine → Scheduler → Worker; the right side explains that results are returned out of order as each request completes. Source: presentation slide 5.</w:t>
      </w:r>
    </w:p>
    <w:p>
      <w:pPr/>
      <w:r>
        <w:t>The Motivation section in the figure lays out a three-part causal chain:</w:t>
      </w:r>
    </w:p>
    <w:tbl>
      <w:tblPr>
        <w:tblStyle w:val="TableGrid"/>
        <w:tblW w:type="dxa" w:w="9360"/>
        <w:jc w:val="left"/>
        <w:tblLayout w:type="fixed"/>
        <w:tblLook w:firstColumn="1" w:firstRow="1" w:lastColumn="0" w:lastRow="0" w:noHBand="0" w:noVBand="1" w:val="04A0"/>
        <w:tblInd w:w="120" w:type="dxa"/>
      </w:tblPr>
      <w:tblGrid>
        <w:gridCol w:w="1375"/>
        <w:gridCol w:w="3992"/>
        <w:gridCol w:w="3993"/>
      </w:tblGrid>
      <w:tr>
        <w:trPr>
          <w:tblHeader w:val="true"/>
        </w:trPr>
        <w:tc>
          <w:tcPr>
            <w:tcW w:type="dxa" w:w="137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t>
            </w:r>
          </w:p>
        </w:tc>
        <w:tc>
          <w:tcPr>
            <w:tcW w:type="dxa" w:w="399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Stage</w:t>
            </w:r>
          </w:p>
        </w:tc>
        <w:tc>
          <w:tcPr>
            <w:tcW w:type="dxa" w:w="399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Explanation</w:t>
            </w:r>
          </w:p>
        </w:tc>
      </w:tr>
      <w:tr>
        <w:tc>
          <w:tcPr>
            <w:tcW w:type="dxa" w:w="1375"/>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3992"/>
            <w:vAlign w:val="center"/>
            <w:tcMar>
              <w:top w:w="80" w:type="dxa"/>
              <w:start w:w="120" w:type="dxa"/>
              <w:bottom w:w="80" w:type="dxa"/>
              <w:end w:w="120" w:type="dxa"/>
            </w:tcMar>
          </w:tcPr>
          <w:p>
            <w:pPr>
              <w:spacing w:before="0" w:after="0" w:line="259" w:lineRule="auto"/>
            </w:pPr>
            <w:r>
              <w:rPr>
                <w:rFonts w:ascii="Calibri" w:hAnsi="Calibri" w:eastAsia="Microsoft YaHei"/>
                <w:sz w:val="18"/>
              </w:rPr>
              <w:t>Different generation requests arrive at different times</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In real-world scenarios requests are naturally asynchronous with unpredictable inter-arrival intervals</w:t>
            </w:r>
          </w:p>
        </w:tc>
      </w:tr>
      <w:tr>
        <w:tc>
          <w:tcPr>
            <w:tcW w:type="dxa" w:w="1375"/>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3992"/>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The original </w:t>
            </w:r>
            <w:r>
              <w:rPr>
                <w:rFonts w:ascii="Consolas" w:hAnsi="Consolas" w:eastAsia="Microsoft YaHei"/>
                <w:color w:val="1F4D78"/>
                <w:sz w:val="19"/>
                <w:shd w:fill="EEF2F6"/>
              </w:rPr>
              <w:t>execute model</w:t>
            </w:r>
            <w:r>
              <w:rPr>
                <w:rFonts w:ascii="Calibri" w:hAnsi="Calibri" w:eastAsia="Microsoft YaHei"/>
                <w:sz w:val="18"/>
              </w:rPr>
              <w:t xml:space="preserve"> interface blocks new requests from joining</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The execution granularity is all steps of an entire request, monopolizing the channel</w:t>
            </w:r>
          </w:p>
        </w:tc>
      </w:tr>
      <w:tr>
        <w:tc>
          <w:tcPr>
            <w:tcW w:type="dxa" w:w="1375"/>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3992"/>
            <w:vAlign w:val="center"/>
            <w:tcMar>
              <w:top w:w="80" w:type="dxa"/>
              <w:start w:w="120" w:type="dxa"/>
              <w:bottom w:w="80" w:type="dxa"/>
              <w:end w:w="120" w:type="dxa"/>
            </w:tcMar>
          </w:tcPr>
          <w:p>
            <w:pPr>
              <w:spacing w:before="0" w:after="0" w:line="259" w:lineRule="auto"/>
            </w:pPr>
            <w:r>
              <w:rPr>
                <w:rFonts w:ascii="Calibri" w:hAnsi="Calibri" w:eastAsia="Microsoft YaHei"/>
                <w:sz w:val="18"/>
              </w:rPr>
              <w:t>Missed batching opportunities → low utilization</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Concurrent requests cannot be merged into the same batch, wasting GPU parallelism</w:t>
            </w:r>
          </w:p>
        </w:tc>
      </w:tr>
    </w:tbl>
    <w:p>
      <w:pPr>
        <w:spacing w:after="40"/>
      </w:pPr>
    </w:p>
    <w:p>
      <w:pPr/>
      <w:r>
        <w:t>The "Out-of-order return" label on the right side of the figure hints at the redesign direction: if requests can complete and return independently, the constraint of "one request locking down the entire channel" is broken.</w:t>
      </w:r>
    </w:p>
    <w:p>
      <w:pPr>
        <w:pStyle w:val="Heading2"/>
      </w:pPr>
      <w:r>
        <w:t>A Minimal Timeline: What Exactly Does Blocking Waste?</w:t>
      </w:r>
    </w:p>
    <w:p>
      <w:pPr/>
      <w:r>
        <w:t>Assume four requests A–D arrive at t₀–t₃ respectively, each requiring multiple denoising steps. Under synchronous mode:</w:t>
      </w:r>
    </w:p>
    <w:p>
      <w:pPr/>
      <w:r>
        <w:t>```</w:t>
      </w:r>
    </w:p>
    <w:p>
      <w:pPr/>
      <w:r>
        <w:t>t₀ ──── A executes all steps ────── A completes</w:t>
      </w:r>
    </w:p>
    <w:p>
      <w:pPr/>
      <w:r>
        <w:t>t_done_A ── B executes all steps ── B completes</w:t>
      </w:r>
    </w:p>
    <w:p>
      <w:pPr/>
      <w:r>
        <w:t>...</w:t>
      </w:r>
    </w:p>
    <w:p>
      <w:pPr/>
      <w:r>
        <w:t>```</w:t>
      </w:r>
    </w:p>
    <w:p>
      <w:pPr/>
      <w:r>
        <w:t>Request B has already arrived at t₁ but must wait until A finishes before it can start. Each request monopolizes the GPU, the batch size is always 1, and matrix compute units sit largely idle.</w:t>
      </w:r>
    </w:p>
    <w:p>
      <w:pPr/>
      <w:r>
        <w:t>With batching enabled: once the Scheduler determines that A, B, and D share the same shape and CFG (Classifier-Free Guidance scale) configuration, they can be merged into a single batch for parallel execution, effectively increasing throughput.</w:t>
      </w:r>
    </w:p>
    <w:p>
      <w:pPr>
        <w:pStyle w:val="Heading2"/>
      </w:pPr>
      <w:r>
        <w:t>Summary</w:t>
      </w:r>
    </w:p>
    <w:p>
      <w:pPr/>
      <w:r>
        <w:t xml:space="preserve">The fundamental problem with synchronous execution is a </w:t>
      </w:r>
      <w:r>
        <w:rPr>
          <w:b/>
        </w:rPr>
        <w:t>mismatch between execution granularity and scheduling granularity</w:t>
      </w:r>
      <w:r>
        <w:t>: scheduling operates at the "entire request" level, yet diffusion generation is inherently composed of multiple steps with natural scheduling windows between them. Decomposing the granularity from request-level to step-level opens the door to dynamic batching. This is precisely the core design explored in the next section.</w:t>
      </w:r>
    </w:p>
    <w:p>
      <w:pPr>
        <w:pStyle w:val="Heading1"/>
      </w:pPr>
      <w:r>
        <w:t>2 Core Design: Step-Granularity Asynchronous Request Dispatch</w:t>
      </w:r>
    </w:p>
    <w:p>
      <w:pPr/>
      <w:r>
        <w:rPr>
          <w:b/>
        </w:rPr>
        <w:t>Core question of this section:</w:t>
      </w:r>
      <w:r>
        <w:t xml:space="preserve"> How can the scheduling granularity be broken down from request-level to step-level, so the system can insert, terminate, or return requests between any two steps?</w:t>
      </w:r>
    </w:p>
    <w:p>
      <w:pPr>
        <w:pStyle w:val="Heading2"/>
      </w:pPr>
      <w:r>
        <w:t>The Pre-Redesign Bottleneck</w:t>
      </w:r>
    </w:p>
    <w:p>
      <w:pPr/>
      <w:r>
        <w:t>Before the redesign, the upper stage (the request-parsing and dispatch layer spun up by the FastAPI service) handed requests to the Diffusion stage synchronously. The entire chain was serially blocked:</w:t>
      </w:r>
    </w:p>
    <w:tbl>
      <w:tblPr>
        <w:tblStyle w:val="TableGrid"/>
        <w:tblW w:type="dxa" w:w="9360"/>
        <w:jc w:val="left"/>
        <w:tblLayout w:type="fixed"/>
        <w:tblLook w:firstColumn="1" w:firstRow="1" w:lastColumn="0" w:lastRow="0" w:noHBand="0" w:noVBand="1" w:val="04A0"/>
        <w:tblInd w:w="120" w:type="dxa"/>
      </w:tblPr>
      <w:tblGrid>
        <w:gridCol w:w="2447"/>
        <w:gridCol w:w="3457"/>
        <w:gridCol w:w="3456"/>
      </w:tblGrid>
      <w:tr>
        <w:trPr>
          <w:tblHeader w:val="true"/>
        </w:trPr>
        <w:tc>
          <w:tcPr>
            <w:tcW w:type="dxa" w:w="244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Aspect</w:t>
            </w:r>
          </w:p>
        </w:tc>
        <w:tc>
          <w:tcPr>
            <w:tcW w:type="dxa" w:w="345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Pre-redesign behavior</w:t>
            </w:r>
          </w:p>
        </w:tc>
        <w:tc>
          <w:tcPr>
            <w:tcW w:type="dxa" w:w="345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Direct consequence</w:t>
            </w:r>
          </w:p>
        </w:tc>
      </w:tr>
      <w:tr>
        <w:tc>
          <w:tcPr>
            <w:tcW w:type="dxa" w:w="2447"/>
            <w:vAlign w:val="center"/>
            <w:tcMar>
              <w:top w:w="80" w:type="dxa"/>
              <w:start w:w="120" w:type="dxa"/>
              <w:bottom w:w="80" w:type="dxa"/>
              <w:end w:w="120" w:type="dxa"/>
            </w:tcMar>
          </w:tcPr>
          <w:p>
            <w:pPr>
              <w:spacing w:before="0" w:after="0" w:line="259" w:lineRule="auto"/>
            </w:pPr>
            <w:r>
              <w:rPr>
                <w:rFonts w:ascii="Calibri" w:hAnsi="Calibri" w:eastAsia="Microsoft YaHei"/>
                <w:sz w:val="18"/>
              </w:rPr>
              <w:t>Dispatch granularity</w:t>
            </w:r>
          </w:p>
        </w:tc>
        <w:tc>
          <w:tcPr>
            <w:tcW w:type="dxa" w:w="3457"/>
            <w:vAlign w:val="center"/>
            <w:tcMar>
              <w:top w:w="80" w:type="dxa"/>
              <w:start w:w="120" w:type="dxa"/>
              <w:bottom w:w="80" w:type="dxa"/>
              <w:end w:w="120" w:type="dxa"/>
            </w:tcMar>
          </w:tcPr>
          <w:p>
            <w:pPr>
              <w:spacing w:before="0" w:after="0" w:line="259" w:lineRule="auto"/>
            </w:pPr>
            <w:r>
              <w:rPr>
                <w:rFonts w:ascii="Calibri" w:hAnsi="Calibri" w:eastAsia="Microsoft YaHei"/>
                <w:sz w:val="18"/>
              </w:rPr>
              <w:t>Synchronous wait per request</w:t>
            </w:r>
          </w:p>
        </w:tc>
        <w:tc>
          <w:tcPr>
            <w:tcW w:type="dxa" w:w="3456"/>
            <w:vAlign w:val="center"/>
            <w:tcMar>
              <w:top w:w="80" w:type="dxa"/>
              <w:start w:w="120" w:type="dxa"/>
              <w:bottom w:w="80" w:type="dxa"/>
              <w:end w:w="120" w:type="dxa"/>
            </w:tcMar>
          </w:tcPr>
          <w:p>
            <w:pPr>
              <w:spacing w:before="0" w:after="0" w:line="259" w:lineRule="auto"/>
            </w:pPr>
            <w:r>
              <w:rPr>
                <w:rFonts w:ascii="Calibri" w:hAnsi="Calibri" w:eastAsia="Microsoft YaHei"/>
                <w:sz w:val="18"/>
              </w:rPr>
              <w:t>The engine holds only one request at a time</w:t>
            </w:r>
          </w:p>
        </w:tc>
      </w:tr>
      <w:tr>
        <w:tc>
          <w:tcPr>
            <w:tcW w:type="dxa" w:w="2447"/>
            <w:vAlign w:val="center"/>
            <w:tcMar>
              <w:top w:w="80" w:type="dxa"/>
              <w:start w:w="120" w:type="dxa"/>
              <w:bottom w:w="80" w:type="dxa"/>
              <w:end w:w="120" w:type="dxa"/>
            </w:tcMar>
          </w:tcPr>
          <w:p>
            <w:pPr>
              <w:spacing w:before="0" w:after="0" w:line="259" w:lineRule="auto"/>
            </w:pPr>
            <w:r>
              <w:rPr>
                <w:rFonts w:ascii="Calibri" w:hAnsi="Calibri" w:eastAsia="Microsoft YaHei"/>
                <w:sz w:val="18"/>
              </w:rPr>
              <w:t>Batching</w:t>
            </w:r>
          </w:p>
        </w:tc>
        <w:tc>
          <w:tcPr>
            <w:tcW w:type="dxa" w:w="345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Impossible</w:t>
            </w:r>
          </w:p>
        </w:tc>
        <w:tc>
          <w:tcPr>
            <w:tcW w:type="dxa" w:w="3456"/>
            <w:vAlign w:val="center"/>
            <w:tcMar>
              <w:top w:w="80" w:type="dxa"/>
              <w:start w:w="120" w:type="dxa"/>
              <w:bottom w:w="80" w:type="dxa"/>
              <w:end w:w="120" w:type="dxa"/>
            </w:tcMar>
          </w:tcPr>
          <w:p>
            <w:pPr>
              <w:spacing w:before="0" w:after="0" w:line="259" w:lineRule="auto"/>
            </w:pPr>
            <w:r>
              <w:rPr>
                <w:rFonts w:ascii="Calibri" w:hAnsi="Calibri" w:eastAsia="Microsoft YaHei"/>
                <w:sz w:val="18"/>
              </w:rPr>
              <w:t>Low GPU utilization</w:t>
            </w:r>
          </w:p>
        </w:tc>
      </w:tr>
      <w:tr>
        <w:tc>
          <w:tcPr>
            <w:tcW w:type="dxa" w:w="2447"/>
            <w:vAlign w:val="center"/>
            <w:tcMar>
              <w:top w:w="80" w:type="dxa"/>
              <w:start w:w="120" w:type="dxa"/>
              <w:bottom w:w="80" w:type="dxa"/>
              <w:end w:w="120" w:type="dxa"/>
            </w:tcMar>
          </w:tcPr>
          <w:p>
            <w:pPr>
              <w:spacing w:before="0" w:after="0" w:line="259" w:lineRule="auto"/>
            </w:pPr>
            <w:r>
              <w:rPr>
                <w:rFonts w:ascii="Calibri" w:hAnsi="Calibri" w:eastAsia="Microsoft YaHei"/>
                <w:sz w:val="18"/>
              </w:rPr>
              <w:t>Interrupt responsiveness</w:t>
            </w:r>
          </w:p>
        </w:tc>
        <w:tc>
          <w:tcPr>
            <w:tcW w:type="dxa" w:w="3457"/>
            <w:vAlign w:val="center"/>
            <w:tcMar>
              <w:top w:w="80" w:type="dxa"/>
              <w:start w:w="120" w:type="dxa"/>
              <w:bottom w:w="80" w:type="dxa"/>
              <w:end w:w="120" w:type="dxa"/>
            </w:tcMar>
          </w:tcPr>
          <w:p>
            <w:pPr>
              <w:spacing w:before="0" w:after="0" w:line="259" w:lineRule="auto"/>
            </w:pPr>
            <w:r>
              <w:rPr>
                <w:rFonts w:ascii="Calibri" w:hAnsi="Calibri" w:eastAsia="Microsoft YaHei"/>
                <w:sz w:val="18"/>
              </w:rPr>
              <w:t>Must wait for all steps to complete before returning</w:t>
            </w:r>
          </w:p>
        </w:tc>
        <w:tc>
          <w:tcPr>
            <w:tcW w:type="dxa" w:w="3456"/>
            <w:vAlign w:val="center"/>
            <w:tcMar>
              <w:top w:w="80" w:type="dxa"/>
              <w:start w:w="120" w:type="dxa"/>
              <w:bottom w:w="80" w:type="dxa"/>
              <w:end w:w="120" w:type="dxa"/>
            </w:tcMar>
          </w:tcPr>
          <w:p>
            <w:pPr>
              <w:spacing w:before="0" w:after="0" w:line="259" w:lineRule="auto"/>
            </w:pPr>
            <w:r>
              <w:rPr>
                <w:rFonts w:ascii="Calibri" w:hAnsi="Calibri" w:eastAsia="Microsoft YaHei"/>
                <w:sz w:val="18"/>
              </w:rPr>
              <w:t>Cannot terminate long-running requests early</w:t>
            </w:r>
          </w:p>
        </w:tc>
      </w:tr>
    </w:tbl>
    <w:p>
      <w:pPr>
        <w:spacing w:after="40"/>
      </w:pPr>
    </w:p>
    <w:p>
      <w:pPr>
        <w:pStyle w:val="Heading2"/>
      </w:pPr>
      <w:r>
        <w:t>Overall Interaction Flow</w:t>
      </w:r>
    </w:p>
    <w:p>
      <w:pPr/>
      <w:r>
        <w:t xml:space="preserve">The figure below is a sequence diagram of asynchronous dispatch, showing the message flow among four actors: the client thread, </w:t>
      </w:r>
      <w:r>
        <w:rPr>
          <w:rFonts w:ascii="Consolas" w:hAnsi="Consolas" w:eastAsia="Microsoft YaHei"/>
          <w:color w:val="1F4D78"/>
          <w:sz w:val="19"/>
          <w:shd w:fill="EEF2F6"/>
        </w:rPr>
        <w:t>DiffusionEngine</w:t>
      </w:r>
      <w:r>
        <w:t xml:space="preserve">, </w:t>
      </w:r>
      <w:r>
        <w:rPr>
          <w:rFonts w:ascii="Consolas" w:hAnsi="Consolas" w:eastAsia="Microsoft YaHei"/>
          <w:color w:val="1F4D78"/>
          <w:sz w:val="19"/>
          <w:shd w:fill="EEF2F6"/>
        </w:rPr>
        <w:t>StepScheduler</w:t>
      </w:r>
      <w:r>
        <w:t>, and the Worker:</w:t>
      </w:r>
    </w:p>
    <w:p>
      <w:pPr>
        <w:keepNext/>
        <w:keepLines/>
        <w:spacing w:before="120" w:after="0"/>
        <w:jc w:val="center"/>
      </w:pPr>
      <w:r>
        <w:drawing>
          <wp:inline xmlns:a="http://schemas.openxmlformats.org/drawingml/2006/main" xmlns:pic="http://schemas.openxmlformats.org/drawingml/2006/picture">
            <wp:extent cx="5943600" cy="3343275"/>
            <wp:docPr id="2" name="Picture 2" descr="Asynchronous request dispatch sequence diagram: client threads submit requests to DiffusionEngine, which are scheduled by StepScheduler and executed step by step on the Worker with results streamed back" title="Asynchronous request dispatch sequence diagram: client threads submit requests to DiffusionEngine, which are scheduled b"/>
            <wp:cNvGraphicFramePr>
              <a:graphicFrameLocks noChangeAspect="1"/>
            </wp:cNvGraphicFramePr>
            <a:graphic>
              <a:graphicData uri="http://schemas.openxmlformats.org/drawingml/2006/picture">
                <pic:pic>
                  <pic:nvPicPr>
                    <pic:cNvPr id="0" name="slide-03.png"/>
                    <pic:cNvPicPr/>
                  </pic:nvPicPr>
                  <pic:blipFill>
                    <a:blip r:embed="rId14"/>
                    <a:stretch>
                      <a:fillRect/>
                    </a:stretch>
                  </pic:blipFill>
                  <pic:spPr>
                    <a:xfrm>
                      <a:off x="0" y="0"/>
                      <a:ext cx="5943600" cy="3343275"/>
                    </a:xfrm>
                    <a:prstGeom prst="rect"/>
                  </pic:spPr>
                </pic:pic>
              </a:graphicData>
            </a:graphic>
          </wp:inline>
        </w:drawing>
      </w:r>
    </w:p>
    <w:p>
      <w:pPr/>
      <w:r>
        <w:rPr>
          <w:i/>
        </w:rPr>
        <w:t>Caption: Asynchronous request dispatch sequence diagram, showing the complete path from request enqueuing, scheduling, per-step execution, to streaming result return. Source: presentation slide 3.</w:t>
      </w:r>
    </w:p>
    <w:p>
      <w:pPr/>
      <w:r>
        <w:t xml:space="preserve">The four lifelines from left to right correspond to: the upper-stage client thread (producer), </w:t>
      </w:r>
      <w:r>
        <w:rPr>
          <w:rFonts w:ascii="Consolas" w:hAnsi="Consolas" w:eastAsia="Microsoft YaHei"/>
          <w:color w:val="1F4D78"/>
          <w:sz w:val="19"/>
          <w:shd w:fill="EEF2F6"/>
        </w:rPr>
        <w:t>DiffusionEngine._busy_loop</w:t>
      </w:r>
      <w:r>
        <w:t xml:space="preserve"> (scheduling heartbeat), </w:t>
      </w:r>
      <w:r>
        <w:rPr>
          <w:rFonts w:ascii="Consolas" w:hAnsi="Consolas" w:eastAsia="Microsoft YaHei"/>
          <w:color w:val="1F4D78"/>
          <w:sz w:val="19"/>
          <w:shd w:fill="EEF2F6"/>
        </w:rPr>
        <w:t>StepScheduler</w:t>
      </w:r>
      <w:r>
        <w:t xml:space="preserve"> (queue management), and Executor/Worker + </w:t>
      </w:r>
      <w:r>
        <w:rPr>
          <w:rFonts w:ascii="Consolas" w:hAnsi="Consolas" w:eastAsia="Microsoft YaHei"/>
          <w:color w:val="1F4D78"/>
          <w:sz w:val="19"/>
          <w:shd w:fill="EEF2F6"/>
        </w:rPr>
        <w:t>DiffusionModelRunner</w:t>
      </w:r>
      <w:r>
        <w:t xml:space="preserve"> (consumer). The message arrows form a closed loop of "enqueue → loop-schedule → step-execute → stream-return."</w:t>
      </w:r>
    </w:p>
    <w:p>
      <w:pPr>
        <w:pStyle w:val="Heading2"/>
      </w:pPr>
      <w:r>
        <w:t>The Three-Part Causal Chain</w:t>
      </w:r>
    </w:p>
    <w:p>
      <w:pPr/>
      <w:r>
        <w:rPr>
          <w:b/>
        </w:rPr>
        <w:t>① Producer: Enqueue and Return Immediately</w:t>
      </w:r>
    </w:p>
    <w:p>
      <w:pPr/>
      <w:r>
        <w:t>When an upper-stage thread receives a Diffusion request, it performs two actions and then relinquishes its responsibility:</w:t>
      </w:r>
    </w:p>
    <w:p>
      <w:pPr>
        <w:spacing w:after="80" w:line="290" w:lineRule="auto"/>
        <w:numPr>
          <w:ilvl w:val="0"/>
          <w:numId w:val="13"/>
        </w:numPr>
      </w:pPr>
      <w:r>
        <w:t xml:space="preserve">Calls </w:t>
      </w:r>
      <w:r>
        <w:rPr>
          <w:rFonts w:ascii="Consolas" w:hAnsi="Consolas" w:eastAsia="Microsoft YaHei"/>
          <w:color w:val="1F4D78"/>
          <w:sz w:val="19"/>
          <w:shd w:fill="EEF2F6"/>
        </w:rPr>
        <w:t>_add_prepared_request</w:t>
      </w:r>
      <w:r>
        <w:t xml:space="preserve"> to place the request into the </w:t>
      </w:r>
      <w:r>
        <w:rPr>
          <w:rFonts w:ascii="Consolas" w:hAnsi="Consolas" w:eastAsia="Microsoft YaHei"/>
          <w:color w:val="1F4D78"/>
          <w:sz w:val="19"/>
          <w:shd w:fill="EEF2F6"/>
        </w:rPr>
        <w:t>StepScheduler</w:t>
      </w:r>
      <w:r>
        <w:t>'s waiting queue and wakes the background loop;</w:t>
      </w:r>
    </w:p>
    <w:p>
      <w:pPr>
        <w:spacing w:after="80" w:line="290" w:lineRule="auto"/>
        <w:numPr>
          <w:ilvl w:val="0"/>
          <w:numId w:val="13"/>
        </w:numPr>
      </w:pPr>
      <w:r>
        <w:t xml:space="preserve">Calls </w:t>
      </w:r>
      <w:r>
        <w:rPr>
          <w:rFonts w:ascii="Consolas" w:hAnsi="Consolas" w:eastAsia="Microsoft YaHei"/>
          <w:color w:val="1F4D78"/>
          <w:sz w:val="19"/>
          <w:shd w:fill="EEF2F6"/>
        </w:rPr>
        <w:t>get_output_stream</w:t>
      </w:r>
      <w:r>
        <w:t xml:space="preserve"> to obtain an asynchronous output stream handle for receiving results later.</w:t>
      </w:r>
    </w:p>
    <w:p>
      <w:pPr/>
      <w:r>
        <w:t xml:space="preserve">The fundamental difference from the pre-redesign approach is that the producer is only responsible for "insertion" and "stream subscription"—it no longer blocks waiting for the entire request to finish all denoising steps. When the first request arrives, </w:t>
      </w:r>
      <w:r>
        <w:rPr>
          <w:rFonts w:ascii="Consolas" w:hAnsi="Consolas" w:eastAsia="Microsoft YaHei"/>
          <w:color w:val="1F4D78"/>
          <w:sz w:val="19"/>
          <w:shd w:fill="EEF2F6"/>
        </w:rPr>
        <w:t>_check_and_start_background_loop</w:t>
      </w:r>
      <w:r>
        <w:t xml:space="preserve"> is additionally triggered to initialize the thread locks and asyncio variables required for queue read/write operations.</w:t>
      </w:r>
    </w:p>
    <w:p>
      <w:pPr/>
      <w:r>
        <w:rPr>
          <w:b/>
        </w:rPr>
        <w:t xml:space="preserve">② Scheduling Hub: </w:t>
      </w:r>
      <w:r>
        <w:rPr>
          <w:rFonts w:ascii="Consolas" w:hAnsi="Consolas" w:eastAsia="Microsoft YaHei"/>
          <w:b/>
          <w:color w:val="1F4D78"/>
          <w:sz w:val="19"/>
          <w:shd w:fill="EEF2F6"/>
        </w:rPr>
        <w:t>_busy_loop</w:t>
      </w:r>
    </w:p>
    <w:p>
      <w:pPr/>
      <w:r>
        <w:rPr>
          <w:rFonts w:ascii="Consolas" w:hAnsi="Consolas" w:eastAsia="Microsoft YaHei"/>
          <w:color w:val="1F4D78"/>
          <w:sz w:val="19"/>
          <w:shd w:fill="EEF2F6"/>
        </w:rPr>
        <w:t>DiffusionEngine</w:t>
      </w:r>
      <w:r>
        <w:t xml:space="preserve"> maintains an internal background thread called </w:t>
      </w:r>
      <w:r>
        <w:rPr>
          <w:rFonts w:ascii="Consolas" w:hAnsi="Consolas" w:eastAsia="Microsoft YaHei"/>
          <w:color w:val="1F4D78"/>
          <w:sz w:val="19"/>
          <w:shd w:fill="EEF2F6"/>
        </w:rPr>
        <w:t>_busy_loop</w:t>
      </w:r>
      <w:r>
        <w:t>, which serves as the heartbeat of the entire asynchronous mechanism. Its behavior can be simplified to an infinite loop:</w:t>
      </w:r>
    </w:p>
    <w:p>
      <w:pPr>
        <w:spacing w:after="80" w:line="290" w:lineRule="auto"/>
        <w:numPr>
          <w:ilvl w:val="0"/>
          <w:numId w:val="14"/>
        </w:numPr>
      </w:pPr>
      <w:r>
        <w:t xml:space="preserve">Read currently schedulable requests from </w:t>
      </w:r>
      <w:r>
        <w:rPr>
          <w:rFonts w:ascii="Consolas" w:hAnsi="Consolas" w:eastAsia="Microsoft YaHei"/>
          <w:color w:val="1F4D78"/>
          <w:sz w:val="19"/>
          <w:shd w:fill="EEF2F6"/>
        </w:rPr>
        <w:t>StepScheduler</w:t>
      </w:r>
      <w:r>
        <w:t xml:space="preserve"> (</w:t>
      </w:r>
      <w:r>
        <w:rPr>
          <w:rFonts w:ascii="Consolas" w:hAnsi="Consolas" w:eastAsia="Microsoft YaHei"/>
          <w:color w:val="1F4D78"/>
          <w:sz w:val="19"/>
          <w:shd w:fill="EEF2F6"/>
        </w:rPr>
        <w:t>schedule</w:t>
      </w:r>
      <w:r>
        <w:t xml:space="preserve"> / </w:t>
      </w:r>
      <w:r>
        <w:rPr>
          <w:rFonts w:ascii="Consolas" w:hAnsi="Consolas" w:eastAsia="Microsoft YaHei"/>
          <w:color w:val="1F4D78"/>
          <w:sz w:val="19"/>
          <w:shd w:fill="EEF2F6"/>
        </w:rPr>
        <w:t>deschedule</w:t>
      </w:r>
      <w:r>
        <w:t>);</w:t>
      </w:r>
    </w:p>
    <w:p>
      <w:pPr>
        <w:spacing w:after="80" w:line="290" w:lineRule="auto"/>
        <w:numPr>
          <w:ilvl w:val="0"/>
          <w:numId w:val="14"/>
        </w:numPr>
      </w:pPr>
      <w:r>
        <w:t xml:space="preserve">If schedulable requests exist, package them and send them to the backend Worker to execute </w:t>
      </w:r>
      <w:r>
        <w:rPr>
          <w:b/>
        </w:rPr>
        <w:t>one</w:t>
      </w:r>
      <w:r>
        <w:t xml:space="preserve"> step;</w:t>
      </w:r>
    </w:p>
    <w:p>
      <w:pPr>
        <w:spacing w:after="80" w:line="290" w:lineRule="auto"/>
        <w:numPr>
          <w:ilvl w:val="0"/>
          <w:numId w:val="14"/>
        </w:numPr>
      </w:pPr>
      <w:r>
        <w:t>After the step completes, write intermediate results or final outputs back to each request's corresponding output stream;</w:t>
      </w:r>
    </w:p>
    <w:p>
      <w:pPr>
        <w:spacing w:after="80" w:line="290" w:lineRule="auto"/>
        <w:numPr>
          <w:ilvl w:val="0"/>
          <w:numId w:val="14"/>
        </w:numPr>
      </w:pPr>
      <w:r>
        <w:t>Return to step 1 and begin the next iteration.</w:t>
      </w:r>
    </w:p>
    <w:p>
      <w:pPr/>
      <w:r>
        <w:t>If no schedulable requests are available, the thread suspends via a wait/notify mechanism to avoid busy-waiting on CPU, and is explicitly notified when a new request is enqueued.</w:t>
      </w:r>
    </w:p>
    <w:p>
      <w:pPr/>
      <w:r>
        <w:rPr>
          <w:rFonts w:ascii="Consolas" w:hAnsi="Consolas" w:eastAsia="Microsoft YaHei"/>
          <w:color w:val="1F4D78"/>
          <w:sz w:val="19"/>
          <w:shd w:fill="EEF2F6"/>
        </w:rPr>
        <w:t>StepScheduler</w:t>
      </w:r>
      <w:r>
        <w:t xml:space="preserve"> itself maintains two queue categories: </w:t>
      </w:r>
      <w:r>
        <w:rPr>
          <w:b/>
        </w:rPr>
        <w:t>running</w:t>
      </w:r>
      <w:r>
        <w:t xml:space="preserve"> and </w:t>
      </w:r>
      <w:r>
        <w:rPr>
          <w:b/>
        </w:rPr>
        <w:t>waiting</w:t>
      </w:r>
      <w:r>
        <w:t>. In each loop iteration, the scheduler checks which requests in the waiting queue have met their execution conditions, promotes them to the running queue, and together with the existing running requests forms the batch for the current step.</w:t>
      </w:r>
    </w:p>
    <w:p>
      <w:pPr/>
      <w:r>
        <w:rPr>
          <w:b/>
        </w:rPr>
        <w:t>③ Consumer: Per-Step Execution and Return</w:t>
      </w:r>
    </w:p>
    <w:p>
      <w:pPr/>
      <w:r>
        <w:t xml:space="preserve">When the Worker receives a batch of requests, it concatenates each request's </w:t>
      </w:r>
      <w:r>
        <w:rPr>
          <w:b/>
        </w:rPr>
        <w:t>latent</w:t>
      </w:r>
      <w:r>
        <w:t xml:space="preserve"> (the intermediate data representation processed during the diffusion denoising procedure, residing in latent space) along the tensor dimension and hands the result to </w:t>
      </w:r>
      <w:r>
        <w:rPr>
          <w:rFonts w:ascii="Consolas" w:hAnsi="Consolas" w:eastAsia="Microsoft YaHei"/>
          <w:color w:val="1F4D78"/>
          <w:sz w:val="19"/>
          <w:shd w:fill="EEF2F6"/>
        </w:rPr>
        <w:t>DiffusionModelRunner</w:t>
      </w:r>
      <w:r>
        <w:t xml:space="preserve"> for one denoising computation. After computation, results are split by request and streamed back to their respective client threads via the output streams.</w:t>
      </w:r>
    </w:p>
    <w:p>
      <w:pPr/>
      <w:r>
        <w:t xml:space="preserve">After each step completes, control returns to </w:t>
      </w:r>
      <w:r>
        <w:rPr>
          <w:rFonts w:ascii="Consolas" w:hAnsi="Consolas" w:eastAsia="Microsoft YaHei"/>
          <w:color w:val="1F4D78"/>
          <w:sz w:val="19"/>
          <w:shd w:fill="EEF2F6"/>
        </w:rPr>
        <w:t>_busy_loop</w:t>
      </w:r>
      <w:r>
        <w:t>. This opens a window for three operations:</w:t>
      </w:r>
    </w:p>
    <w:p>
      <w:pPr>
        <w:spacing w:after="80" w:line="290" w:lineRule="auto"/>
        <w:numPr>
          <w:ilvl w:val="0"/>
          <w:numId w:val="10"/>
        </w:numPr>
      </w:pPr>
      <w:r>
        <w:rPr>
          <w:b/>
        </w:rPr>
        <w:t>Insert new requests</w:t>
      </w:r>
      <w:r>
        <w:t>: Newly arrived requests are pulled into the running queue in the next loop iteration and immediately participate in batching.</w:t>
      </w:r>
    </w:p>
    <w:p>
      <w:pPr>
        <w:spacing w:after="80" w:line="290" w:lineRule="auto"/>
        <w:numPr>
          <w:ilvl w:val="0"/>
          <w:numId w:val="10"/>
        </w:numPr>
      </w:pPr>
      <w:r>
        <w:rPr>
          <w:b/>
        </w:rPr>
        <w:t>Terminate requests</w:t>
      </w:r>
      <w:r>
        <w:t xml:space="preserve">: After the upper layer issues an interrupt signal, </w:t>
      </w:r>
      <w:r>
        <w:rPr>
          <w:rFonts w:ascii="Consolas" w:hAnsi="Consolas" w:eastAsia="Microsoft YaHei"/>
          <w:color w:val="1F4D78"/>
          <w:sz w:val="19"/>
          <w:shd w:fill="EEF2F6"/>
        </w:rPr>
        <w:t>_busy_loop</w:t>
      </w:r>
      <w:r>
        <w:t xml:space="preserve"> removes the target request in the next iteration.</w:t>
      </w:r>
    </w:p>
    <w:p>
      <w:pPr>
        <w:spacing w:after="80" w:line="290" w:lineRule="auto"/>
        <w:numPr>
          <w:ilvl w:val="0"/>
          <w:numId w:val="10"/>
        </w:numPr>
      </w:pPr>
      <w:r>
        <w:rPr>
          <w:b/>
        </w:rPr>
        <w:t>Return intermediate results</w:t>
      </w:r>
      <w:r>
        <w:t>: Requests that have completed all steps output the final image; requests still in progress can output the current step's intermediate latent.</w:t>
      </w:r>
    </w:p>
    <w:p>
      <w:pPr>
        <w:pStyle w:val="Heading2"/>
      </w:pPr>
      <w:r>
        <w:t>Minimal State-Evolution Example</w:t>
      </w:r>
    </w:p>
    <w:p>
      <w:pPr/>
      <w:r>
        <w:t>Assume the system starts empty and requests A and B arrive successively:</w:t>
      </w:r>
    </w:p>
    <w:tbl>
      <w:tblPr>
        <w:tblStyle w:val="TableGrid"/>
        <w:tblW w:type="dxa" w:w="9360"/>
        <w:jc w:val="left"/>
        <w:tblLayout w:type="fixed"/>
        <w:tblLook w:firstColumn="1" w:firstRow="1" w:lastColumn="0" w:lastRow="0" w:noHBand="0" w:noVBand="1" w:val="04A0"/>
        <w:tblInd w:w="120" w:type="dxa"/>
      </w:tblPr>
      <w:tblGrid>
        <w:gridCol w:w="1333"/>
        <w:gridCol w:w="3201"/>
        <w:gridCol w:w="2442"/>
        <w:gridCol w:w="2384"/>
      </w:tblGrid>
      <w:tr>
        <w:trPr>
          <w:tblHeader w:val="true"/>
        </w:trPr>
        <w:tc>
          <w:tcPr>
            <w:tcW w:type="dxa" w:w="133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Time</w:t>
            </w:r>
          </w:p>
        </w:tc>
        <w:tc>
          <w:tcPr>
            <w:tcW w:type="dxa" w:w="320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Event</w:t>
            </w:r>
          </w:p>
        </w:tc>
        <w:tc>
          <w:tcPr>
            <w:tcW w:type="dxa" w:w="244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StepScheduler state</w:t>
            </w:r>
          </w:p>
        </w:tc>
        <w:tc>
          <w:tcPr>
            <w:tcW w:type="dxa" w:w="238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Worker execution</w:t>
            </w:r>
          </w:p>
        </w:tc>
      </w:tr>
      <w:tr>
        <w:tc>
          <w:tcPr>
            <w:tcW w:type="dxa" w:w="1333"/>
            <w:vAlign w:val="center"/>
            <w:tcMar>
              <w:top w:w="80" w:type="dxa"/>
              <w:start w:w="120" w:type="dxa"/>
              <w:bottom w:w="80" w:type="dxa"/>
              <w:end w:w="120" w:type="dxa"/>
            </w:tcMar>
          </w:tcPr>
          <w:p>
            <w:pPr>
              <w:spacing w:before="0" w:after="0" w:line="259" w:lineRule="auto"/>
            </w:pPr>
            <w:r>
              <w:rPr>
                <w:rFonts w:ascii="Calibri" w:hAnsi="Calibri" w:eastAsia="Microsoft YaHei"/>
                <w:sz w:val="18"/>
              </w:rPr>
              <w:t>t₀</w:t>
            </w:r>
          </w:p>
        </w:tc>
        <w:tc>
          <w:tcPr>
            <w:tcW w:type="dxa" w:w="3201"/>
            <w:vAlign w:val="center"/>
            <w:tcMar>
              <w:top w:w="80" w:type="dxa"/>
              <w:start w:w="120" w:type="dxa"/>
              <w:bottom w:w="80" w:type="dxa"/>
              <w:end w:w="120" w:type="dxa"/>
            </w:tcMar>
          </w:tcPr>
          <w:p>
            <w:pPr>
              <w:spacing w:before="0" w:after="0" w:line="259" w:lineRule="auto"/>
            </w:pPr>
            <w:r>
              <w:rPr>
                <w:rFonts w:ascii="Calibri" w:hAnsi="Calibri" w:eastAsia="Microsoft YaHei"/>
                <w:sz w:val="18"/>
              </w:rPr>
              <w:t>A enqueued, busy_loop woken</w:t>
            </w:r>
          </w:p>
        </w:tc>
        <w:tc>
          <w:tcPr>
            <w:tcW w:type="dxa" w:w="2442"/>
            <w:vAlign w:val="center"/>
            <w:tcMar>
              <w:top w:w="80" w:type="dxa"/>
              <w:start w:w="120" w:type="dxa"/>
              <w:bottom w:w="80" w:type="dxa"/>
              <w:end w:w="120" w:type="dxa"/>
            </w:tcMar>
          </w:tcPr>
          <w:p>
            <w:pPr>
              <w:spacing w:before="0" w:after="0" w:line="259" w:lineRule="auto"/>
            </w:pPr>
            <w:r>
              <w:rPr>
                <w:rFonts w:ascii="Calibri" w:hAnsi="Calibri" w:eastAsia="Microsoft YaHei"/>
                <w:sz w:val="18"/>
              </w:rPr>
              <w:t>waiting→running: {A}</w:t>
            </w:r>
          </w:p>
        </w:tc>
        <w:tc>
          <w:tcPr>
            <w:tcW w:type="dxa" w:w="238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r>
      <w:tr>
        <w:tc>
          <w:tcPr>
            <w:tcW w:type="dxa" w:w="1333"/>
            <w:vAlign w:val="center"/>
            <w:tcMar>
              <w:top w:w="80" w:type="dxa"/>
              <w:start w:w="120" w:type="dxa"/>
              <w:bottom w:w="80" w:type="dxa"/>
              <w:end w:w="120" w:type="dxa"/>
            </w:tcMar>
          </w:tcPr>
          <w:p>
            <w:pPr>
              <w:spacing w:before="0" w:after="0" w:line="259" w:lineRule="auto"/>
            </w:pPr>
            <w:r>
              <w:rPr>
                <w:rFonts w:ascii="Calibri" w:hAnsi="Calibri" w:eastAsia="Microsoft YaHei"/>
                <w:sz w:val="18"/>
              </w:rPr>
              <w:t>t₁</w:t>
            </w:r>
          </w:p>
        </w:tc>
        <w:tc>
          <w:tcPr>
            <w:tcW w:type="dxa" w:w="3201"/>
            <w:vAlign w:val="center"/>
            <w:tcMar>
              <w:top w:w="80" w:type="dxa"/>
              <w:start w:w="120" w:type="dxa"/>
              <w:bottom w:w="80" w:type="dxa"/>
              <w:end w:w="120" w:type="dxa"/>
            </w:tcMar>
          </w:tcPr>
          <w:p>
            <w:pPr>
              <w:spacing w:before="0" w:after="0" w:line="259" w:lineRule="auto"/>
            </w:pPr>
            <w:r>
              <w:rPr>
                <w:rFonts w:ascii="Calibri" w:hAnsi="Calibri" w:eastAsia="Microsoft YaHei"/>
                <w:sz w:val="18"/>
              </w:rPr>
              <w:t>A's step 1 completes</w:t>
            </w:r>
          </w:p>
        </w:tc>
        <w:tc>
          <w:tcPr>
            <w:tcW w:type="dxa" w:w="24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running: {A}</w:t>
            </w:r>
          </w:p>
        </w:tc>
        <w:tc>
          <w:tcPr>
            <w:tcW w:type="dxa" w:w="238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 step 1</w:t>
            </w:r>
          </w:p>
        </w:tc>
      </w:tr>
      <w:tr>
        <w:tc>
          <w:tcPr>
            <w:tcW w:type="dxa" w:w="1333"/>
            <w:vAlign w:val="center"/>
            <w:tcMar>
              <w:top w:w="80" w:type="dxa"/>
              <w:start w:w="120" w:type="dxa"/>
              <w:bottom w:w="80" w:type="dxa"/>
              <w:end w:w="120" w:type="dxa"/>
            </w:tcMar>
          </w:tcPr>
          <w:p>
            <w:pPr>
              <w:spacing w:before="0" w:after="0" w:line="259" w:lineRule="auto"/>
            </w:pPr>
            <w:r>
              <w:rPr>
                <w:rFonts w:ascii="Calibri" w:hAnsi="Calibri" w:eastAsia="Microsoft YaHei"/>
                <w:sz w:val="18"/>
              </w:rPr>
              <w:t>t₂</w:t>
            </w:r>
          </w:p>
        </w:tc>
        <w:tc>
          <w:tcPr>
            <w:tcW w:type="dxa" w:w="3201"/>
            <w:vAlign w:val="center"/>
            <w:tcMar>
              <w:top w:w="80" w:type="dxa"/>
              <w:start w:w="120" w:type="dxa"/>
              <w:bottom w:w="80" w:type="dxa"/>
              <w:end w:w="120" w:type="dxa"/>
            </w:tcMar>
          </w:tcPr>
          <w:p>
            <w:pPr>
              <w:spacing w:before="0" w:after="0" w:line="259" w:lineRule="auto"/>
            </w:pPr>
            <w:r>
              <w:rPr>
                <w:rFonts w:ascii="Calibri" w:hAnsi="Calibri" w:eastAsia="Microsoft YaHei"/>
                <w:sz w:val="18"/>
              </w:rPr>
              <w:t>B enqueued (in the inter-step gap)</w:t>
            </w:r>
          </w:p>
        </w:tc>
        <w:tc>
          <w:tcPr>
            <w:tcW w:type="dxa" w:w="2442"/>
            <w:vAlign w:val="center"/>
            <w:tcMar>
              <w:top w:w="80" w:type="dxa"/>
              <w:start w:w="120" w:type="dxa"/>
              <w:bottom w:w="80" w:type="dxa"/>
              <w:end w:w="120" w:type="dxa"/>
            </w:tcMar>
          </w:tcPr>
          <w:p>
            <w:pPr>
              <w:spacing w:before="0" w:after="0" w:line="259" w:lineRule="auto"/>
            </w:pPr>
            <w:r>
              <w:rPr>
                <w:rFonts w:ascii="Calibri" w:hAnsi="Calibri" w:eastAsia="Microsoft YaHei"/>
                <w:sz w:val="18"/>
              </w:rPr>
              <w:t>waiting→running: {A, B}</w:t>
            </w:r>
          </w:p>
        </w:tc>
        <w:tc>
          <w:tcPr>
            <w:tcW w:type="dxa" w:w="238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r>
      <w:tr>
        <w:tc>
          <w:tcPr>
            <w:tcW w:type="dxa" w:w="1333"/>
            <w:vAlign w:val="center"/>
            <w:tcMar>
              <w:top w:w="80" w:type="dxa"/>
              <w:start w:w="120" w:type="dxa"/>
              <w:bottom w:w="80" w:type="dxa"/>
              <w:end w:w="120" w:type="dxa"/>
            </w:tcMar>
          </w:tcPr>
          <w:p>
            <w:pPr>
              <w:spacing w:before="0" w:after="0" w:line="259" w:lineRule="auto"/>
            </w:pPr>
            <w:r>
              <w:rPr>
                <w:rFonts w:ascii="Calibri" w:hAnsi="Calibri" w:eastAsia="Microsoft YaHei"/>
                <w:sz w:val="18"/>
              </w:rPr>
              <w:t>t₃</w:t>
            </w:r>
          </w:p>
        </w:tc>
        <w:tc>
          <w:tcPr>
            <w:tcW w:type="dxa" w:w="3201"/>
            <w:vAlign w:val="center"/>
            <w:tcMar>
              <w:top w:w="80" w:type="dxa"/>
              <w:start w:w="120" w:type="dxa"/>
              <w:bottom w:w="80" w:type="dxa"/>
              <w:end w:w="120" w:type="dxa"/>
            </w:tcMar>
          </w:tcPr>
          <w:p>
            <w:pPr>
              <w:spacing w:before="0" w:after="0" w:line="259" w:lineRule="auto"/>
            </w:pPr>
            <w:r>
              <w:rPr>
                <w:rFonts w:ascii="Calibri" w:hAnsi="Calibri" w:eastAsia="Microsoft YaHei"/>
                <w:sz w:val="18"/>
              </w:rPr>
              <w:t>A step 2 + B step 1 batched together</w:t>
            </w:r>
          </w:p>
        </w:tc>
        <w:tc>
          <w:tcPr>
            <w:tcW w:type="dxa" w:w="24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running: {A, B}</w:t>
            </w:r>
          </w:p>
        </w:tc>
        <w:tc>
          <w:tcPr>
            <w:tcW w:type="dxa" w:w="2384"/>
            <w:vAlign w:val="center"/>
            <w:tcMar>
              <w:top w:w="80" w:type="dxa"/>
              <w:start w:w="120" w:type="dxa"/>
              <w:bottom w:w="80" w:type="dxa"/>
              <w:end w:w="120" w:type="dxa"/>
            </w:tcMar>
          </w:tcPr>
          <w:p>
            <w:pPr>
              <w:spacing w:before="0" w:after="0" w:line="259" w:lineRule="auto"/>
            </w:pPr>
            <w:r>
              <w:rPr>
                <w:rFonts w:ascii="Calibri" w:hAnsi="Calibri" w:eastAsia="Microsoft YaHei"/>
                <w:sz w:val="18"/>
              </w:rPr>
              <w:t>{A, B} batch execution</w:t>
            </w:r>
          </w:p>
        </w:tc>
      </w:tr>
      <w:tr>
        <w:tc>
          <w:tcPr>
            <w:tcW w:type="dxa" w:w="1333"/>
            <w:vAlign w:val="center"/>
            <w:tcMar>
              <w:top w:w="80" w:type="dxa"/>
              <w:start w:w="120" w:type="dxa"/>
              <w:bottom w:w="80" w:type="dxa"/>
              <w:end w:w="120" w:type="dxa"/>
            </w:tcMar>
          </w:tcPr>
          <w:p>
            <w:pPr>
              <w:spacing w:before="0" w:after="0" w:line="259" w:lineRule="auto"/>
            </w:pPr>
            <w:r>
              <w:rPr>
                <w:rFonts w:ascii="Calibri" w:hAnsi="Calibri" w:eastAsia="Microsoft YaHei"/>
                <w:sz w:val="18"/>
              </w:rPr>
              <w:t>t₄</w:t>
            </w:r>
          </w:p>
        </w:tc>
        <w:tc>
          <w:tcPr>
            <w:tcW w:type="dxa" w:w="3201"/>
            <w:vAlign w:val="center"/>
            <w:tcMar>
              <w:top w:w="80" w:type="dxa"/>
              <w:start w:w="120" w:type="dxa"/>
              <w:bottom w:w="80" w:type="dxa"/>
              <w:end w:w="120" w:type="dxa"/>
            </w:tcMar>
          </w:tcPr>
          <w:p>
            <w:pPr>
              <w:spacing w:before="0" w:after="0" w:line="259" w:lineRule="auto"/>
            </w:pPr>
            <w:r>
              <w:rPr>
                <w:rFonts w:ascii="Calibri" w:hAnsi="Calibri" w:eastAsia="Microsoft YaHei"/>
                <w:sz w:val="18"/>
              </w:rPr>
              <w:t>A finishes all steps, result output</w:t>
            </w:r>
          </w:p>
        </w:tc>
        <w:tc>
          <w:tcPr>
            <w:tcW w:type="dxa" w:w="24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running: {B}</w:t>
            </w:r>
          </w:p>
        </w:tc>
        <w:tc>
          <w:tcPr>
            <w:tcW w:type="dxa" w:w="2384"/>
            <w:vAlign w:val="center"/>
            <w:tcMar>
              <w:top w:w="80" w:type="dxa"/>
              <w:start w:w="120" w:type="dxa"/>
              <w:bottom w:w="80" w:type="dxa"/>
              <w:end w:w="120" w:type="dxa"/>
            </w:tcMar>
          </w:tcPr>
          <w:p>
            <w:pPr>
              <w:spacing w:before="0" w:after="0" w:line="259" w:lineRule="auto"/>
            </w:pPr>
            <w:r>
              <w:rPr>
                <w:rFonts w:ascii="Calibri" w:hAnsi="Calibri" w:eastAsia="Microsoft YaHei"/>
                <w:sz w:val="18"/>
              </w:rPr>
              <w:t>B continues step 2…</w:t>
            </w:r>
          </w:p>
        </w:tc>
      </w:tr>
    </w:tbl>
    <w:p>
      <w:pPr>
        <w:spacing w:after="40"/>
      </w:pPr>
    </w:p>
    <w:p>
      <w:pPr/>
      <w:r>
        <w:t>B does not need to wait for A to finish all denoising steps before joining. It is pulled into the running queue by the scheduler during the inter-step gap at t₂ and shares the same GPU computation with A starting from t₃.</w:t>
      </w:r>
    </w:p>
    <w:p>
      <w:pPr>
        <w:pStyle w:val="Heading2"/>
      </w:pPr>
      <w:r>
        <w:t>Boundary Conditions</w:t>
      </w:r>
    </w:p>
    <w:p>
      <w:pPr>
        <w:spacing w:after="80" w:line="290" w:lineRule="auto"/>
        <w:numPr>
          <w:ilvl w:val="0"/>
          <w:numId w:val="15"/>
        </w:numPr>
      </w:pPr>
      <w:r>
        <w:rPr>
          <w:b/>
        </w:rPr>
        <w:t>The smaller the model and the faster each step, the higher the scheduling overhead ratio.</w:t>
      </w:r>
      <w:r>
        <w:t xml:space="preserve"> When the GPU computation for a single step is itself very short, millisecond-level scheduling overhead becomes non-negligible.</w:t>
      </w:r>
    </w:p>
    <w:p>
      <w:pPr>
        <w:spacing w:after="80" w:line="290" w:lineRule="auto"/>
        <w:numPr>
          <w:ilvl w:val="0"/>
          <w:numId w:val="15"/>
        </w:numPr>
      </w:pPr>
      <w:r>
        <w:rPr>
          <w:b/>
        </w:rPr>
        <w:t>Interrupt response granularity is "before the next step begins."</w:t>
      </w:r>
      <w:r>
        <w:t xml:space="preserve"> If a single step takes a long time, the actual interrupt latency equals the remaining execution time of the current step.</w:t>
      </w:r>
    </w:p>
    <w:p>
      <w:pPr>
        <w:spacing w:after="80" w:line="290" w:lineRule="auto"/>
        <w:numPr>
          <w:ilvl w:val="0"/>
          <w:numId w:val="15"/>
        </w:numPr>
      </w:pPr>
      <w:r>
        <w:t xml:space="preserve">The presentation materials did not disclose the specific priority rules inside </w:t>
      </w:r>
      <w:r>
        <w:rPr>
          <w:rFonts w:ascii="Consolas" w:hAnsi="Consolas" w:eastAsia="Microsoft YaHei"/>
          <w:color w:val="1F4D78"/>
          <w:sz w:val="19"/>
          <w:shd w:fill="EEF2F6"/>
        </w:rPr>
        <w:t>StepScheduler</w:t>
      </w:r>
      <w:r>
        <w:t xml:space="preserve"> or the maximum number of requests per batch.</w:t>
      </w:r>
    </w:p>
    <w:p>
      <w:pPr/>
      <w:r>
        <w:rPr>
          <w:b/>
        </w:rPr>
        <w:t>Summary</w:t>
      </w:r>
      <w:r>
        <w:t xml:space="preserve">: Pushing the scheduling granularity down from request to step is the foundational infrastructure for all subsequent batching optimizations. It gives </w:t>
      </w:r>
      <w:r>
        <w:rPr>
          <w:rFonts w:ascii="Consolas" w:hAnsi="Consolas" w:eastAsia="Microsoft YaHei"/>
          <w:color w:val="1F4D78"/>
          <w:sz w:val="19"/>
          <w:shd w:fill="EEF2F6"/>
        </w:rPr>
        <w:t>DiffusionEngine</w:t>
      </w:r>
      <w:r>
        <w:t xml:space="preserve"> the ability to dynamically add or remove requests in the gap between every denoising step, while natively supporting interrupts and streaming of intermediate results. With this flexibility in place, the immediate follow-up question is: does the CPU overhead of assembling a batch within the extremely short inter-step gap become the new bottleneck?</w:t>
      </w:r>
    </w:p>
    <w:p>
      <w:pPr>
        <w:pStyle w:val="Heading1"/>
      </w:pPr>
      <w:r>
        <w:t>3 Data Structures and Execution: Ultra-Low-Overhead Dynamic Batching</w:t>
      </w:r>
    </w:p>
    <w:p>
      <w:pPr/>
      <w:r>
        <w:rPr>
          <w:b/>
        </w:rPr>
        <w:t>Core question of this section:</w:t>
      </w:r>
      <w:r>
        <w:t xml:space="preserve"> Between every two steps, the CPU side must complete request filtering, padding computation, and mask construction—do these operations become a new performance bottleneck?</w:t>
      </w:r>
    </w:p>
    <w:p>
      <w:pPr/>
      <w:r>
        <w:t xml:space="preserve">The answer is no. According to the profiling data presented in the talk, the core batching function </w:t>
      </w:r>
      <w:r>
        <w:rPr>
          <w:rFonts w:ascii="Consolas" w:hAnsi="Consolas" w:eastAsia="Microsoft YaHei"/>
          <w:color w:val="1F4D78"/>
          <w:sz w:val="19"/>
          <w:shd w:fill="EEF2F6"/>
        </w:rPr>
        <w:t>make_batch</w:t>
      </w:r>
      <w:r>
        <w:t xml:space="preserve"> takes </w:t>
      </w:r>
      <w:r>
        <w:rPr>
          <w:b/>
        </w:rPr>
        <w:t>&lt; 1 ms</w:t>
      </w:r>
      <w:r>
        <w:t xml:space="preserve">, while the GPU-side </w:t>
      </w:r>
      <w:r>
        <w:rPr>
          <w:rFonts w:ascii="Consolas" w:hAnsi="Consolas" w:eastAsia="Microsoft YaHei"/>
          <w:color w:val="1F4D78"/>
          <w:sz w:val="19"/>
          <w:shd w:fill="EEF2F6"/>
        </w:rPr>
        <w:t>execute_stepwise</w:t>
      </w:r>
      <w:r>
        <w:t xml:space="preserve"> for a single denoising step takes roughly </w:t>
      </w:r>
      <w:r>
        <w:rPr>
          <w:b/>
        </w:rPr>
        <w:t>1,000–1,200 ms</w:t>
      </w:r>
      <w:r>
        <w:t>. The two differ by three orders of magnitude; the CPU scheduling overhead is entirely hidden behind GPU computation time.</w:t>
      </w:r>
    </w:p>
    <w:p>
      <w:pPr>
        <w:pStyle w:val="Heading2"/>
      </w:pPr>
      <w:r>
        <w:t>Why Requests at Different Progress Points Can Share the Same Batch</w:t>
      </w:r>
    </w:p>
    <w:p>
      <w:pPr/>
      <w:r>
        <w:t>The prerequisite for batching is that merging must not alter the computational semantics of any individual request. A diffusion model has three dimensions that may differ across requests:</w:t>
      </w:r>
    </w:p>
    <w:tbl>
      <w:tblPr>
        <w:tblStyle w:val="TableGrid"/>
        <w:tblW w:type="dxa" w:w="9360"/>
        <w:jc w:val="left"/>
        <w:tblLayout w:type="fixed"/>
        <w:tblLook w:firstColumn="1" w:firstRow="1" w:lastColumn="0" w:lastRow="0" w:noHBand="0" w:noVBand="1" w:val="04A0"/>
        <w:tblInd w:w="120" w:type="dxa"/>
      </w:tblPr>
      <w:tblGrid>
        <w:gridCol w:w="2882"/>
        <w:gridCol w:w="3239"/>
        <w:gridCol w:w="3239"/>
      </w:tblGrid>
      <w:tr>
        <w:trPr>
          <w:tblHeader w:val="true"/>
        </w:trPr>
        <w:tc>
          <w:tcPr>
            <w:tcW w:type="dxa" w:w="288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23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Does it affect the forward pass?</w:t>
            </w:r>
          </w:p>
        </w:tc>
        <w:tc>
          <w:tcPr>
            <w:tcW w:type="dxa" w:w="323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Handling strategy</w:t>
            </w:r>
          </w:p>
        </w:tc>
      </w:tr>
      <w:tr>
        <w:tc>
          <w:tcPr>
            <w:tcW w:type="dxa" w:w="2882"/>
            <w:vAlign w:val="center"/>
            <w:tcMar>
              <w:top w:w="80" w:type="dxa"/>
              <w:start w:w="120" w:type="dxa"/>
              <w:bottom w:w="80" w:type="dxa"/>
              <w:end w:w="120" w:type="dxa"/>
            </w:tcMar>
          </w:tcPr>
          <w:p>
            <w:pPr>
              <w:spacing w:before="0" w:after="0" w:line="259" w:lineRule="auto"/>
            </w:pPr>
            <w:r>
              <w:rPr>
                <w:rFonts w:ascii="Calibri" w:hAnsi="Calibri" w:eastAsia="Microsoft YaHei"/>
                <w:b/>
                <w:sz w:val="18"/>
              </w:rPr>
              <w:t>Denoising progress</w:t>
            </w:r>
            <w:r>
              <w:rPr>
                <w:rFonts w:ascii="Calibri" w:hAnsi="Calibri" w:eastAsia="Microsoft YaHei"/>
                <w:sz w:val="18"/>
              </w:rPr>
              <w:t xml:space="preserve"> (timestep)</w:t>
            </w:r>
          </w:p>
        </w:tc>
        <w:tc>
          <w:tcPr>
            <w:tcW w:type="dxa" w:w="3239"/>
            <w:vAlign w:val="center"/>
            <w:tcMar>
              <w:top w:w="80" w:type="dxa"/>
              <w:start w:w="120" w:type="dxa"/>
              <w:bottom w:w="80" w:type="dxa"/>
              <w:end w:w="120" w:type="dxa"/>
            </w:tcMar>
          </w:tcPr>
          <w:p>
            <w:pPr>
              <w:spacing w:before="0" w:after="0" w:line="259" w:lineRule="auto"/>
            </w:pPr>
            <w:r>
              <w:rPr>
                <w:rFonts w:ascii="Calibri" w:hAnsi="Calibri" w:eastAsia="Microsoft YaHei"/>
                <w:sz w:val="18"/>
              </w:rPr>
              <w:t>No—timestep is a per-request conditional input</w:t>
            </w:r>
          </w:p>
        </w:tc>
        <w:tc>
          <w:tcPr>
            <w:tcW w:type="dxa" w:w="3239"/>
            <w:vAlign w:val="center"/>
            <w:tcMar>
              <w:top w:w="80" w:type="dxa"/>
              <w:start w:w="120" w:type="dxa"/>
              <w:bottom w:w="80" w:type="dxa"/>
              <w:end w:w="120" w:type="dxa"/>
            </w:tcMar>
          </w:tcPr>
          <w:p>
            <w:pPr>
              <w:spacing w:before="0" w:after="0" w:line="259" w:lineRule="auto"/>
            </w:pPr>
            <w:r>
              <w:rPr>
                <w:rFonts w:ascii="Calibri" w:hAnsi="Calibri" w:eastAsia="Microsoft YaHei"/>
                <w:sz w:val="18"/>
              </w:rPr>
              <w:t>Each request independently tracks its current step</w:t>
            </w:r>
          </w:p>
        </w:tc>
      </w:tr>
      <w:tr>
        <w:tc>
          <w:tcPr>
            <w:tcW w:type="dxa" w:w="2882"/>
            <w:vAlign w:val="center"/>
            <w:tcMar>
              <w:top w:w="80" w:type="dxa"/>
              <w:start w:w="120" w:type="dxa"/>
              <w:bottom w:w="80" w:type="dxa"/>
              <w:end w:w="120" w:type="dxa"/>
            </w:tcMar>
          </w:tcPr>
          <w:p>
            <w:pPr>
              <w:spacing w:before="0" w:after="0" w:line="259" w:lineRule="auto"/>
            </w:pPr>
            <w:r>
              <w:rPr>
                <w:rFonts w:ascii="Calibri" w:hAnsi="Calibri" w:eastAsia="Microsoft YaHei"/>
                <w:b/>
                <w:sz w:val="18"/>
              </w:rPr>
              <w:t>Text length</w:t>
            </w:r>
            <w:r>
              <w:rPr>
                <w:rFonts w:ascii="Calibri" w:hAnsi="Calibri" w:eastAsia="Microsoft YaHei"/>
                <w:sz w:val="18"/>
              </w:rPr>
              <w:t xml:space="preserve"> (number of text tokens)</w:t>
            </w:r>
          </w:p>
        </w:tc>
        <w:tc>
          <w:tcPr>
            <w:tcW w:type="dxa" w:w="3239"/>
            <w:vAlign w:val="center"/>
            <w:tcMar>
              <w:top w:w="80" w:type="dxa"/>
              <w:start w:w="120" w:type="dxa"/>
              <w:bottom w:w="80" w:type="dxa"/>
              <w:end w:w="120" w:type="dxa"/>
            </w:tcMar>
          </w:tcPr>
          <w:p>
            <w:pPr>
              <w:spacing w:before="0" w:after="0" w:line="259" w:lineRule="auto"/>
            </w:pPr>
            <w:r>
              <w:rPr>
                <w:rFonts w:ascii="Calibri" w:hAnsi="Calibri" w:eastAsia="Microsoft YaHei"/>
                <w:sz w:val="18"/>
              </w:rPr>
              <w:t>Affects tensor width</w:t>
            </w:r>
          </w:p>
        </w:tc>
        <w:tc>
          <w:tcPr>
            <w:tcW w:type="dxa" w:w="3239"/>
            <w:vAlign w:val="center"/>
            <w:tcMar>
              <w:top w:w="80" w:type="dxa"/>
              <w:start w:w="120" w:type="dxa"/>
              <w:bottom w:w="80" w:type="dxa"/>
              <w:end w:w="120" w:type="dxa"/>
            </w:tcMar>
          </w:tcPr>
          <w:p>
            <w:pPr>
              <w:spacing w:before="0" w:after="0" w:line="259" w:lineRule="auto"/>
            </w:pPr>
            <w:r>
              <w:rPr>
                <w:rFonts w:ascii="Calibri" w:hAnsi="Calibri" w:eastAsia="Microsoft YaHei"/>
                <w:sz w:val="18"/>
              </w:rPr>
              <w:t>Pad to the current batch-internal maximum length T_max, with an attention mask</w:t>
            </w:r>
          </w:p>
        </w:tc>
      </w:tr>
      <w:tr>
        <w:tc>
          <w:tcPr>
            <w:tcW w:type="dxa" w:w="2882"/>
            <w:vAlign w:val="center"/>
            <w:tcMar>
              <w:top w:w="80" w:type="dxa"/>
              <w:start w:w="120" w:type="dxa"/>
              <w:bottom w:w="80" w:type="dxa"/>
              <w:end w:w="120" w:type="dxa"/>
            </w:tcMar>
          </w:tcPr>
          <w:p>
            <w:pPr>
              <w:spacing w:before="0" w:after="0" w:line="259" w:lineRule="auto"/>
            </w:pPr>
            <w:r>
              <w:rPr>
                <w:rFonts w:ascii="Calibri" w:hAnsi="Calibri" w:eastAsia="Microsoft YaHei"/>
                <w:b/>
                <w:sz w:val="18"/>
              </w:rPr>
              <w:t>Image size</w:t>
            </w:r>
            <w:r>
              <w:rPr>
                <w:rFonts w:ascii="Calibri" w:hAnsi="Calibri" w:eastAsia="Microsoft YaHei"/>
                <w:sz w:val="18"/>
              </w:rPr>
              <w:t xml:space="preserve"> (latent resolution)</w:t>
            </w:r>
          </w:p>
        </w:tc>
        <w:tc>
          <w:tcPr>
            <w:tcW w:type="dxa" w:w="3239"/>
            <w:vAlign w:val="center"/>
            <w:tcMar>
              <w:top w:w="80" w:type="dxa"/>
              <w:start w:w="120" w:type="dxa"/>
              <w:bottom w:w="80" w:type="dxa"/>
              <w:end w:w="120" w:type="dxa"/>
            </w:tcMar>
          </w:tcPr>
          <w:p>
            <w:pPr>
              <w:spacing w:before="0" w:after="0" w:line="259" w:lineRule="auto"/>
            </w:pPr>
            <w:r>
              <w:rPr>
                <w:rFonts w:ascii="Calibri" w:hAnsi="Calibri" w:eastAsia="Microsoft YaHei"/>
                <w:sz w:val="18"/>
              </w:rPr>
              <w:t>Affects tensor height</w:t>
            </w:r>
          </w:p>
        </w:tc>
        <w:tc>
          <w:tcPr>
            <w:tcW w:type="dxa" w:w="3239"/>
            <w:vAlign w:val="center"/>
            <w:tcMar>
              <w:top w:w="80" w:type="dxa"/>
              <w:start w:w="120" w:type="dxa"/>
              <w:bottom w:w="80" w:type="dxa"/>
              <w:end w:w="120" w:type="dxa"/>
            </w:tcMar>
          </w:tcPr>
          <w:p>
            <w:pPr>
              <w:spacing w:before="0" w:after="0" w:line="259" w:lineRule="auto"/>
            </w:pPr>
            <w:r>
              <w:rPr>
                <w:rFonts w:ascii="Calibri" w:hAnsi="Calibri" w:eastAsia="Microsoft YaHei"/>
                <w:sz w:val="18"/>
              </w:rPr>
              <w:t>The current scheme requires matching shapes for merging</w:t>
            </w:r>
          </w:p>
        </w:tc>
      </w:tr>
    </w:tbl>
    <w:p>
      <w:pPr>
        <w:spacing w:after="40"/>
      </w:pPr>
    </w:p>
    <w:p>
      <w:pPr/>
      <w:r>
        <w:t xml:space="preserve">Together, these three rules form the compatibility criteria the scheduler uses when selecting requests: only requests with </w:t>
      </w:r>
      <w:r>
        <w:rPr>
          <w:b/>
        </w:rPr>
        <w:t>the same shape and the same CFG configuration</w:t>
      </w:r>
      <w:r>
        <w:t xml:space="preserve"> are selected into the same batch.</w:t>
      </w:r>
    </w:p>
    <w:p>
      <w:pPr>
        <w:pStyle w:val="Heading2"/>
      </w:pPr>
      <w:r>
        <w:t>Key Data Structures: RequestState and InputBatch</w:t>
      </w:r>
    </w:p>
    <w:p>
      <w:pPr/>
      <w:r>
        <w:t>The figure below shows how two core structures collaborate to go from per-request state management to unified tensor construction:</w:t>
      </w:r>
    </w:p>
    <w:p>
      <w:pPr>
        <w:keepNext/>
        <w:keepLines/>
        <w:spacing w:before="120" w:after="0"/>
        <w:jc w:val="center"/>
      </w:pPr>
      <w:r>
        <w:drawing>
          <wp:inline xmlns:a="http://schemas.openxmlformats.org/drawingml/2006/main" xmlns:pic="http://schemas.openxmlformats.org/drawingml/2006/picture">
            <wp:extent cx="5943600" cy="3343275"/>
            <wp:docPr id="3" name="Picture 3" descr="vLLM-Omni batching key data structures, showing RequestState holding per-request state and the padding/mask construction of InputBatch" title="vLLM-Omni batching key data structures, showing RequestState holding per-request state and the padding/mask construction"/>
            <wp:cNvGraphicFramePr>
              <a:graphicFrameLocks noChangeAspect="1"/>
            </wp:cNvGraphicFramePr>
            <a:graphic>
              <a:graphicData uri="http://schemas.openxmlformats.org/drawingml/2006/picture">
                <pic:pic>
                  <pic:nvPicPr>
                    <pic:cNvPr id="0" name="slide-06.png"/>
                    <pic:cNvPicPr/>
                  </pic:nvPicPr>
                  <pic:blipFill>
                    <a:blip r:embed="rId15"/>
                    <a:stretch>
                      <a:fillRect/>
                    </a:stretch>
                  </pic:blipFill>
                  <pic:spPr>
                    <a:xfrm>
                      <a:off x="0" y="0"/>
                      <a:ext cx="5943600" cy="3343275"/>
                    </a:xfrm>
                    <a:prstGeom prst="rect"/>
                  </pic:spPr>
                </pic:pic>
              </a:graphicData>
            </a:graphic>
          </wp:inline>
        </w:drawing>
      </w:r>
    </w:p>
    <w:p>
      <w:pPr/>
      <w:r>
        <w:rPr>
          <w:i/>
        </w:rPr>
        <w:t>Caption: Batching data structures and tensor construction flow. Source: presentation slide 6.</w:t>
      </w:r>
    </w:p>
    <w:p>
      <w:pPr/>
      <w:r>
        <w:rPr>
          <w:b/>
        </w:rPr>
        <w:t>RequestState—Per-Request State Container</w:t>
      </w:r>
    </w:p>
    <w:p>
      <w:pPr/>
      <w:r>
        <w:t xml:space="preserve">Every generation request entering the system corresponds to a </w:t>
      </w:r>
      <w:r>
        <w:rPr>
          <w:rFonts w:ascii="Consolas" w:hAnsi="Consolas" w:eastAsia="Microsoft YaHei"/>
          <w:color w:val="1F4D78"/>
          <w:sz w:val="19"/>
          <w:shd w:fill="EEF2F6"/>
        </w:rPr>
        <w:t>RequestState</w:t>
      </w:r>
      <w:r>
        <w:t xml:space="preserve"> instance that stores at least the following information:</w:t>
      </w:r>
    </w:p>
    <w:p>
      <w:pPr>
        <w:spacing w:after="80" w:line="290" w:lineRule="auto"/>
        <w:numPr>
          <w:ilvl w:val="0"/>
          <w:numId w:val="10"/>
        </w:numPr>
      </w:pPr>
      <w:r>
        <w:rPr>
          <w:b/>
        </w:rPr>
        <w:t>Current timestep</w:t>
      </w:r>
      <w:r>
        <w:t>: The number of completed denoising steps, determining which timestep embedding to use for the next step.</w:t>
      </w:r>
    </w:p>
    <w:p>
      <w:pPr>
        <w:spacing w:after="80" w:line="290" w:lineRule="auto"/>
        <w:numPr>
          <w:ilvl w:val="0"/>
          <w:numId w:val="10"/>
        </w:numPr>
      </w:pPr>
      <w:r>
        <w:rPr>
          <w:b/>
        </w:rPr>
        <w:t>Latent tensor</w:t>
      </w:r>
      <w:r>
        <w:t>: The intermediate denoising result at the current step, with shape corresponding to the target image resolution.</w:t>
      </w:r>
    </w:p>
    <w:p>
      <w:pPr>
        <w:spacing w:after="80" w:line="290" w:lineRule="auto"/>
        <w:numPr>
          <w:ilvl w:val="0"/>
          <w:numId w:val="10"/>
        </w:numPr>
      </w:pPr>
      <w:r>
        <w:rPr>
          <w:b/>
        </w:rPr>
        <w:t>Text embedding</w:t>
      </w:r>
      <w:r>
        <w:t>: The conditional vector produced by the text encoder; remains constant across multiple steps to avoid redundant encoding.</w:t>
      </w:r>
    </w:p>
    <w:p>
      <w:pPr>
        <w:spacing w:after="80" w:line="290" w:lineRule="auto"/>
        <w:numPr>
          <w:ilvl w:val="0"/>
          <w:numId w:val="10"/>
        </w:numPr>
      </w:pPr>
      <w:r>
        <w:rPr>
          <w:b/>
        </w:rPr>
        <w:t>CFG parameters</w:t>
      </w:r>
      <w:r>
        <w:t>: Configuration such as the Classifier-Free Guidance scale.</w:t>
      </w:r>
    </w:p>
    <w:p>
      <w:pPr/>
      <w:r>
        <w:rPr>
          <w:rFonts w:ascii="Consolas" w:hAnsi="Consolas" w:eastAsia="Microsoft YaHei"/>
          <w:color w:val="1F4D78"/>
          <w:sz w:val="19"/>
          <w:shd w:fill="EEF2F6"/>
        </w:rPr>
        <w:t>RequestState</w:t>
      </w:r>
      <w:r>
        <w:t xml:space="preserve"> fully decouples the request lifecycle (waiting → scheduled → running → finished) from GPU single-step execution. The scheduler only needs to read each request's state fields to determine which requests are eligible for merging.</w:t>
      </w:r>
    </w:p>
    <w:p>
      <w:pPr/>
      <w:r>
        <w:rPr>
          <w:b/>
        </w:rPr>
        <w:t>InputBatch—Batch Metadata and Unified Tensors</w:t>
      </w:r>
    </w:p>
    <w:p>
      <w:pPr/>
      <w:r>
        <w:t xml:space="preserve">After the scheduler selects a group of compatible requests, the batch builder in the Worker assembles them into an </w:t>
      </w:r>
      <w:r>
        <w:rPr>
          <w:rFonts w:ascii="Consolas" w:hAnsi="Consolas" w:eastAsia="Microsoft YaHei"/>
          <w:color w:val="1F4D78"/>
          <w:sz w:val="19"/>
          <w:shd w:fill="EEF2F6"/>
        </w:rPr>
        <w:t>InputBatch</w:t>
      </w:r>
      <w:r>
        <w:t xml:space="preserve"> in three steps:</w:t>
      </w:r>
    </w:p>
    <w:p>
      <w:pPr>
        <w:spacing w:after="80" w:line="290" w:lineRule="auto"/>
        <w:numPr>
          <w:ilvl w:val="0"/>
          <w:numId w:val="16"/>
        </w:numPr>
      </w:pPr>
      <w:r>
        <w:rPr>
          <w:b/>
        </w:rPr>
        <w:t>Text padding</w:t>
      </w:r>
      <w:r>
        <w:t>: Suppose request A has text length s_A and request B has s_B; let T_max = max(s_A, s_B). The shorter sequence is zero-padded at the tail so that all text tensors align to [B, T_max, H].</w:t>
      </w:r>
    </w:p>
    <w:p>
      <w:pPr>
        <w:spacing w:after="80" w:line="290" w:lineRule="auto"/>
        <w:numPr>
          <w:ilvl w:val="0"/>
          <w:numId w:val="16"/>
        </w:numPr>
      </w:pPr>
      <w:r>
        <w:rPr>
          <w:b/>
        </w:rPr>
        <w:t>Mask construction</w:t>
      </w:r>
      <w:r>
        <w:t>: Two sets of masks are generated—</w:t>
      </w:r>
      <w:r>
        <w:rPr>
          <w:rFonts w:ascii="Consolas" w:hAnsi="Consolas" w:eastAsia="Microsoft YaHei"/>
          <w:color w:val="1F4D78"/>
          <w:sz w:val="19"/>
          <w:shd w:fill="EEF2F6"/>
        </w:rPr>
        <w:t>mask_T</w:t>
      </w:r>
      <w:r>
        <w:t xml:space="preserve"> (valid text positions) and </w:t>
      </w:r>
      <w:r>
        <w:rPr>
          <w:rFonts w:ascii="Consolas" w:hAnsi="Consolas" w:eastAsia="Microsoft YaHei"/>
          <w:color w:val="1F4D78"/>
          <w:sz w:val="19"/>
          <w:shd w:fill="EEF2F6"/>
        </w:rPr>
        <w:t>mask_Img</w:t>
      </w:r>
      <w:r>
        <w:t xml:space="preserve"> (valid image-token positions)—so that invalid positions are masked out during attention computation.</w:t>
      </w:r>
    </w:p>
    <w:p>
      <w:pPr>
        <w:spacing w:after="80" w:line="290" w:lineRule="auto"/>
        <w:numPr>
          <w:ilvl w:val="0"/>
          <w:numId w:val="16"/>
        </w:numPr>
      </w:pPr>
      <w:r>
        <w:rPr>
          <w:b/>
        </w:rPr>
        <w:t>Tensor concatenation</w:t>
      </w:r>
      <w:r>
        <w:t>: The text portion and the image latent portion are concatenated along the sequence dimension, yielding a final input shape of [B, T_max + L_img, H].</w:t>
      </w:r>
    </w:p>
    <w:p>
      <w:pPr/>
      <w:r>
        <w:t>Once assembly is complete, the GPU needs only a single DiT (Diffusion Transformer) forward pass to advance all requests in the batch by one step.</w:t>
      </w:r>
    </w:p>
    <w:p>
      <w:pPr>
        <w:pStyle w:val="Heading2"/>
      </w:pPr>
      <w:r>
        <w:t>Minimal State-Evolution Example</w:t>
      </w:r>
    </w:p>
    <w:tbl>
      <w:tblPr>
        <w:tblStyle w:val="TableGrid"/>
        <w:tblW w:type="dxa" w:w="9360"/>
        <w:jc w:val="left"/>
        <w:tblLayout w:type="fixed"/>
        <w:tblLook w:firstColumn="1" w:firstRow="1" w:lastColumn="0" w:lastRow="0" w:noHBand="0" w:noVBand="1" w:val="04A0"/>
        <w:tblInd w:w="120" w:type="dxa"/>
      </w:tblPr>
      <w:tblGrid>
        <w:gridCol w:w="1511"/>
        <w:gridCol w:w="2640"/>
        <w:gridCol w:w="1962"/>
        <w:gridCol w:w="2075"/>
        <w:gridCol w:w="1172"/>
      </w:tblGrid>
      <w:tr>
        <w:trPr>
          <w:tblHeader w:val="true"/>
        </w:trPr>
        <w:tc>
          <w:tcPr>
            <w:tcW w:type="dxa" w:w="151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Request</w:t>
            </w:r>
          </w:p>
        </w:tc>
        <w:tc>
          <w:tcPr>
            <w:tcW w:type="dxa" w:w="264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Target resolution</w:t>
            </w:r>
          </w:p>
        </w:tc>
        <w:tc>
          <w:tcPr>
            <w:tcW w:type="dxa" w:w="196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Text length</w:t>
            </w:r>
          </w:p>
        </w:tc>
        <w:tc>
          <w:tcPr>
            <w:tcW w:type="dxa" w:w="207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Current step</w:t>
            </w:r>
          </w:p>
        </w:tc>
        <w:tc>
          <w:tcPr>
            <w:tcW w:type="dxa" w:w="117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CFG</w:t>
            </w:r>
          </w:p>
        </w:tc>
      </w:tr>
      <w:tr>
        <w:tc>
          <w:tcPr>
            <w:tcW w:type="dxa" w:w="1511"/>
            <w:vAlign w:val="center"/>
            <w:tcMar>
              <w:top w:w="80" w:type="dxa"/>
              <w:start w:w="120" w:type="dxa"/>
              <w:bottom w:w="80" w:type="dxa"/>
              <w:end w:w="120" w:type="dxa"/>
            </w:tcMar>
          </w:tcPr>
          <w:p>
            <w:pPr>
              <w:spacing w:before="0" w:after="0" w:line="259" w:lineRule="auto"/>
            </w:pPr>
            <w:r>
              <w:rPr>
                <w:rFonts w:ascii="Calibri" w:hAnsi="Calibri" w:eastAsia="Microsoft YaHei"/>
                <w:sz w:val="18"/>
              </w:rPr>
              <w:t>A</w:t>
            </w:r>
          </w:p>
        </w:tc>
        <w:tc>
          <w:tcPr>
            <w:tcW w:type="dxa" w:w="264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512×512</w:t>
            </w:r>
          </w:p>
        </w:tc>
        <w:tc>
          <w:tcPr>
            <w:tcW w:type="dxa" w:w="19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48</w:t>
            </w:r>
          </w:p>
        </w:tc>
        <w:tc>
          <w:tcPr>
            <w:tcW w:type="dxa" w:w="207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w:t>
            </w:r>
          </w:p>
        </w:tc>
        <w:tc>
          <w:tcPr>
            <w:tcW w:type="dxa" w:w="11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7.5</w:t>
            </w:r>
          </w:p>
        </w:tc>
      </w:tr>
      <w:tr>
        <w:tc>
          <w:tcPr>
            <w:tcW w:type="dxa" w:w="1511"/>
            <w:vAlign w:val="center"/>
            <w:tcMar>
              <w:top w:w="80" w:type="dxa"/>
              <w:start w:w="120" w:type="dxa"/>
              <w:bottom w:w="80" w:type="dxa"/>
              <w:end w:w="120" w:type="dxa"/>
            </w:tcMar>
          </w:tcPr>
          <w:p>
            <w:pPr>
              <w:spacing w:before="0" w:after="0" w:line="259" w:lineRule="auto"/>
            </w:pPr>
            <w:r>
              <w:rPr>
                <w:rFonts w:ascii="Calibri" w:hAnsi="Calibri" w:eastAsia="Microsoft YaHei"/>
                <w:sz w:val="18"/>
              </w:rPr>
              <w:t>B</w:t>
            </w:r>
          </w:p>
        </w:tc>
        <w:tc>
          <w:tcPr>
            <w:tcW w:type="dxa" w:w="264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512×512</w:t>
            </w:r>
          </w:p>
        </w:tc>
        <w:tc>
          <w:tcPr>
            <w:tcW w:type="dxa" w:w="19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w:t>
            </w:r>
          </w:p>
        </w:tc>
        <w:tc>
          <w:tcPr>
            <w:tcW w:type="dxa" w:w="207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w:t>
            </w:r>
          </w:p>
        </w:tc>
        <w:tc>
          <w:tcPr>
            <w:tcW w:type="dxa" w:w="11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7.5</w:t>
            </w:r>
          </w:p>
        </w:tc>
      </w:tr>
      <w:tr>
        <w:tc>
          <w:tcPr>
            <w:tcW w:type="dxa" w:w="1511"/>
            <w:vAlign w:val="center"/>
            <w:tcMar>
              <w:top w:w="80" w:type="dxa"/>
              <w:start w:w="120" w:type="dxa"/>
              <w:bottom w:w="80" w:type="dxa"/>
              <w:end w:w="120" w:type="dxa"/>
            </w:tcMar>
          </w:tcPr>
          <w:p>
            <w:pPr>
              <w:spacing w:before="0" w:after="0" w:line="259" w:lineRule="auto"/>
            </w:pPr>
            <w:r>
              <w:rPr>
                <w:rFonts w:ascii="Calibri" w:hAnsi="Calibri" w:eastAsia="Microsoft YaHei"/>
                <w:sz w:val="18"/>
              </w:rPr>
              <w:t>C</w:t>
            </w:r>
          </w:p>
        </w:tc>
        <w:tc>
          <w:tcPr>
            <w:tcW w:type="dxa" w:w="264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1024×1024</w:t>
            </w:r>
          </w:p>
        </w:tc>
        <w:tc>
          <w:tcPr>
            <w:tcW w:type="dxa" w:w="19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60</w:t>
            </w:r>
          </w:p>
        </w:tc>
        <w:tc>
          <w:tcPr>
            <w:tcW w:type="dxa" w:w="207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w:t>
            </w:r>
          </w:p>
        </w:tc>
        <w:tc>
          <w:tcPr>
            <w:tcW w:type="dxa" w:w="11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7.5</w:t>
            </w:r>
          </w:p>
        </w:tc>
      </w:tr>
    </w:tbl>
    <w:p>
      <w:pPr>
        <w:spacing w:after="40"/>
      </w:pPr>
    </w:p>
    <w:p>
      <w:pPr/>
      <w:r>
        <w:rPr>
          <w:b/>
        </w:rPr>
        <w:t>Scheduler decision</w:t>
      </w:r>
      <w:r>
        <w:t>: A and B share the same resolution and CFG, so they can be merged; C has a different resolution and must be executed separately or wait for a same-resolution request.</w:t>
      </w:r>
    </w:p>
    <w:p>
      <w:pPr/>
      <w:r>
        <w:rPr>
          <w:b/>
        </w:rPr>
        <w:t>InputBatch construction (A + B)</w:t>
      </w:r>
      <w:r>
        <w:t>: T_max = 48; B's text is padded with 16 zero vectors; latent shapes are identical, requiring no additional processing; the timestep vector is [t_A^(3), t_B^(1)], each corresponding to the noise schedule value of its respective denoising stage.</w:t>
      </w:r>
    </w:p>
    <w:p>
      <w:pPr/>
      <w:r>
        <w:t>After one GPU step, A advances to step 4 and B to step 2. If A's total step count is 4, A is marked as finished and its Future resolves immediately, returning the result—the return order is independent of the arrival order.</w:t>
      </w:r>
    </w:p>
    <w:p>
      <w:pPr>
        <w:pStyle w:val="Heading2"/>
      </w:pPr>
      <w:r>
        <w:t>Boundary Conditions and Current Limitations</w:t>
      </w:r>
    </w:p>
    <w:p>
      <w:pPr>
        <w:spacing w:after="80" w:line="290" w:lineRule="auto"/>
        <w:numPr>
          <w:ilvl w:val="0"/>
          <w:numId w:val="17"/>
        </w:numPr>
      </w:pPr>
      <w:r>
        <w:rPr>
          <w:b/>
        </w:rPr>
        <w:t>Same-shape constraint</w:t>
      </w:r>
      <w:r>
        <w:t>: Requests with different resolutions cannot be merged. In real-world workloads users often request varying target sizes, which significantly limits the effective batch size.</w:t>
      </w:r>
    </w:p>
    <w:p>
      <w:pPr>
        <w:spacing w:after="80" w:line="290" w:lineRule="auto"/>
        <w:numPr>
          <w:ilvl w:val="0"/>
          <w:numId w:val="17"/>
        </w:numPr>
      </w:pPr>
      <w:r>
        <w:rPr>
          <w:b/>
        </w:rPr>
        <w:t>CFG consistency requirement</w:t>
      </w:r>
      <w:r>
        <w:t>: Requests with different guidance scales also cannot be merged, further shrinking the pool of batchable requests.</w:t>
      </w:r>
    </w:p>
    <w:p>
      <w:pPr/>
      <w:r>
        <w:rPr>
          <w:b/>
        </w:rPr>
        <w:t>Summary</w:t>
      </w:r>
      <w:r>
        <w:t>: The CPU scheduling overhead of batching is negligible in the current implementation. The real factor constraining dynamic batching effectiveness is shape and configuration heterogeneity across requests. When requests with multiple resolutions coexist, can they be placed into the same batch?</w:t>
      </w:r>
    </w:p>
    <w:p>
      <w:pPr>
        <w:pStyle w:val="Heading1"/>
      </w:pPr>
      <w:r>
        <w:t>4 Batching Strategy for Heterogeneous Resolutions</w:t>
      </w:r>
    </w:p>
    <w:p>
      <w:pPr/>
      <w:r>
        <w:rPr>
          <w:b/>
        </w:rPr>
        <w:t>Core question of this section:</w:t>
      </w:r>
      <w:r>
        <w:t xml:space="preserve"> When concurrently arriving requests have different resolutions—e.g., 1024×1024, 768×768, and 512×1024—and tensor shapes cannot be aligned, can they still be placed into the same batch for parallel execution?</w:t>
      </w:r>
    </w:p>
    <w:p>
      <w:pPr>
        <w:pStyle w:val="Heading2"/>
      </w:pPr>
      <w:r>
        <w:t>From Homogeneous to Heterogeneous: A New Engineering Contradiction</w:t>
      </w:r>
    </w:p>
    <w:p>
      <w:pPr/>
      <w:r>
        <w:t xml:space="preserve">In the homogeneous case all latents share the same spatial dimensions and can be directly concatenated along the batch dimension. Once resolutions differ, the core contradiction becomes: </w:t>
      </w:r>
      <w:r>
        <w:rPr>
          <w:b/>
        </w:rPr>
        <w:t xml:space="preserve">latent tensors have unequal lengths in the spatial dimension and cannot form a regular </w:t>
      </w:r>
      <w:r>
        <w:rPr>
          <w:rFonts w:ascii="Consolas" w:hAnsi="Consolas" w:eastAsia="Microsoft YaHei"/>
          <w:b/>
          <w:color w:val="1F4D78"/>
          <w:sz w:val="19"/>
          <w:shd w:fill="EEF2F6"/>
        </w:rPr>
        <w:t>[B, S, H]</w:t>
      </w:r>
      <w:r>
        <w:rPr>
          <w:b/>
        </w:rPr>
        <w:t xml:space="preserve"> tensor</w:t>
      </w:r>
      <w:r>
        <w:t>. Naïve padding alignment wastes massive compute and memory, while serial execution leads to low GPU utilization.</w:t>
      </w:r>
    </w:p>
    <w:p>
      <w:pPr>
        <w:pStyle w:val="Heading2"/>
      </w:pPr>
      <w:r>
        <w:t>Equal-Length Chunk Splitting and Reassembly</w:t>
      </w:r>
    </w:p>
    <w:p>
      <w:pPr/>
      <w:r>
        <w:t xml:space="preserve">The key idea: </w:t>
      </w:r>
      <w:r>
        <w:rPr>
          <w:b/>
        </w:rPr>
        <w:t>rather than concatenating at the original resolution, first split each request's image latent into equal-length chunks, then batch all chunks together for execution.</w:t>
      </w:r>
    </w:p>
    <w:p>
      <w:pPr>
        <w:spacing w:after="80" w:line="290" w:lineRule="auto"/>
        <w:numPr>
          <w:ilvl w:val="0"/>
          <w:numId w:val="18"/>
        </w:numPr>
      </w:pPr>
      <w:r>
        <w:rPr>
          <w:b/>
        </w:rPr>
        <w:t>Compute the splitting granularity</w:t>
      </w:r>
      <w:r>
        <w:t>—Take the greatest common divisor (GCD) of the image heights and widths across all requests to determine the chunk spatial size. For example, given three requests with resolutions 1024×1024, 768×768, and 512×1024, the GCD yields 256×256 chunks.</w:t>
      </w:r>
    </w:p>
    <w:p>
      <w:pPr>
        <w:spacing w:after="80" w:line="290" w:lineRule="auto"/>
        <w:numPr>
          <w:ilvl w:val="0"/>
          <w:numId w:val="18"/>
        </w:numPr>
      </w:pPr>
      <w:r>
        <w:rPr>
          <w:b/>
        </w:rPr>
        <w:t>Split</w:t>
      </w:r>
      <w:r>
        <w:t>—Each request's latent is divided by chunk size. A 1024×1024 latent produces 16 chunks; a 768×768 latent produces 9.</w:t>
      </w:r>
    </w:p>
    <w:p>
      <w:pPr>
        <w:spacing w:after="80" w:line="290" w:lineRule="auto"/>
        <w:numPr>
          <w:ilvl w:val="0"/>
          <w:numId w:val="18"/>
        </w:numPr>
      </w:pPr>
      <w:r>
        <w:rPr>
          <w:b/>
        </w:rPr>
        <w:t>Concatenate</w:t>
      </w:r>
      <w:r>
        <w:t>—All chunks are treated as independent "small image" token sequences and concatenated along the batch dimension into one large tensor, then fed uniformly into the DiT block.</w:t>
      </w:r>
    </w:p>
    <w:p>
      <w:pPr>
        <w:spacing w:after="80" w:line="290" w:lineRule="auto"/>
        <w:numPr>
          <w:ilvl w:val="0"/>
          <w:numId w:val="18"/>
        </w:numPr>
      </w:pPr>
      <w:r>
        <w:rPr>
          <w:b/>
        </w:rPr>
        <w:t>Reassemble</w:t>
      </w:r>
      <w:r>
        <w:t>—After denoising, chunks belonging to the same request are reassembled at their original positions to recover the complete image.</w:t>
      </w:r>
    </w:p>
    <w:p>
      <w:pPr>
        <w:pStyle w:val="Heading2"/>
      </w:pPr>
      <w:r>
        <w:t>Why Only Self-Attention Requires Special Treatment</w:t>
      </w:r>
    </w:p>
    <w:p>
      <w:pPr/>
      <w:r>
        <w:t>Operators inside a DiT block can be classified by whether they require cross-chunk context:</w:t>
      </w:r>
    </w:p>
    <w:p>
      <w:pPr>
        <w:spacing w:after="80" w:line="290" w:lineRule="auto"/>
        <w:numPr>
          <w:ilvl w:val="0"/>
          <w:numId w:val="10"/>
        </w:numPr>
      </w:pPr>
      <w:r>
        <w:rPr>
          <w:b/>
        </w:rPr>
        <w:t>No cross-chunk dependency</w:t>
      </w:r>
      <w:r>
        <w:t>: Linear layers, LayerNorm / RMSNorm, element-wise operations—they operate independently on each token, so splitting does not affect the result.</w:t>
      </w:r>
    </w:p>
    <w:p>
      <w:pPr>
        <w:spacing w:after="80" w:line="290" w:lineRule="auto"/>
        <w:numPr>
          <w:ilvl w:val="0"/>
          <w:numId w:val="10"/>
        </w:numPr>
      </w:pPr>
      <w:r>
        <w:rPr>
          <w:b/>
        </w:rPr>
        <w:t>Cross-chunk dependency</w:t>
      </w:r>
      <w:r>
        <w:t xml:space="preserve">: </w:t>
      </w:r>
      <w:r>
        <w:rPr>
          <w:b/>
        </w:rPr>
        <w:t>Self-attention is the sole exception.</w:t>
      </w:r>
      <w:r>
        <w:t xml:space="preserve"> Its Q, K, V interactions span all spatial positions within the same image; performing attention only within a chunk is equivalent to imposing a local window, which causes accuracy loss.</w:t>
      </w:r>
    </w:p>
    <w:p>
      <w:pPr/>
      <w:r>
        <w:t>Therefore, after batching only the self-attention step requires special treatment; all other operators execute directly at chunk-granularity in the large batch.</w:t>
      </w:r>
    </w:p>
    <w:p>
      <w:pPr>
        <w:pStyle w:val="Heading2"/>
      </w:pPr>
      <w:r>
        <w:t>Two Approaches for Self-Attention</w:t>
      </w:r>
    </w:p>
    <w:p>
      <w:pPr/>
      <w:r>
        <w:rPr>
          <w:b/>
        </w:rPr>
        <w:t>Approach 1: Recover before attention, scatter after attention (Recover-Scatter).</w:t>
      </w:r>
      <w:r>
        <w:t xml:space="preserve"> Before entering self-attention, all chunks belonging to the same request are reassembled to the original resolution shape; requests sharing the same resolution can be grouped into a small batch for joint computation; after completion, the result is split back into chunk form to continue through subsequent layers.</w:t>
      </w:r>
    </w:p>
    <w:p>
      <w:pPr/>
      <w:r>
        <w:rPr>
          <w:b/>
        </w:rPr>
        <w:t>Approach 2: Varlen Attention Mask.</w:t>
      </w:r>
      <w:r>
        <w:t xml:space="preserve"> </w:t>
      </w:r>
      <w:r>
        <w:rPr>
          <w:b/>
        </w:rPr>
        <w:t>Varlen attention</w:t>
      </w:r>
      <w:r>
        <w:t xml:space="preserve"> (Variable-Length Attention) allows specifying precisely which K/V tokens each Q token should interact with via a variance mask, eliminating the need for physical recover/scatter operations and reducing data movement overhead. The speaker noted that this functionality was not yet available during their early work and represents a newer optimization path.</w:t>
      </w:r>
    </w:p>
    <w:p>
      <w:pPr>
        <w:pStyle w:val="Heading2"/>
      </w:pPr>
      <w:r>
        <w:t>Where the Gains Come From</w:t>
      </w:r>
    </w:p>
    <w:p>
      <w:pPr/>
      <w:r>
        <w:t xml:space="preserve">The batching gains </w:t>
      </w:r>
      <w:r>
        <w:rPr>
          <w:b/>
        </w:rPr>
        <w:t>come primarily from all operators other than attention</w:t>
      </w:r>
      <w:r>
        <w:t>. Linear, Norm, and element-wise operations form larger batches at chunk granularity, allowing GPU compute units to be utilized more fully. The attention stage maintains accuracy through the two approaches described above—it introduces no additional gains but also no losses.</w:t>
      </w:r>
    </w:p>
    <w:p>
      <w:pPr>
        <w:pStyle w:val="Heading2"/>
      </w:pPr>
      <w:r>
        <w:t>Boundary Conditions</w:t>
      </w:r>
    </w:p>
    <w:p>
      <w:pPr>
        <w:spacing w:after="80" w:line="290" w:lineRule="auto"/>
        <w:numPr>
          <w:ilvl w:val="0"/>
          <w:numId w:val="10"/>
        </w:numPr>
      </w:pPr>
      <w:r>
        <w:rPr>
          <w:b/>
        </w:rPr>
        <w:t>When the GCD is very small</w:t>
      </w:r>
      <w:r>
        <w:t>: Extreme resolution differences cause the chunk count to explode and the attention recovery overhead to grow, potentially negating the gains.</w:t>
      </w:r>
    </w:p>
    <w:p>
      <w:pPr>
        <w:spacing w:after="80" w:line="290" w:lineRule="auto"/>
        <w:numPr>
          <w:ilvl w:val="0"/>
          <w:numId w:val="10"/>
        </w:numPr>
      </w:pPr>
      <w:r>
        <w:rPr>
          <w:b/>
        </w:rPr>
        <w:t>VAE decode remains serial</w:t>
      </w:r>
      <w:r>
        <w:t>: VAE decode is a memory-bound operation with limited batching gains; it is currently executed serially.</w:t>
      </w:r>
    </w:p>
    <w:p>
      <w:pPr/>
      <w:r>
        <w:rPr>
          <w:b/>
        </w:rPr>
        <w:t>Summary</w:t>
      </w:r>
      <w:r>
        <w:t>: Through GCD-driven equal-length chunk splitting, requests with heterogeneous resolutions can share batch execution across all operators except self-attention, improving GPU utilization with no accuracy loss. With the mechanism design complete, the next step is to verify the real-world gains at different resolutions through measured data.</w:t>
      </w:r>
    </w:p>
    <w:p>
      <w:pPr>
        <w:pStyle w:val="Heading1"/>
      </w:pPr>
      <w:r>
        <w:t>5 Performance and Bottlenecks: Where Are the Batching Gain Boundaries?</w:t>
      </w:r>
    </w:p>
    <w:p>
      <w:pPr/>
      <w:r>
        <w:rPr>
          <w:b/>
        </w:rPr>
        <w:t>Core question of this section:</w:t>
      </w:r>
      <w:r>
        <w:t xml:space="preserve"> After enabling batching, do throughput and latency improve significantly at all resolutions?</w:t>
      </w:r>
    </w:p>
    <w:p>
      <w:pPr/>
      <w:r>
        <w:t>The answer is no. The magnitude of the gains depends on how saturated the GPU compute is when generating a single image: the larger the shape and the fuller the compute, the less headroom batching can unlock. All data below are based on measurements of the Qwen-Image model on a single Ascend A3 card.</w:t>
      </w:r>
    </w:p>
    <w:p>
      <w:pPr>
        <w:pStyle w:val="Heading2"/>
      </w:pPr>
      <w:r>
        <w:t>1024×1024: Compute Already Saturated, Near-Zero Gains</w:t>
      </w:r>
    </w:p>
    <w:p>
      <w:pPr/>
      <w:r>
        <w:t xml:space="preserve">At 1024×1024 resolution, throughput without batching holds at approximately </w:t>
      </w:r>
      <w:r>
        <w:rPr>
          <w:b/>
        </w:rPr>
        <w:t>0.0127 req/s</w:t>
      </w:r>
      <w:r>
        <w:t xml:space="preserve">. With batching enabled it edges up to </w:t>
      </w:r>
      <w:r>
        <w:rPr>
          <w:b/>
        </w:rPr>
        <w:t>0.0131 req/s</w:t>
      </w:r>
      <w:r>
        <w:t>—a lift of less than 4%, essentially within measurement error.</w:t>
      </w:r>
    </w:p>
    <w:tbl>
      <w:tblPr>
        <w:tblStyle w:val="TableGrid"/>
        <w:tblW w:type="dxa" w:w="9360"/>
        <w:jc w:val="left"/>
        <w:tblLayout w:type="fixed"/>
        <w:tblLook w:firstColumn="1" w:firstRow="1" w:lastColumn="0" w:lastRow="0" w:noHBand="0" w:noVBand="1" w:val="04A0"/>
        <w:tblInd w:w="120" w:type="dxa"/>
      </w:tblPr>
      <w:tblGrid>
        <w:gridCol w:w="2267"/>
        <w:gridCol w:w="2034"/>
        <w:gridCol w:w="3551"/>
        <w:gridCol w:w="1508"/>
      </w:tblGrid>
      <w:tr>
        <w:trPr>
          <w:tblHeader w:val="true"/>
        </w:trPr>
        <w:tc>
          <w:tcPr>
            <w:tcW w:type="dxa" w:w="226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Metric</w:t>
            </w:r>
          </w:p>
        </w:tc>
        <w:tc>
          <w:tcPr>
            <w:tcW w:type="dxa" w:w="203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Without batching</w:t>
            </w:r>
          </w:p>
        </w:tc>
        <w:tc>
          <w:tcPr>
            <w:tcW w:type="dxa" w:w="355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With batching</w:t>
            </w:r>
          </w:p>
        </w:tc>
        <w:tc>
          <w:tcPr>
            <w:tcW w:type="dxa" w:w="150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Change</w:t>
            </w:r>
          </w:p>
        </w:tc>
      </w:tr>
      <w:tr>
        <w:tc>
          <w:tcPr>
            <w:tcW w:type="dxa" w:w="2267"/>
            <w:vAlign w:val="center"/>
            <w:tcMar>
              <w:top w:w="80" w:type="dxa"/>
              <w:start w:w="120" w:type="dxa"/>
              <w:bottom w:w="80" w:type="dxa"/>
              <w:end w:w="120" w:type="dxa"/>
            </w:tcMar>
          </w:tcPr>
          <w:p>
            <w:pPr>
              <w:spacing w:before="0" w:after="0" w:line="259" w:lineRule="auto"/>
            </w:pPr>
            <w:r>
              <w:rPr>
                <w:rFonts w:ascii="Calibri" w:hAnsi="Calibri" w:eastAsia="Microsoft YaHei"/>
                <w:sz w:val="18"/>
              </w:rPr>
              <w:t>Throughput (req/s)</w:t>
            </w:r>
          </w:p>
        </w:tc>
        <w:tc>
          <w:tcPr>
            <w:tcW w:type="dxa" w:w="203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0.0127</w:t>
            </w:r>
          </w:p>
        </w:tc>
        <w:tc>
          <w:tcPr>
            <w:tcW w:type="dxa" w:w="35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0.0131</w:t>
            </w:r>
          </w:p>
        </w:tc>
        <w:tc>
          <w:tcPr>
            <w:tcW w:type="dxa" w:w="150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+3%</w:t>
            </w:r>
          </w:p>
        </w:tc>
      </w:tr>
      <w:tr>
        <w:tc>
          <w:tcPr>
            <w:tcW w:type="dxa" w:w="2267"/>
            <w:vAlign w:val="center"/>
            <w:tcMar>
              <w:top w:w="80" w:type="dxa"/>
              <w:start w:w="120" w:type="dxa"/>
              <w:bottom w:w="80" w:type="dxa"/>
              <w:end w:w="120" w:type="dxa"/>
            </w:tcMar>
          </w:tcPr>
          <w:p>
            <w:pPr>
              <w:spacing w:before="0" w:after="0" w:line="259" w:lineRule="auto"/>
            </w:pPr>
            <w:r>
              <w:rPr>
                <w:rFonts w:ascii="Calibri" w:hAnsi="Calibri" w:eastAsia="Microsoft YaHei"/>
                <w:sz w:val="18"/>
              </w:rPr>
              <w:t>Latency growth trend</w:t>
            </w:r>
          </w:p>
        </w:tc>
        <w:tc>
          <w:tcPr>
            <w:tcW w:type="dxa" w:w="203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Linear</w:t>
            </w:r>
          </w:p>
        </w:tc>
        <w:tc>
          <w:tcPr>
            <w:tcW w:type="dxa" w:w="3551"/>
            <w:vAlign w:val="center"/>
            <w:tcMar>
              <w:top w:w="80" w:type="dxa"/>
              <w:start w:w="120" w:type="dxa"/>
              <w:bottom w:w="80" w:type="dxa"/>
              <w:end w:w="120" w:type="dxa"/>
            </w:tcMar>
          </w:tcPr>
          <w:p>
            <w:pPr>
              <w:spacing w:before="0" w:after="0" w:line="259" w:lineRule="auto"/>
            </w:pPr>
            <w:r>
              <w:rPr>
                <w:rFonts w:ascii="Calibri" w:hAnsi="Calibri" w:eastAsia="Microsoft YaHei"/>
                <w:sz w:val="18"/>
              </w:rPr>
              <w:t>Approximately linear (slightly lower slope)</w:t>
            </w:r>
          </w:p>
        </w:tc>
        <w:tc>
          <w:tcPr>
            <w:tcW w:type="dxa" w:w="150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Minimal</w:t>
            </w:r>
          </w:p>
        </w:tc>
      </w:tr>
    </w:tbl>
    <w:p>
      <w:pPr>
        <w:spacing w:after="40"/>
      </w:pPr>
    </w:p>
    <w:p>
      <w:pPr/>
      <w:r>
        <w:t>The reason is intuitive: at 1024×1024 the matrix computation per step is sufficient to "saturate" the compute units; the bottleneck is compute capacity itself (compute bound) rather than scheduling gaps.</w:t>
      </w:r>
    </w:p>
    <w:p>
      <w:pPr>
        <w:pStyle w:val="Heading2"/>
      </w:pPr>
      <w:r>
        <w:t>512×512: Small Shapes Unlock Significant Dividends</w:t>
      </w:r>
    </w:p>
    <w:p>
      <w:pPr/>
      <w:r>
        <w:t>When the resolution drops to 512×512, the situation changes qualitatively. At Batch Size = 8:</w:t>
      </w:r>
    </w:p>
    <w:tbl>
      <w:tblPr>
        <w:tblStyle w:val="TableGrid"/>
        <w:tblW w:type="dxa" w:w="9360"/>
        <w:jc w:val="left"/>
        <w:tblLayout w:type="fixed"/>
        <w:tblLook w:firstColumn="1" w:firstRow="1" w:lastColumn="0" w:lastRow="0" w:noHBand="0" w:noVBand="1" w:val="04A0"/>
        <w:tblInd w:w="120" w:type="dxa"/>
      </w:tblPr>
      <w:tblGrid>
        <w:gridCol w:w="2588"/>
        <w:gridCol w:w="2423"/>
        <w:gridCol w:w="2753"/>
        <w:gridCol w:w="1596"/>
      </w:tblGrid>
      <w:tr>
        <w:trPr>
          <w:tblHeader w:val="true"/>
        </w:trPr>
        <w:tc>
          <w:tcPr>
            <w:tcW w:type="dxa" w:w="258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Metric</w:t>
            </w:r>
          </w:p>
        </w:tc>
        <w:tc>
          <w:tcPr>
            <w:tcW w:type="dxa" w:w="242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Without batching</w:t>
            </w:r>
          </w:p>
        </w:tc>
        <w:tc>
          <w:tcPr>
            <w:tcW w:type="dxa" w:w="275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With batching (BS=8)</w:t>
            </w:r>
          </w:p>
        </w:tc>
        <w:tc>
          <w:tcPr>
            <w:tcW w:type="dxa" w:w="159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Change</w:t>
            </w:r>
          </w:p>
        </w:tc>
      </w:tr>
      <w:tr>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Throughput (req/s)</w:t>
            </w:r>
          </w:p>
        </w:tc>
        <w:tc>
          <w:tcPr>
            <w:tcW w:type="dxa" w:w="242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0.1115</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0.20</w:t>
            </w:r>
          </w:p>
        </w:tc>
        <w:tc>
          <w:tcPr>
            <w:tcW w:type="dxa" w:w="159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+45%</w:t>
            </w:r>
          </w:p>
        </w:tc>
      </w:tr>
      <w:tr>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E2E latency (s)</w:t>
            </w:r>
          </w:p>
        </w:tc>
        <w:tc>
          <w:tcPr>
            <w:tcW w:type="dxa" w:w="242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72</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38</w:t>
            </w:r>
          </w:p>
        </w:tc>
        <w:tc>
          <w:tcPr>
            <w:tcW w:type="dxa" w:w="159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−33 s</w:t>
            </w:r>
          </w:p>
        </w:tc>
      </w:tr>
    </w:tbl>
    <w:p>
      <w:pPr>
        <w:spacing w:after="40"/>
      </w:pPr>
    </w:p>
    <w:p>
      <w:pPr/>
      <w:r>
        <w:t>At small shapes the per-image per-step computation is insufficient to fill the hardware, leaving large numbers of idle cycles. Batching concatenates the latents of multiple requests and sends them through in a single pass, filling exactly those idle cycles.</w:t>
      </w:r>
    </w:p>
    <w:p>
      <w:pPr>
        <w:pStyle w:val="Heading2"/>
      </w:pPr>
      <w:r>
        <w:t>Gain Decomposition: Where Do 11 of Those 33 Seconds Come From?</w:t>
      </w:r>
    </w:p>
    <w:p>
      <w:pPr/>
      <w:r>
        <w:t>By profiling the top-3 time-consuming operators (</w:t>
      </w:r>
      <w:r>
        <w:rPr>
          <w:rFonts w:ascii="Consolas" w:hAnsi="Consolas" w:eastAsia="Microsoft YaHei"/>
          <w:color w:val="1F4D78"/>
          <w:sz w:val="19"/>
          <w:shd w:fill="EEF2F6"/>
        </w:rPr>
        <w:t>aclnnAddmm</w:t>
      </w:r>
      <w:r>
        <w:t xml:space="preserve">, </w:t>
      </w:r>
      <w:r>
        <w:rPr>
          <w:rFonts w:ascii="Consolas" w:hAnsi="Consolas" w:eastAsia="Microsoft YaHei"/>
          <w:color w:val="1F4D78"/>
          <w:sz w:val="19"/>
          <w:shd w:fill="EEF2F6"/>
        </w:rPr>
        <w:t>aclnnMul</w:t>
      </w:r>
      <w:r>
        <w:t xml:space="preserve">, </w:t>
      </w:r>
      <w:r>
        <w:rPr>
          <w:rFonts w:ascii="Consolas" w:hAnsi="Consolas" w:eastAsia="Microsoft YaHei"/>
          <w:color w:val="1F4D78"/>
          <w:sz w:val="19"/>
          <w:shd w:fill="EEF2F6"/>
        </w:rPr>
        <w:t>aclnnFA</w:t>
      </w:r>
      <w:r>
        <w:t>), the gains can be decomposed into two components:</w:t>
      </w:r>
    </w:p>
    <w:p>
      <w:pPr>
        <w:spacing w:after="80" w:line="290" w:lineRule="auto"/>
        <w:numPr>
          <w:ilvl w:val="0"/>
          <w:numId w:val="19"/>
        </w:numPr>
      </w:pPr>
      <w:r>
        <w:rPr>
          <w:b/>
        </w:rPr>
        <w:t>Amortization of operator dispatch overhead</w:t>
      </w:r>
      <w:r>
        <w:t xml:space="preserve">: Without batching, each image's every step requires the CPU to independently dispatch a full suite of operator calls to the accelerator. With batching, multiple requests share the same dispatch round, keeping the call count on par with a single request. This alone saves </w:t>
      </w:r>
      <w:r>
        <w:rPr>
          <w:b/>
        </w:rPr>
        <w:t>11 seconds</w:t>
      </w:r>
      <w:r>
        <w:t xml:space="preserve">, accounting for </w:t>
      </w:r>
      <w:r>
        <w:rPr>
          <w:b/>
        </w:rPr>
        <w:t>34%</w:t>
      </w:r>
      <w:r>
        <w:t xml:space="preserve"> of the total gain.</w:t>
      </w:r>
    </w:p>
    <w:p>
      <w:pPr>
        <w:spacing w:after="80" w:line="290" w:lineRule="auto"/>
        <w:numPr>
          <w:ilvl w:val="0"/>
          <w:numId w:val="19"/>
        </w:numPr>
      </w:pPr>
      <w:r>
        <w:rPr>
          <w:b/>
        </w:rPr>
        <w:t>Improved compute utilization</w:t>
      </w:r>
      <w:r>
        <w:t>: The remaining ~22 seconds (66%) come from fuller utilization of hardware compute units.</w:t>
      </w:r>
    </w:p>
    <w:p>
      <w:pPr/>
      <w:r>
        <w:t>The figure below contains three sub-charts corresponding to latency &amp; throughput, operator dispatch time, and NPU utilization:</w:t>
      </w:r>
    </w:p>
    <w:p>
      <w:pPr>
        <w:keepNext/>
        <w:keepLines/>
        <w:spacing w:before="120" w:after="0"/>
        <w:jc w:val="center"/>
      </w:pPr>
      <w:r>
        <w:drawing>
          <wp:inline xmlns:a="http://schemas.openxmlformats.org/drawingml/2006/main" xmlns:pic="http://schemas.openxmlformats.org/drawingml/2006/picture">
            <wp:extent cx="5943600" cy="3343275"/>
            <wp:docPr id="4" name="Picture 4" descr="Performance analysis of Qwen-Image on a single Ascend A3 card at 512×512: latency &amp; throughput, operator dispatch time, and NPU utilization comparisons" title="Performance analysis of Qwen-Image on a single Ascend A3 card at 512×512: latency &amp; throughput, operator dispatch time, "/>
            <wp:cNvGraphicFramePr>
              <a:graphicFrameLocks noChangeAspect="1"/>
            </wp:cNvGraphicFramePr>
            <a:graphic>
              <a:graphicData uri="http://schemas.openxmlformats.org/drawingml/2006/picture">
                <pic:pic>
                  <pic:nvPicPr>
                    <pic:cNvPr id="0" name="slide-09.png"/>
                    <pic:cNvPicPr/>
                  </pic:nvPicPr>
                  <pic:blipFill>
                    <a:blip r:embed="rId16"/>
                    <a:stretch>
                      <a:fillRect/>
                    </a:stretch>
                  </pic:blipFill>
                  <pic:spPr>
                    <a:xfrm>
                      <a:off x="0" y="0"/>
                      <a:ext cx="5943600" cy="3343275"/>
                    </a:xfrm>
                    <a:prstGeom prst="rect"/>
                  </pic:spPr>
                </pic:pic>
              </a:graphicData>
            </a:graphic>
          </wp:inline>
        </w:drawing>
      </w:r>
    </w:p>
    <w:p>
      <w:pPr/>
      <w:r>
        <w:rPr>
          <w:i/>
        </w:rPr>
        <w:t>Caption: Left chart shows E2E latency and throughput with and without batching at different concurrency levels; center chart shows how top-3 operator dispatch times change with concurrency; right chart shows NPU compute utilization as a bar graph. Source: presentation slide 9.</w:t>
      </w:r>
    </w:p>
    <w:p>
      <w:pPr/>
      <w:r>
        <w:t>Key signals in the figure:</w:t>
      </w:r>
    </w:p>
    <w:p>
      <w:pPr>
        <w:spacing w:after="80" w:line="290" w:lineRule="auto"/>
        <w:numPr>
          <w:ilvl w:val="0"/>
          <w:numId w:val="10"/>
        </w:numPr>
      </w:pPr>
      <w:r>
        <w:rPr>
          <w:b/>
        </w:rPr>
        <w:t>Left chart</w:t>
      </w:r>
      <w:r>
        <w:t>: Without batching the latency curve rises strictly linearly with flat throughput; with batching the latency slope is noticeably lower and the throughput curve steadily climbs.</w:t>
      </w:r>
    </w:p>
    <w:p>
      <w:pPr>
        <w:spacing w:after="80" w:line="290" w:lineRule="auto"/>
        <w:numPr>
          <w:ilvl w:val="0"/>
          <w:numId w:val="10"/>
        </w:numPr>
      </w:pPr>
      <w:r>
        <w:rPr>
          <w:b/>
        </w:rPr>
        <w:t>Center chart</w:t>
      </w:r>
      <w:r>
        <w:t>: Without batching, dispatch time scales linearly with concurrency; with batching it stays nearly flat—confirming that operator call counts do not increase with batch size.</w:t>
      </w:r>
    </w:p>
    <w:p>
      <w:pPr>
        <w:spacing w:after="80" w:line="290" w:lineRule="auto"/>
        <w:numPr>
          <w:ilvl w:val="0"/>
          <w:numId w:val="10"/>
        </w:numPr>
      </w:pPr>
      <w:r>
        <w:rPr>
          <w:b/>
        </w:rPr>
        <w:t>Right chart</w:t>
      </w:r>
      <w:r>
        <w:t xml:space="preserve">: </w:t>
      </w:r>
      <w:r>
        <w:rPr>
          <w:rFonts w:ascii="Consolas" w:hAnsi="Consolas" w:eastAsia="Microsoft YaHei"/>
          <w:color w:val="1F4D78"/>
          <w:sz w:val="19"/>
          <w:shd w:fill="EEF2F6"/>
        </w:rPr>
        <w:t>aclnnAddmm</w:t>
      </w:r>
      <w:r>
        <w:t xml:space="preserve"> and </w:t>
      </w:r>
      <w:r>
        <w:rPr>
          <w:rFonts w:ascii="Consolas" w:hAnsi="Consolas" w:eastAsia="Microsoft YaHei"/>
          <w:color w:val="1F4D78"/>
          <w:sz w:val="19"/>
          <w:shd w:fill="EEF2F6"/>
        </w:rPr>
        <w:t>aclnnMul</w:t>
      </w:r>
      <w:r>
        <w:t xml:space="preserve"> show significant utilization gains under batching as concurrency rises, but </w:t>
      </w:r>
      <w:r>
        <w:rPr>
          <w:rFonts w:ascii="Consolas" w:hAnsi="Consolas" w:eastAsia="Microsoft YaHei"/>
          <w:color w:val="1F4D78"/>
          <w:sz w:val="19"/>
          <w:shd w:fill="EEF2F6"/>
        </w:rPr>
        <w:t>aclnnFA</w:t>
      </w:r>
      <w:r>
        <w:t xml:space="preserve"> (the FlashAttention operator) exhibits a slight decline at high concurrency, hinting at an additional scheduling bottleneck for attention computation on this hardware.</w:t>
      </w:r>
    </w:p>
    <w:p>
      <w:pPr>
        <w:pStyle w:val="Heading2"/>
      </w:pPr>
      <w:r>
        <w:t>The Plateau Beyond Concurrency &gt; 5</w:t>
      </w:r>
    </w:p>
    <w:p>
      <w:pPr/>
      <w:r>
        <w:t xml:space="preserve">For both the throughput curve and NPU utilization, growth flattens </w:t>
      </w:r>
      <w:r>
        <w:rPr>
          <w:b/>
        </w:rPr>
        <w:t>once concurrency exceeds 5</w:t>
      </w:r>
      <w:r>
        <w:t>. Hardware utilization approaches its ceiling; further increasing the batch size only adds memory consumption without yielding more throughput. In practice, setting the batch size to 5–8 is a reasonable operating point.</w:t>
      </w:r>
    </w:p>
    <w:p>
      <w:pPr>
        <w:pStyle w:val="Heading2"/>
      </w:pPr>
      <w:r>
        <w:t>Summary</w:t>
      </w:r>
    </w:p>
    <w:tbl>
      <w:tblPr>
        <w:tblStyle w:val="TableGrid"/>
        <w:tblW w:type="dxa" w:w="9360"/>
        <w:jc w:val="left"/>
        <w:tblLayout w:type="fixed"/>
        <w:tblLook w:firstColumn="1" w:firstRow="1" w:lastColumn="0" w:lastRow="0" w:noHBand="0" w:noVBand="1" w:val="04A0"/>
        <w:tblInd w:w="120" w:type="dxa"/>
      </w:tblPr>
      <w:tblGrid>
        <w:gridCol w:w="2988"/>
        <w:gridCol w:w="3186"/>
        <w:gridCol w:w="3186"/>
      </w:tblGrid>
      <w:tr>
        <w:trPr>
          <w:tblHeader w:val="true"/>
        </w:trPr>
        <w:tc>
          <w:tcPr>
            <w:tcW w:type="dxa" w:w="298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Condition</w:t>
            </w:r>
          </w:p>
        </w:tc>
        <w:tc>
          <w:tcPr>
            <w:tcW w:type="dxa" w:w="318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Batching gain</w:t>
            </w:r>
          </w:p>
        </w:tc>
        <w:tc>
          <w:tcPr>
            <w:tcW w:type="dxa" w:w="318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Bottleneck</w:t>
            </w:r>
          </w:p>
        </w:tc>
      </w:tr>
      <w:tr>
        <w:tc>
          <w:tcPr>
            <w:tcW w:type="dxa" w:w="2988"/>
            <w:vAlign w:val="center"/>
            <w:tcMar>
              <w:top w:w="80" w:type="dxa"/>
              <w:start w:w="120" w:type="dxa"/>
              <w:bottom w:w="80" w:type="dxa"/>
              <w:end w:w="120" w:type="dxa"/>
            </w:tcMar>
          </w:tcPr>
          <w:p>
            <w:pPr>
              <w:spacing w:before="0" w:after="0" w:line="259" w:lineRule="auto"/>
            </w:pPr>
            <w:r>
              <w:rPr>
                <w:rFonts w:ascii="Calibri" w:hAnsi="Calibri" w:eastAsia="Microsoft YaHei"/>
                <w:sz w:val="18"/>
              </w:rPr>
              <w:t>Large shape (1024×1024)</w:t>
            </w:r>
          </w:p>
        </w:tc>
        <w:tc>
          <w:tcPr>
            <w:tcW w:type="dxa" w:w="31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Minimal (&lt; 4%)</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Compute bound; capacity already saturated</w:t>
            </w:r>
          </w:p>
        </w:tc>
      </w:tr>
      <w:tr>
        <w:tc>
          <w:tcPr>
            <w:tcW w:type="dxa" w:w="2988"/>
            <w:vAlign w:val="center"/>
            <w:tcMar>
              <w:top w:w="80" w:type="dxa"/>
              <w:start w:w="120" w:type="dxa"/>
              <w:bottom w:w="80" w:type="dxa"/>
              <w:end w:w="120" w:type="dxa"/>
            </w:tcMar>
          </w:tcPr>
          <w:p>
            <w:pPr>
              <w:spacing w:before="0" w:after="0" w:line="259" w:lineRule="auto"/>
            </w:pPr>
            <w:r>
              <w:rPr>
                <w:rFonts w:ascii="Calibri" w:hAnsi="Calibri" w:eastAsia="Microsoft YaHei"/>
                <w:sz w:val="18"/>
              </w:rPr>
              <w:t>Small shape (512×512), concurrency ≤ 5</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Significant (throughput +45%, latency −33 s)</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Operator dispatch + idle compute</w:t>
            </w:r>
          </w:p>
        </w:tc>
      </w:tr>
      <w:tr>
        <w:tc>
          <w:tcPr>
            <w:tcW w:type="dxa" w:w="2988"/>
            <w:vAlign w:val="center"/>
            <w:tcMar>
              <w:top w:w="80" w:type="dxa"/>
              <w:start w:w="120" w:type="dxa"/>
              <w:bottom w:w="80" w:type="dxa"/>
              <w:end w:w="120" w:type="dxa"/>
            </w:tcMar>
          </w:tcPr>
          <w:p>
            <w:pPr>
              <w:spacing w:before="0" w:after="0" w:line="259" w:lineRule="auto"/>
            </w:pPr>
            <w:r>
              <w:rPr>
                <w:rFonts w:ascii="Calibri" w:hAnsi="Calibri" w:eastAsia="Microsoft YaHei"/>
                <w:sz w:val="18"/>
              </w:rPr>
              <w:t>Small shape, concurrency &gt; 5</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Diminishing marginal returns, entering plateau</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Hardware utilization approaching saturation</w:t>
            </w:r>
          </w:p>
        </w:tc>
      </w:tr>
    </w:tbl>
    <w:p>
      <w:pPr>
        <w:spacing w:after="40"/>
      </w:pPr>
    </w:p>
    <w:p>
      <w:pPr/>
      <w:r>
        <w:t>The gains from batching fundamentally come from "filling idle compute + amortizing dispatch overhead." When both sources of headroom are squeezed to their limits, gains hit a ceiling. The data above are based on single-card Ascend A3 tests; saturation points on different hardware platforms may differ.</w:t>
      </w:r>
    </w:p>
    <w:p>
      <w:pPr/>
      <w:r>
        <w:t>This raises a practical contradiction: batching works exceptionally well at small resolutions, but users often need high-resolution images. Is there a way to perform efficient inference on small latent shapes and still output high-resolution images?</w:t>
      </w:r>
    </w:p>
    <w:p>
      <w:pPr>
        <w:pStyle w:val="Heading1"/>
      </w:pPr>
      <w:r>
        <w:t>6 Mechanism Deep Dive: PiD Early Termination and Feature Upsampling</w:t>
      </w:r>
    </w:p>
    <w:p>
      <w:pPr/>
      <w:r>
        <w:rPr>
          <w:b/>
        </w:rPr>
        <w:t>Core question of this section:</w:t>
      </w:r>
      <w:r>
        <w:t xml:space="preserve"> Can the bulk of the denoising be performed on small latents and the result then be "scaled up" to high resolution?</w:t>
      </w:r>
    </w:p>
    <w:p>
      <w:pPr/>
      <w:r>
        <w:rPr>
          <w:b/>
        </w:rPr>
        <w:t>PiD</w:t>
      </w:r>
      <w:r>
        <w:t xml:space="preserve"> (Pixel Diffusion) is designed precisely for this purpose. It replaces the traditional VAE decode stage, allowing early termination during an intermediate denoising step and using small-resolution features to generate a high-resolution pixel image.</w:t>
      </w:r>
    </w:p>
    <w:p>
      <w:pPr>
        <w:pStyle w:val="Heading2"/>
      </w:pPr>
      <w:r>
        <w:t>From the Standard Pipeline to Early Termination</w:t>
      </w:r>
    </w:p>
    <w:p>
      <w:pPr/>
      <w:r>
        <w:t>A typical diffusion image-generation pipeline comprises three stages:</w:t>
      </w:r>
    </w:p>
    <w:tbl>
      <w:tblPr>
        <w:tblStyle w:val="TableGrid"/>
        <w:tblW w:type="dxa" w:w="9360"/>
        <w:jc w:val="left"/>
        <w:tblLayout w:type="fixed"/>
        <w:tblLook w:firstColumn="1" w:firstRow="1" w:lastColumn="0" w:lastRow="0" w:noHBand="0" w:noVBand="1" w:val="04A0"/>
        <w:tblInd w:w="120" w:type="dxa"/>
      </w:tblPr>
      <w:tblGrid>
        <w:gridCol w:w="3405"/>
        <w:gridCol w:w="2088"/>
        <w:gridCol w:w="3867"/>
      </w:tblGrid>
      <w:tr>
        <w:trPr>
          <w:tblHeader w:val="true"/>
        </w:trPr>
        <w:tc>
          <w:tcPr>
            <w:tcW w:type="dxa" w:w="340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208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Operating space</w:t>
            </w:r>
          </w:p>
        </w:tc>
        <w:tc>
          <w:tcPr>
            <w:tcW w:type="dxa" w:w="386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Purpose</w:t>
            </w:r>
          </w:p>
        </w:tc>
      </w:tr>
      <w:tr>
        <w:tc>
          <w:tcPr>
            <w:tcW w:type="dxa" w:w="3405"/>
            <w:vAlign w:val="center"/>
            <w:tcMar>
              <w:top w:w="80" w:type="dxa"/>
              <w:start w:w="120" w:type="dxa"/>
              <w:bottom w:w="80" w:type="dxa"/>
              <w:end w:w="120" w:type="dxa"/>
            </w:tcMar>
          </w:tcPr>
          <w:p>
            <w:pPr>
              <w:spacing w:before="0" w:after="0" w:line="259" w:lineRule="auto"/>
            </w:pPr>
            <w:r>
              <w:rPr>
                <w:rFonts w:ascii="Calibri" w:hAnsi="Calibri" w:eastAsia="Microsoft YaHei"/>
                <w:sz w:val="18"/>
              </w:rPr>
              <w:t>VAE encode</w:t>
            </w:r>
          </w:p>
        </w:tc>
        <w:tc>
          <w:tcPr>
            <w:tcW w:type="dxa" w:w="208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Pixels → latent</w:t>
            </w:r>
          </w:p>
        </w:tc>
        <w:tc>
          <w:tcPr>
            <w:tcW w:type="dxa" w:w="3867"/>
            <w:vAlign w:val="center"/>
            <w:tcMar>
              <w:top w:w="80" w:type="dxa"/>
              <w:start w:w="120" w:type="dxa"/>
              <w:bottom w:w="80" w:type="dxa"/>
              <w:end w:w="120" w:type="dxa"/>
            </w:tcMar>
          </w:tcPr>
          <w:p>
            <w:pPr>
              <w:spacing w:before="0" w:after="0" w:line="259" w:lineRule="auto"/>
            </w:pPr>
            <w:r>
              <w:rPr>
                <w:rFonts w:ascii="Calibri" w:hAnsi="Calibri" w:eastAsia="Microsoft YaHei"/>
                <w:sz w:val="18"/>
              </w:rPr>
              <w:t>Maps input to a low-dimensional latent space</w:t>
            </w:r>
          </w:p>
        </w:tc>
      </w:tr>
      <w:tr>
        <w:tc>
          <w:tcPr>
            <w:tcW w:type="dxa" w:w="3405"/>
            <w:vAlign w:val="center"/>
            <w:tcMar>
              <w:top w:w="80" w:type="dxa"/>
              <w:start w:w="120" w:type="dxa"/>
              <w:bottom w:w="80" w:type="dxa"/>
              <w:end w:w="120" w:type="dxa"/>
            </w:tcMar>
          </w:tcPr>
          <w:p>
            <w:pPr>
              <w:spacing w:before="0" w:after="0" w:line="259" w:lineRule="auto"/>
            </w:pPr>
            <w:r>
              <w:rPr>
                <w:rFonts w:ascii="Calibri" w:hAnsi="Calibri" w:eastAsia="Microsoft YaHei"/>
                <w:sz w:val="18"/>
              </w:rPr>
              <w:t>Multi-step denoising (step 0 … N−1)</w:t>
            </w:r>
          </w:p>
        </w:tc>
        <w:tc>
          <w:tcPr>
            <w:tcW w:type="dxa" w:w="208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Latent</w:t>
            </w:r>
          </w:p>
        </w:tc>
        <w:tc>
          <w:tcPr>
            <w:tcW w:type="dxa" w:w="3867"/>
            <w:vAlign w:val="center"/>
            <w:tcMar>
              <w:top w:w="80" w:type="dxa"/>
              <w:start w:w="120" w:type="dxa"/>
              <w:bottom w:w="80" w:type="dxa"/>
              <w:end w:w="120" w:type="dxa"/>
            </w:tcMar>
          </w:tcPr>
          <w:p>
            <w:pPr>
              <w:spacing w:before="0" w:after="0" w:line="259" w:lineRule="auto"/>
            </w:pPr>
            <w:r>
              <w:rPr>
                <w:rFonts w:ascii="Calibri" w:hAnsi="Calibri" w:eastAsia="Microsoft YaHei"/>
                <w:sz w:val="18"/>
              </w:rPr>
              <w:t>DiT blocks progressively denoise</w:t>
            </w:r>
          </w:p>
        </w:tc>
      </w:tr>
      <w:tr>
        <w:tc>
          <w:tcPr>
            <w:tcW w:type="dxa" w:w="3405"/>
            <w:vAlign w:val="center"/>
            <w:tcMar>
              <w:top w:w="80" w:type="dxa"/>
              <w:start w:w="120" w:type="dxa"/>
              <w:bottom w:w="80" w:type="dxa"/>
              <w:end w:w="120" w:type="dxa"/>
            </w:tcMar>
          </w:tcPr>
          <w:p>
            <w:pPr>
              <w:spacing w:before="0" w:after="0" w:line="259" w:lineRule="auto"/>
            </w:pPr>
            <w:r>
              <w:rPr>
                <w:rFonts w:ascii="Calibri" w:hAnsi="Calibri" w:eastAsia="Microsoft YaHei"/>
                <w:sz w:val="18"/>
              </w:rPr>
              <w:t>VAE decode</w:t>
            </w:r>
          </w:p>
        </w:tc>
        <w:tc>
          <w:tcPr>
            <w:tcW w:type="dxa" w:w="208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Latent → pixels</w:t>
            </w:r>
          </w:p>
        </w:tc>
        <w:tc>
          <w:tcPr>
            <w:tcW w:type="dxa" w:w="3867"/>
            <w:vAlign w:val="center"/>
            <w:tcMar>
              <w:top w:w="80" w:type="dxa"/>
              <w:start w:w="120" w:type="dxa"/>
              <w:bottom w:w="80" w:type="dxa"/>
              <w:end w:w="120" w:type="dxa"/>
            </w:tcMar>
          </w:tcPr>
          <w:p>
            <w:pPr>
              <w:spacing w:before="0" w:after="0" w:line="259" w:lineRule="auto"/>
            </w:pPr>
            <w:r>
              <w:rPr>
                <w:rFonts w:ascii="Calibri" w:hAnsi="Calibri" w:eastAsia="Microsoft YaHei"/>
                <w:sz w:val="18"/>
              </w:rPr>
              <w:t>Reconstructs the final latent into a pixel image</w:t>
            </w:r>
          </w:p>
        </w:tc>
      </w:tr>
    </w:tbl>
    <w:p>
      <w:pPr>
        <w:spacing w:after="40"/>
      </w:pPr>
    </w:p>
    <w:p>
      <w:pPr/>
      <w:r>
        <w:t xml:space="preserve">PiD intervenes at the third stage: it </w:t>
      </w:r>
      <w:r>
        <w:rPr>
          <w:b/>
        </w:rPr>
        <w:t>replaces</w:t>
      </w:r>
      <w:r>
        <w:t xml:space="preserve"> VAE decode and does not require denoising to run all N steps—it can terminate early at intermediate steps such as </w:t>
      </w:r>
      <w:r>
        <w:rPr>
          <w:b/>
        </w:rPr>
        <w:t>N−2 or N−4</w:t>
      </w:r>
      <w:r>
        <w:t>, handing the latent at that point to PiD. The number of main-model inference steps is correspondingly reduced, lowering the compute cost of the denoising phase.</w:t>
      </w:r>
    </w:p>
    <w:p>
      <w:pPr>
        <w:pStyle w:val="Heading2"/>
      </w:pPr>
      <w:r>
        <w:t>PiD Internal Structure: Three Inputs, One High-Resolution Output</w:t>
      </w:r>
    </w:p>
    <w:p>
      <w:pPr/>
      <w:r>
        <w:t>The figure below shows the data flow inside the PiD module. Focus on how the three input paths converge into the PixelDiT backbone:</w:t>
      </w:r>
    </w:p>
    <w:p>
      <w:pPr>
        <w:keepNext/>
        <w:keepLines/>
        <w:spacing w:before="120" w:after="0"/>
        <w:jc w:val="center"/>
      </w:pPr>
      <w:r>
        <w:drawing>
          <wp:inline xmlns:a="http://schemas.openxmlformats.org/drawingml/2006/main" xmlns:pic="http://schemas.openxmlformats.org/drawingml/2006/picture">
            <wp:extent cx="5943600" cy="3343275"/>
            <wp:docPr id="5" name="Picture 5" descr="PiD internal structure diagram showing the data flow of text embedding, latent condition adapter, and PixelDiT backbone with three input paths" title="PiD internal structure diagram showing the data flow of text embedding, latent condition adapter, and PixelDiT backbone "/>
            <wp:cNvGraphicFramePr>
              <a:graphicFrameLocks noChangeAspect="1"/>
            </wp:cNvGraphicFramePr>
            <a:graphic>
              <a:graphicData uri="http://schemas.openxmlformats.org/drawingml/2006/picture">
                <pic:pic>
                  <pic:nvPicPr>
                    <pic:cNvPr id="0" name="slide-11.png"/>
                    <pic:cNvPicPr/>
                  </pic:nvPicPr>
                  <pic:blipFill>
                    <a:blip r:embed="rId17"/>
                    <a:stretch>
                      <a:fillRect/>
                    </a:stretch>
                  </pic:blipFill>
                  <pic:spPr>
                    <a:xfrm>
                      <a:off x="0" y="0"/>
                      <a:ext cx="5943600" cy="3343275"/>
                    </a:xfrm>
                    <a:prstGeom prst="rect"/>
                  </pic:spPr>
                </pic:pic>
              </a:graphicData>
            </a:graphic>
          </wp:inline>
        </w:drawing>
      </w:r>
    </w:p>
    <w:p>
      <w:pPr/>
      <w:r>
        <w:rPr>
          <w:i/>
        </w:rPr>
        <w:t>Caption: PiD module structure and data flow. Source: presentation slide 11.</w:t>
      </w:r>
    </w:p>
    <w:p>
      <w:pPr/>
      <w:r>
        <w:t>The figure shows three input paths and one backbone network:</w:t>
      </w:r>
    </w:p>
    <w:p>
      <w:pPr>
        <w:spacing w:after="80" w:line="290" w:lineRule="auto"/>
        <w:numPr>
          <w:ilvl w:val="0"/>
          <w:numId w:val="20"/>
        </w:numPr>
      </w:pPr>
      <w:r>
        <w:rPr>
          <w:b/>
        </w:rPr>
        <w:t>Latent input (left)</w:t>
      </w:r>
      <w:r>
        <w:t xml:space="preserve">: The intermediate latent from the main model's denoising process. It first passes through a </w:t>
      </w:r>
      <w:r>
        <w:rPr>
          <w:b/>
        </w:rPr>
        <w:t>condition adapter</w:t>
      </w:r>
      <w:r>
        <w:t xml:space="preserve"> (latent condition adapter), composed internally of Resize → Conv3×3 → ResBlock → Linear, which converts the main model's latent representation into a feature format the PixelDiT backbone can consume. The condition adapter is the only part of PiD tightly coupled to the main model—swapping the main model requires retraining the adapter, while the backbone can be reused.</w:t>
      </w:r>
    </w:p>
    <w:p>
      <w:pPr>
        <w:spacing w:after="80" w:line="290" w:lineRule="auto"/>
        <w:numPr>
          <w:ilvl w:val="0"/>
          <w:numId w:val="20"/>
        </w:numPr>
      </w:pPr>
      <w:r>
        <w:rPr>
          <w:b/>
        </w:rPr>
        <w:t>Text embedding input (top)</w:t>
      </w:r>
      <w:r>
        <w:t>: A frozen Gemma-2-2B model encodes the text prompt to produce text tokens. The role of the text information is to guide detail regeneration during upsampling—the small-resolution latent itself does not carry high-frequency details, so textures and edges after upscaling must be generated under text-semantic guidance.</w:t>
      </w:r>
    </w:p>
    <w:p>
      <w:pPr>
        <w:spacing w:after="80" w:line="290" w:lineRule="auto"/>
        <w:numPr>
          <w:ilvl w:val="0"/>
          <w:numId w:val="20"/>
        </w:numPr>
      </w:pPr>
      <w:r>
        <w:rPr>
          <w:b/>
        </w:rPr>
        <w:t>Target-resolution noise image (right)</w:t>
      </w:r>
      <w:r>
        <w:t>: PiD prepares a pure-noise image at the target output resolution. For example, if the main model denoises at 512×512 and PiD performs 4× upsampling, the noise image is 2048×2048.</w:t>
      </w:r>
    </w:p>
    <w:p>
      <w:pPr/>
      <w:r>
        <w:t xml:space="preserve">All three streams converge into the </w:t>
      </w:r>
      <w:r>
        <w:rPr>
          <w:b/>
        </w:rPr>
        <w:t>PixelDiT backbone</w:t>
      </w:r>
      <w:r>
        <w:t xml:space="preserve"> (~1.3B parameters), which denoises the target-resolution noise image via cross-attention to directly produce a high-resolution pixel image. PiD is not a simple interpolation; it is a diffusion model trained for super-resolution that performs denoising in pixel space (rather than latent space), thereby completely bypassing VAE decode.</w:t>
      </w:r>
    </w:p>
    <w:p>
      <w:pPr>
        <w:pStyle w:val="Heading2"/>
      </w:pPr>
      <w:r>
        <w:t>Causal Chain</w:t>
      </w:r>
    </w:p>
    <w:p>
      <w:pPr/>
      <w:r>
        <w:t>```</w:t>
      </w:r>
    </w:p>
    <w:p>
      <w:pPr/>
      <w:r>
        <w:t>Small-resolution latent (e.g., 512×512)</w:t>
      </w:r>
    </w:p>
    <w:p>
      <w:pPr/>
      <w:r>
        <w:t>↓  Condition adapter translation</w:t>
      </w:r>
    </w:p>
    <w:p>
      <w:pPr/>
      <w:r>
        <w:t>Features readable by PixelDiT</w:t>
      </w:r>
    </w:p>
    <w:p>
      <w:pPr/>
      <w:r>
        <w:t>↓  + Target-resolution pure noise (e.g., 2048×2048) + text tokens</w:t>
      </w:r>
    </w:p>
    <w:p>
      <w:pPr/>
      <w:r>
        <w:t>Cross-attention denoising</w:t>
      </w:r>
    </w:p>
    <w:p>
      <w:pPr/>
      <w:r>
        <w:t>↓</w:t>
      </w:r>
    </w:p>
    <w:p>
      <w:pPr/>
      <w:r>
        <w:t>High-resolution pixel image (2048×2048)</w:t>
      </w:r>
    </w:p>
    <w:p>
      <w:pPr/>
      <w:r>
        <w:t>```</w:t>
      </w:r>
    </w:p>
    <w:p>
      <w:pPr>
        <w:pStyle w:val="Heading2"/>
      </w:pPr>
      <w:r>
        <w:t>Minimal Example: State Evolution from 512 → 2048</w:t>
      </w:r>
    </w:p>
    <w:p>
      <w:pPr/>
      <w:r>
        <w:t>Taking 4× upsampling as an example, assume the main model's total denoising step count N = 20:</w:t>
      </w:r>
    </w:p>
    <w:tbl>
      <w:tblPr>
        <w:tblStyle w:val="TableGrid"/>
        <w:tblW w:type="dxa" w:w="9360"/>
        <w:jc w:val="left"/>
        <w:tblLayout w:type="fixed"/>
        <w:tblLook w:firstColumn="1" w:firstRow="1" w:lastColumn="0" w:lastRow="0" w:noHBand="0" w:noVBand="1" w:val="04A0"/>
        <w:tblInd w:w="120" w:type="dxa"/>
      </w:tblPr>
      <w:tblGrid>
        <w:gridCol w:w="2315"/>
        <w:gridCol w:w="1910"/>
        <w:gridCol w:w="1910"/>
        <w:gridCol w:w="3225"/>
      </w:tblGrid>
      <w:tr>
        <w:trPr>
          <w:tblHeader w:val="true"/>
        </w:trPr>
        <w:tc>
          <w:tcPr>
            <w:tcW w:type="dxa" w:w="231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w:t>
            </w:r>
          </w:p>
        </w:tc>
        <w:tc>
          <w:tcPr>
            <w:tcW w:type="dxa" w:w="191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Location</w:t>
            </w:r>
          </w:p>
        </w:tc>
        <w:tc>
          <w:tcPr>
            <w:tcW w:type="dxa" w:w="191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Resolution</w:t>
            </w:r>
          </w:p>
        </w:tc>
        <w:tc>
          <w:tcPr>
            <w:tcW w:type="dxa" w:w="322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Notes</w:t>
            </w:r>
          </w:p>
        </w:tc>
      </w:tr>
      <w:tr>
        <w:tc>
          <w:tcPr>
            <w:tcW w:type="dxa" w:w="2315"/>
            <w:vAlign w:val="center"/>
            <w:tcMar>
              <w:top w:w="80" w:type="dxa"/>
              <w:start w:w="120" w:type="dxa"/>
              <w:bottom w:w="80" w:type="dxa"/>
              <w:end w:w="120" w:type="dxa"/>
            </w:tcMar>
          </w:tcPr>
          <w:p>
            <w:pPr>
              <w:spacing w:before="0" w:after="0" w:line="259" w:lineRule="auto"/>
            </w:pPr>
            <w:r>
              <w:rPr>
                <w:rFonts w:ascii="Calibri" w:hAnsi="Calibri" w:eastAsia="Microsoft YaHei"/>
                <w:sz w:val="18"/>
              </w:rPr>
              <w:t>Steps 0–17</w:t>
            </w:r>
          </w:p>
        </w:tc>
        <w:tc>
          <w:tcPr>
            <w:tcW w:type="dxa" w:w="19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Main model DiT</w:t>
            </w:r>
          </w:p>
        </w:tc>
        <w:tc>
          <w:tcPr>
            <w:tcW w:type="dxa" w:w="19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512×512 latent</w:t>
            </w:r>
          </w:p>
        </w:tc>
        <w:tc>
          <w:tcPr>
            <w:tcW w:type="dxa" w:w="3225"/>
            <w:vAlign w:val="center"/>
            <w:tcMar>
              <w:top w:w="80" w:type="dxa"/>
              <w:start w:w="120" w:type="dxa"/>
              <w:bottom w:w="80" w:type="dxa"/>
              <w:end w:w="120" w:type="dxa"/>
            </w:tcMar>
          </w:tcPr>
          <w:p>
            <w:pPr>
              <w:spacing w:before="0" w:after="0" w:line="259" w:lineRule="auto"/>
            </w:pPr>
            <w:r>
              <w:rPr>
                <w:rFonts w:ascii="Calibri" w:hAnsi="Calibri" w:eastAsia="Microsoft YaHei"/>
                <w:sz w:val="18"/>
              </w:rPr>
              <w:t>Runs in batch mode, enjoying high throughput</w:t>
            </w:r>
          </w:p>
        </w:tc>
      </w:tr>
      <w:tr>
        <w:tc>
          <w:tcPr>
            <w:tcW w:type="dxa" w:w="2315"/>
            <w:vAlign w:val="center"/>
            <w:tcMar>
              <w:top w:w="80" w:type="dxa"/>
              <w:start w:w="120" w:type="dxa"/>
              <w:bottom w:w="80" w:type="dxa"/>
              <w:end w:w="120" w:type="dxa"/>
            </w:tcMar>
          </w:tcPr>
          <w:p>
            <w:pPr>
              <w:spacing w:before="0" w:after="0" w:line="259" w:lineRule="auto"/>
            </w:pPr>
            <w:r>
              <w:rPr>
                <w:rFonts w:ascii="Calibri" w:hAnsi="Calibri" w:eastAsia="Microsoft YaHei"/>
                <w:sz w:val="18"/>
              </w:rPr>
              <w:t>Step 18 (i.e., N−2)</w:t>
            </w:r>
          </w:p>
        </w:tc>
        <w:tc>
          <w:tcPr>
            <w:tcW w:type="dxa" w:w="19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Main model → PiD</w:t>
            </w:r>
          </w:p>
        </w:tc>
        <w:tc>
          <w:tcPr>
            <w:tcW w:type="dxa" w:w="19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3225"/>
            <w:vAlign w:val="center"/>
            <w:tcMar>
              <w:top w:w="80" w:type="dxa"/>
              <w:start w:w="120" w:type="dxa"/>
              <w:bottom w:w="80" w:type="dxa"/>
              <w:end w:w="120" w:type="dxa"/>
            </w:tcMar>
          </w:tcPr>
          <w:p>
            <w:pPr>
              <w:spacing w:before="0" w:after="0" w:line="259" w:lineRule="auto"/>
            </w:pPr>
            <w:r>
              <w:rPr>
                <w:rFonts w:ascii="Calibri" w:hAnsi="Calibri" w:eastAsia="Microsoft YaHei"/>
                <w:sz w:val="18"/>
              </w:rPr>
              <w:t>Early termination; latent passed to PiD</w:t>
            </w:r>
          </w:p>
        </w:tc>
      </w:tr>
      <w:tr>
        <w:tc>
          <w:tcPr>
            <w:tcW w:type="dxa" w:w="2315"/>
            <w:vAlign w:val="center"/>
            <w:tcMar>
              <w:top w:w="80" w:type="dxa"/>
              <w:start w:w="120" w:type="dxa"/>
              <w:bottom w:w="80" w:type="dxa"/>
              <w:end w:w="120" w:type="dxa"/>
            </w:tcMar>
          </w:tcPr>
          <w:p>
            <w:pPr>
              <w:spacing w:before="0" w:after="0" w:line="259" w:lineRule="auto"/>
            </w:pPr>
            <w:r>
              <w:rPr>
                <w:rFonts w:ascii="Calibri" w:hAnsi="Calibri" w:eastAsia="Microsoft YaHei"/>
                <w:sz w:val="18"/>
              </w:rPr>
              <w:t>PiD multi-step denoising</w:t>
            </w:r>
          </w:p>
        </w:tc>
        <w:tc>
          <w:tcPr>
            <w:tcW w:type="dxa" w:w="19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PixelDiT</w:t>
            </w:r>
          </w:p>
        </w:tc>
        <w:tc>
          <w:tcPr>
            <w:tcW w:type="dxa" w:w="19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2048×2048 pixels</w:t>
            </w:r>
          </w:p>
        </w:tc>
        <w:tc>
          <w:tcPr>
            <w:tcW w:type="dxa" w:w="3225"/>
            <w:vAlign w:val="center"/>
            <w:tcMar>
              <w:top w:w="80" w:type="dxa"/>
              <w:start w:w="120" w:type="dxa"/>
              <w:bottom w:w="80" w:type="dxa"/>
              <w:end w:w="120" w:type="dxa"/>
            </w:tcMar>
          </w:tcPr>
          <w:p>
            <w:pPr>
              <w:spacing w:before="0" w:after="0" w:line="259" w:lineRule="auto"/>
            </w:pPr>
            <w:r>
              <w:rPr>
                <w:rFonts w:ascii="Calibri" w:hAnsi="Calibri" w:eastAsia="Microsoft YaHei"/>
                <w:sz w:val="18"/>
              </w:rPr>
              <w:t>Generates high-resolution result on the target-resolution noise image</w:t>
            </w:r>
          </w:p>
        </w:tc>
      </w:tr>
    </w:tbl>
    <w:p>
      <w:pPr>
        <w:spacing w:after="40"/>
      </w:pPr>
    </w:p>
    <w:p>
      <w:pPr/>
      <w:r>
        <w:t>The main model skips 2 denoising steps and operates entirely at small resolution throughout; the high-resolution generation cost is offloaded to the much lighter PiD.</w:t>
      </w:r>
    </w:p>
    <w:p>
      <w:pPr>
        <w:pStyle w:val="Heading2"/>
      </w:pPr>
      <w:r>
        <w:t>Model Size and Boundaries</w:t>
      </w:r>
    </w:p>
    <w:p>
      <w:pPr/>
      <w:r>
        <w:t xml:space="preserve">According to the speaker's oral estimate, the PiD backbone plus text encoder together total </w:t>
      </w:r>
      <w:r>
        <w:rPr>
          <w:b/>
        </w:rPr>
        <w:t>under 3B</w:t>
      </w:r>
      <w:r>
        <w:t xml:space="preserve"> parameters, with a memory footprint far smaller than the main model. PiD supports </w:t>
      </w:r>
      <w:r>
        <w:rPr>
          <w:b/>
        </w:rPr>
        <w:t>4× and 8×</w:t>
      </w:r>
      <w:r>
        <w:t xml:space="preserve"> upsampling ratios. However, note the following:</w:t>
      </w:r>
    </w:p>
    <w:p>
      <w:pPr>
        <w:spacing w:after="80" w:line="290" w:lineRule="auto"/>
        <w:numPr>
          <w:ilvl w:val="0"/>
          <w:numId w:val="10"/>
        </w:numPr>
      </w:pPr>
      <w:r>
        <w:t xml:space="preserve">PiD denoises in </w:t>
      </w:r>
      <w:r>
        <w:rPr>
          <w:b/>
        </w:rPr>
        <w:t>pixel space</w:t>
      </w:r>
      <w:r>
        <w:t>; at very high target resolutions its own memory consumption also grows significantly.</w:t>
      </w:r>
    </w:p>
    <w:p>
      <w:pPr>
        <w:spacing w:after="80" w:line="290" w:lineRule="auto"/>
        <w:numPr>
          <w:ilvl w:val="0"/>
          <w:numId w:val="10"/>
        </w:numPr>
      </w:pPr>
      <w:r>
        <w:t>The condition adapter is coupled to the main model; after swapping the main model, the adapter must be retrained while the PixelDiT backbone remains unchanged.</w:t>
      </w:r>
    </w:p>
    <w:p>
      <w:pPr>
        <w:spacing w:after="80" w:line="290" w:lineRule="auto"/>
        <w:numPr>
          <w:ilvl w:val="0"/>
          <w:numId w:val="10"/>
        </w:numPr>
      </w:pPr>
      <w:r>
        <w:t>The presentation materials did not provide quality or performance data at larger upsampling ratios.</w:t>
      </w:r>
    </w:p>
    <w:p>
      <w:pPr/>
      <w:r>
        <w:rPr>
          <w:b/>
        </w:rPr>
        <w:t>Summary</w:t>
      </w:r>
      <w:r>
        <w:t>: By decoupling high-resolution generation from VAE decode and delegating it to a lightweight pixel-space super-resolution diffusion model, PiD enables the main model to run batch inference on small-resolution latents. Next, we examine its resource savings and quality performance in actual deployment.</w:t>
      </w:r>
    </w:p>
    <w:p>
      <w:pPr>
        <w:pStyle w:val="Heading1"/>
      </w:pPr>
      <w:r>
        <w:t>7 Performance and Limitations: PiD's Engineering Gains and Application Scenarios</w:t>
      </w:r>
    </w:p>
    <w:p>
      <w:pPr/>
      <w:r>
        <w:rPr>
          <w:b/>
        </w:rPr>
        <w:t>Core question of this section:</w:t>
      </w:r>
      <w:r>
        <w:t xml:space="preserve"> How much resource savings does PiD actually deliver for 2048-resolution image generation tasks? Do these gains come at the cost of image quality?</w:t>
      </w:r>
    </w:p>
    <w:p>
      <w:pPr>
        <w:pStyle w:val="Heading2"/>
      </w:pPr>
      <w:r>
        <w:t>Measured Data at 2048 Resolution</w:t>
      </w:r>
    </w:p>
    <w:p>
      <w:pPr/>
      <w:r>
        <w:t>The figure below contains quantitative comparisons of PiD across three dimensions—memory, latency, and quality—to assess its engineering viability:</w:t>
      </w:r>
    </w:p>
    <w:p>
      <w:pPr>
        <w:keepNext/>
        <w:keepLines/>
        <w:spacing w:before="120" w:after="0"/>
        <w:jc w:val="center"/>
      </w:pPr>
      <w:r>
        <w:drawing>
          <wp:inline xmlns:a="http://schemas.openxmlformats.org/drawingml/2006/main" xmlns:pic="http://schemas.openxmlformats.org/drawingml/2006/picture">
            <wp:extent cx="5943600" cy="3343275"/>
            <wp:docPr id="6" name="Picture 6" descr="PiD memory, latency, and quality comparison at 2048 resolution" title="PiD memory, latency, and quality comparison at 2048 resolution"/>
            <wp:cNvGraphicFramePr>
              <a:graphicFrameLocks noChangeAspect="1"/>
            </wp:cNvGraphicFramePr>
            <a:graphic>
              <a:graphicData uri="http://schemas.openxmlformats.org/drawingml/2006/picture">
                <pic:pic>
                  <pic:nvPicPr>
                    <pic:cNvPr id="0" name="slide-12.png"/>
                    <pic:cNvPicPr/>
                  </pic:nvPicPr>
                  <pic:blipFill>
                    <a:blip r:embed="rId18"/>
                    <a:stretch>
                      <a:fillRect/>
                    </a:stretch>
                  </pic:blipFill>
                  <pic:spPr>
                    <a:xfrm>
                      <a:off x="0" y="0"/>
                      <a:ext cx="5943600" cy="3343275"/>
                    </a:xfrm>
                    <a:prstGeom prst="rect"/>
                  </pic:spPr>
                </pic:pic>
              </a:graphicData>
            </a:graphic>
          </wp:inline>
        </w:drawing>
      </w:r>
    </w:p>
    <w:p>
      <w:pPr/>
      <w:r>
        <w:rPr>
          <w:i/>
        </w:rPr>
        <w:t>Caption: PiD results—quantitative comparison of memory usage, latency, and image quality. Source: presentation slide 12.</w:t>
      </w:r>
    </w:p>
    <w:p>
      <w:pPr/>
      <w:r>
        <w:rPr>
          <w:b/>
        </w:rPr>
        <w:t>Memory Usage</w:t>
      </w:r>
    </w:p>
    <w:tbl>
      <w:tblPr>
        <w:tblStyle w:val="TableGrid"/>
        <w:tblW w:type="dxa" w:w="9360"/>
        <w:jc w:val="left"/>
        <w:tblLayout w:type="fixed"/>
        <w:tblLook w:firstColumn="1" w:firstRow="1" w:lastColumn="0" w:lastRow="0" w:noHBand="0" w:noVBand="1" w:val="04A0"/>
        <w:tblInd w:w="120" w:type="dxa"/>
      </w:tblPr>
      <w:tblGrid>
        <w:gridCol w:w="2509"/>
        <w:gridCol w:w="2650"/>
        <w:gridCol w:w="4201"/>
      </w:tblGrid>
      <w:tr>
        <w:trPr>
          <w:tblHeader w:val="true"/>
        </w:trPr>
        <w:tc>
          <w:tcPr>
            <w:tcW w:type="dxa" w:w="250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Approach</w:t>
            </w:r>
          </w:p>
        </w:tc>
        <w:tc>
          <w:tcPr>
            <w:tcW w:type="dxa" w:w="265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Memory (GB)</w:t>
            </w:r>
          </w:p>
        </w:tc>
        <w:tc>
          <w:tcPr>
            <w:tcW w:type="dxa" w:w="420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Savings vs. VAE decode</w:t>
            </w:r>
          </w:p>
        </w:tc>
      </w:tr>
      <w:tr>
        <w:tc>
          <w:tcPr>
            <w:tcW w:type="dxa" w:w="2509"/>
            <w:vAlign w:val="center"/>
            <w:tcMar>
              <w:top w:w="80" w:type="dxa"/>
              <w:start w:w="120" w:type="dxa"/>
              <w:bottom w:w="80" w:type="dxa"/>
              <w:end w:w="120" w:type="dxa"/>
            </w:tcMar>
          </w:tcPr>
          <w:p>
            <w:pPr>
              <w:spacing w:before="0" w:after="0" w:line="259" w:lineRule="auto"/>
            </w:pPr>
            <w:r>
              <w:rPr>
                <w:rFonts w:ascii="Calibri" w:hAnsi="Calibri" w:eastAsia="Microsoft YaHei"/>
                <w:sz w:val="18"/>
              </w:rPr>
              <w:t>VAE decode</w:t>
            </w:r>
          </w:p>
        </w:tc>
        <w:tc>
          <w:tcPr>
            <w:tcW w:type="dxa" w:w="26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16.84</w:t>
            </w:r>
          </w:p>
        </w:tc>
        <w:tc>
          <w:tcPr>
            <w:tcW w:type="dxa" w:w="42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r>
      <w:tr>
        <w:tc>
          <w:tcPr>
            <w:tcW w:type="dxa" w:w="2509"/>
            <w:vAlign w:val="center"/>
            <w:tcMar>
              <w:top w:w="80" w:type="dxa"/>
              <w:start w:w="120" w:type="dxa"/>
              <w:bottom w:w="80" w:type="dxa"/>
              <w:end w:w="120" w:type="dxa"/>
            </w:tcMar>
          </w:tcPr>
          <w:p>
            <w:pPr>
              <w:spacing w:before="0" w:after="0" w:line="259" w:lineRule="auto"/>
            </w:pPr>
            <w:r>
              <w:rPr>
                <w:rFonts w:ascii="Calibri" w:hAnsi="Calibri" w:eastAsia="Microsoft YaHei"/>
                <w:sz w:val="18"/>
              </w:rPr>
              <w:t>PiD</w:t>
            </w:r>
          </w:p>
        </w:tc>
        <w:tc>
          <w:tcPr>
            <w:tcW w:type="dxa" w:w="26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11.53</w:t>
            </w:r>
          </w:p>
        </w:tc>
        <w:tc>
          <w:tcPr>
            <w:tcW w:type="dxa" w:w="42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5.3 GB (~31.5%)</w:t>
            </w:r>
          </w:p>
        </w:tc>
      </w:tr>
    </w:tbl>
    <w:p>
      <w:pPr>
        <w:spacing w:after="40"/>
      </w:pPr>
    </w:p>
    <w:p>
      <w:pPr/>
      <w:r>
        <w:t>PiD runs the actual denoising on an input latent at 512 resolution, resulting in significantly smaller intermediate activations.</w:t>
      </w:r>
    </w:p>
    <w:p>
      <w:pPr/>
      <w:r>
        <w:rPr>
          <w:b/>
        </w:rPr>
        <w:t>Latency Performance</w:t>
      </w:r>
    </w:p>
    <w:p>
      <w:pPr>
        <w:spacing w:after="80" w:line="290" w:lineRule="auto"/>
        <w:numPr>
          <w:ilvl w:val="0"/>
          <w:numId w:val="10"/>
        </w:numPr>
      </w:pPr>
      <w:r>
        <w:rPr>
          <w:b/>
        </w:rPr>
        <w:t>Per-step latency</w:t>
      </w:r>
      <w:r>
        <w:t xml:space="preserve"> drops by approximately </w:t>
      </w:r>
      <w:r>
        <w:rPr>
          <w:b/>
        </w:rPr>
        <w:t>93.9%</w:t>
      </w:r>
      <w:r>
        <w:t>—the input is only 512-resolution, so the per-step compute is roughly 1/16 of the original (quadratic reduction with resolution).</w:t>
      </w:r>
    </w:p>
    <w:p>
      <w:pPr>
        <w:spacing w:after="80" w:line="290" w:lineRule="auto"/>
        <w:numPr>
          <w:ilvl w:val="0"/>
          <w:numId w:val="10"/>
        </w:numPr>
      </w:pPr>
      <w:r>
        <w:rPr>
          <w:b/>
        </w:rPr>
        <w:t>End-to-end latency</w:t>
      </w:r>
      <w:r>
        <w:t xml:space="preserve"> decreases by approximately </w:t>
      </w:r>
      <w:r>
        <w:rPr>
          <w:b/>
        </w:rPr>
        <w:t>91.8%</w:t>
      </w:r>
      <w:r>
        <w:t>—combining the reductions in both denoising and decoding stages, the overall time is less than one-tenth of the original.</w:t>
      </w:r>
    </w:p>
    <w:p>
      <w:pPr>
        <w:spacing w:before="80" w:after="200" w:line="300" w:lineRule="auto"/>
        <w:ind w:left="317" w:right="173"/>
        <w:pBdr>
          <w:left w:val="single" w:sz="18" w:space="8" w:color="2E74B5"/>
        </w:pBdr>
        <w:shd w:fill="F4F6F9"/>
      </w:pPr>
      <w:r>
        <w:rPr>
          <w:rFonts w:ascii="Calibri" w:hAnsi="Calibri" w:eastAsia="Microsoft YaHei"/>
          <w:color w:val="203748"/>
          <w:sz w:val="23"/>
        </w:rPr>
        <w:t>The presentation materials did not specify the exact GPU model or batch size configuration for these tests; percentage changes are more informative than absolute values.</w:t>
      </w:r>
    </w:p>
    <w:p>
      <w:pPr/>
      <w:r>
        <w:rPr>
          <w:b/>
        </w:rPr>
        <w:t>Causal Chain</w:t>
      </w:r>
    </w:p>
    <w:p>
      <w:pPr/>
      <w:r>
        <w:t>```</w:t>
      </w:r>
    </w:p>
    <w:p>
      <w:pPr/>
      <w:r>
        <w:t>Input latent resolution reduced from 2048 to 512</w:t>
      </w:r>
    </w:p>
    <w:p>
      <w:pPr/>
      <w:r>
        <w:t>→ Intermediate activation tensors shrink dramatically</w:t>
      </w:r>
    </w:p>
    <w:p>
      <w:pPr/>
      <w:r>
        <w:t>→ Memory drops ~5 GB, per-step latency drops ~94%</w:t>
      </w:r>
    </w:p>
    <w:p>
      <w:pPr/>
      <w:r>
        <w:t>→ Decoding switches from VAE convolutions to lightweight diffusion</w:t>
      </w:r>
    </w:p>
    <w:p>
      <w:pPr/>
      <w:r>
        <w:t>→ Total end-to-end latency drops ~92%</w:t>
      </w:r>
    </w:p>
    <w:p>
      <w:pPr/>
      <w:r>
        <w:t>```</w:t>
      </w:r>
    </w:p>
    <w:p>
      <w:pPr>
        <w:pStyle w:val="Heading2"/>
      </w:pPr>
      <w:r>
        <w:t>Image Quality: Mixed Results</w:t>
      </w:r>
    </w:p>
    <w:p>
      <w:pPr/>
      <w:r>
        <w:t>The slides provide a comparison across four no-reference image quality metrics:</w:t>
      </w:r>
    </w:p>
    <w:tbl>
      <w:tblPr>
        <w:tblStyle w:val="TableGrid"/>
        <w:tblW w:type="dxa" w:w="9360"/>
        <w:jc w:val="left"/>
        <w:tblLayout w:type="fixed"/>
        <w:tblLook w:firstColumn="1" w:firstRow="1" w:lastColumn="0" w:lastRow="0" w:noHBand="0" w:noVBand="1" w:val="04A0"/>
        <w:tblInd w:w="120" w:type="dxa"/>
      </w:tblPr>
      <w:tblGrid>
        <w:gridCol w:w="1494"/>
        <w:gridCol w:w="1150"/>
        <w:gridCol w:w="1150"/>
        <w:gridCol w:w="1236"/>
        <w:gridCol w:w="4330"/>
      </w:tblGrid>
      <w:tr>
        <w:trPr>
          <w:tblHeader w:val="true"/>
        </w:trPr>
        <w:tc>
          <w:tcPr>
            <w:tcW w:type="dxa" w:w="149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Metric</w:t>
            </w:r>
          </w:p>
        </w:tc>
        <w:tc>
          <w:tcPr>
            <w:tcW w:type="dxa" w:w="115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PiD</w:t>
            </w:r>
          </w:p>
        </w:tc>
        <w:tc>
          <w:tcPr>
            <w:tcW w:type="dxa" w:w="115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VAE</w:t>
            </w:r>
          </w:p>
        </w:tc>
        <w:tc>
          <w:tcPr>
            <w:tcW w:type="dxa" w:w="123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Winner</w:t>
            </w:r>
          </w:p>
        </w:tc>
        <w:tc>
          <w:tcPr>
            <w:tcW w:type="dxa" w:w="433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Meaning</w:t>
            </w:r>
          </w:p>
        </w:tc>
      </w:tr>
      <w:tr>
        <w:tc>
          <w:tcPr>
            <w:tcW w:type="dxa" w:w="1494"/>
            <w:vAlign w:val="center"/>
            <w:tcMar>
              <w:top w:w="80" w:type="dxa"/>
              <w:start w:w="120" w:type="dxa"/>
              <w:bottom w:w="80" w:type="dxa"/>
              <w:end w:w="120" w:type="dxa"/>
            </w:tcMar>
          </w:tcPr>
          <w:p>
            <w:pPr>
              <w:spacing w:before="0" w:after="0" w:line="259" w:lineRule="auto"/>
            </w:pPr>
            <w:r>
              <w:rPr>
                <w:rFonts w:ascii="Calibri" w:hAnsi="Calibri" w:eastAsia="Microsoft YaHei"/>
                <w:sz w:val="18"/>
              </w:rPr>
              <w:t>MUSIQ ↑</w:t>
            </w:r>
          </w:p>
        </w:tc>
        <w:tc>
          <w:tcPr>
            <w:tcW w:type="dxa" w:w="11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68.84</w:t>
            </w:r>
          </w:p>
        </w:tc>
        <w:tc>
          <w:tcPr>
            <w:tcW w:type="dxa" w:w="11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65.92</w:t>
            </w:r>
          </w:p>
        </w:tc>
        <w:tc>
          <w:tcPr>
            <w:tcW w:type="dxa" w:w="12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PiD</w:t>
            </w:r>
          </w:p>
        </w:tc>
        <w:tc>
          <w:tcPr>
            <w:tcW w:type="dxa" w:w="4330"/>
            <w:vAlign w:val="center"/>
            <w:tcMar>
              <w:top w:w="80" w:type="dxa"/>
              <w:start w:w="120" w:type="dxa"/>
              <w:bottom w:w="80" w:type="dxa"/>
              <w:end w:w="120" w:type="dxa"/>
            </w:tcMar>
          </w:tcPr>
          <w:p>
            <w:pPr>
              <w:spacing w:before="0" w:after="0" w:line="259" w:lineRule="auto"/>
            </w:pPr>
            <w:r>
              <w:rPr>
                <w:rFonts w:ascii="Calibri" w:hAnsi="Calibri" w:eastAsia="Microsoft YaHei"/>
                <w:sz w:val="18"/>
              </w:rPr>
              <w:t>Multi-scale perceptual quality</w:t>
            </w:r>
          </w:p>
        </w:tc>
      </w:tr>
      <w:tr>
        <w:tc>
          <w:tcPr>
            <w:tcW w:type="dxa" w:w="1494"/>
            <w:vAlign w:val="center"/>
            <w:tcMar>
              <w:top w:w="80" w:type="dxa"/>
              <w:start w:w="120" w:type="dxa"/>
              <w:bottom w:w="80" w:type="dxa"/>
              <w:end w:w="120" w:type="dxa"/>
            </w:tcMar>
          </w:tcPr>
          <w:p>
            <w:pPr>
              <w:spacing w:before="0" w:after="0" w:line="259" w:lineRule="auto"/>
            </w:pPr>
            <w:r>
              <w:rPr>
                <w:rFonts w:ascii="Calibri" w:hAnsi="Calibri" w:eastAsia="Microsoft YaHei"/>
                <w:sz w:val="18"/>
              </w:rPr>
              <w:t>NIQE ↓</w:t>
            </w:r>
          </w:p>
        </w:tc>
        <w:tc>
          <w:tcPr>
            <w:tcW w:type="dxa" w:w="11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4.14</w:t>
            </w:r>
          </w:p>
        </w:tc>
        <w:tc>
          <w:tcPr>
            <w:tcW w:type="dxa" w:w="11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5.11</w:t>
            </w:r>
          </w:p>
        </w:tc>
        <w:tc>
          <w:tcPr>
            <w:tcW w:type="dxa" w:w="12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PiD</w:t>
            </w:r>
          </w:p>
        </w:tc>
        <w:tc>
          <w:tcPr>
            <w:tcW w:type="dxa" w:w="4330"/>
            <w:vAlign w:val="center"/>
            <w:tcMar>
              <w:top w:w="80" w:type="dxa"/>
              <w:start w:w="120" w:type="dxa"/>
              <w:bottom w:w="80" w:type="dxa"/>
              <w:end w:w="120" w:type="dxa"/>
            </w:tcMar>
          </w:tcPr>
          <w:p>
            <w:pPr>
              <w:spacing w:before="0" w:after="0" w:line="259" w:lineRule="auto"/>
            </w:pPr>
            <w:r>
              <w:rPr>
                <w:rFonts w:ascii="Calibri" w:hAnsi="Calibri" w:eastAsia="Microsoft YaHei"/>
                <w:sz w:val="18"/>
              </w:rPr>
              <w:t>Natural scene statistics deviation; lower is better</w:t>
            </w:r>
          </w:p>
        </w:tc>
      </w:tr>
      <w:tr>
        <w:tc>
          <w:tcPr>
            <w:tcW w:type="dxa" w:w="1494"/>
            <w:vAlign w:val="center"/>
            <w:tcMar>
              <w:top w:w="80" w:type="dxa"/>
              <w:start w:w="120" w:type="dxa"/>
              <w:bottom w:w="80" w:type="dxa"/>
              <w:end w:w="120" w:type="dxa"/>
            </w:tcMar>
          </w:tcPr>
          <w:p>
            <w:pPr>
              <w:spacing w:before="0" w:after="0" w:line="259" w:lineRule="auto"/>
            </w:pPr>
            <w:r>
              <w:rPr>
                <w:rFonts w:ascii="Calibri" w:hAnsi="Calibri" w:eastAsia="Microsoft YaHei"/>
                <w:sz w:val="18"/>
              </w:rPr>
              <w:t>MANIQA ↑</w:t>
            </w:r>
          </w:p>
        </w:tc>
        <w:tc>
          <w:tcPr>
            <w:tcW w:type="dxa" w:w="11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0.528</w:t>
            </w:r>
          </w:p>
        </w:tc>
        <w:tc>
          <w:tcPr>
            <w:tcW w:type="dxa" w:w="11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0.488</w:t>
            </w:r>
          </w:p>
        </w:tc>
        <w:tc>
          <w:tcPr>
            <w:tcW w:type="dxa" w:w="12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PiD</w:t>
            </w:r>
          </w:p>
        </w:tc>
        <w:tc>
          <w:tcPr>
            <w:tcW w:type="dxa" w:w="4330"/>
            <w:vAlign w:val="center"/>
            <w:tcMar>
              <w:top w:w="80" w:type="dxa"/>
              <w:start w:w="120" w:type="dxa"/>
              <w:bottom w:w="80" w:type="dxa"/>
              <w:end w:w="120" w:type="dxa"/>
            </w:tcMar>
          </w:tcPr>
          <w:p>
            <w:pPr>
              <w:spacing w:before="0" w:after="0" w:line="259" w:lineRule="auto"/>
            </w:pPr>
            <w:r>
              <w:rPr>
                <w:rFonts w:ascii="Calibri" w:hAnsi="Calibri" w:eastAsia="Microsoft YaHei"/>
                <w:sz w:val="18"/>
              </w:rPr>
              <w:t>Multi-dimensional attention-based quality</w:t>
            </w:r>
          </w:p>
        </w:tc>
      </w:tr>
      <w:tr>
        <w:tc>
          <w:tcPr>
            <w:tcW w:type="dxa" w:w="1494"/>
            <w:vAlign w:val="center"/>
            <w:tcMar>
              <w:top w:w="80" w:type="dxa"/>
              <w:start w:w="120" w:type="dxa"/>
              <w:bottom w:w="80" w:type="dxa"/>
              <w:end w:w="120" w:type="dxa"/>
            </w:tcMar>
          </w:tcPr>
          <w:p>
            <w:pPr>
              <w:spacing w:before="0" w:after="0" w:line="259" w:lineRule="auto"/>
            </w:pPr>
            <w:r>
              <w:rPr>
                <w:rFonts w:ascii="Calibri" w:hAnsi="Calibri" w:eastAsia="Microsoft YaHei"/>
                <w:sz w:val="18"/>
              </w:rPr>
              <w:t>Q-Align ↑</w:t>
            </w:r>
          </w:p>
        </w:tc>
        <w:tc>
          <w:tcPr>
            <w:tcW w:type="dxa" w:w="11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0.866</w:t>
            </w:r>
          </w:p>
        </w:tc>
        <w:tc>
          <w:tcPr>
            <w:tcW w:type="dxa" w:w="11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0.789</w:t>
            </w:r>
          </w:p>
        </w:tc>
        <w:tc>
          <w:tcPr>
            <w:tcW w:type="dxa" w:w="12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PiD</w:t>
            </w:r>
          </w:p>
        </w:tc>
        <w:tc>
          <w:tcPr>
            <w:tcW w:type="dxa" w:w="4330"/>
            <w:vAlign w:val="center"/>
            <w:tcMar>
              <w:top w:w="80" w:type="dxa"/>
              <w:start w:w="120" w:type="dxa"/>
              <w:bottom w:w="80" w:type="dxa"/>
              <w:end w:w="120" w:type="dxa"/>
            </w:tcMar>
          </w:tcPr>
          <w:p>
            <w:pPr>
              <w:spacing w:before="0" w:after="0" w:line="259" w:lineRule="auto"/>
            </w:pPr>
            <w:r>
              <w:rPr>
                <w:rFonts w:ascii="Calibri" w:hAnsi="Calibri" w:eastAsia="Microsoft YaHei"/>
                <w:sz w:val="18"/>
              </w:rPr>
              <w:t>Alignment quality score</w:t>
            </w:r>
          </w:p>
        </w:tc>
      </w:tr>
    </w:tbl>
    <w:p>
      <w:pPr>
        <w:spacing w:after="40"/>
      </w:pPr>
    </w:p>
    <w:p>
      <w:pPr/>
      <w:r>
        <w:t xml:space="preserve">PiD is slightly superior across all four quantitative metrics. However, the speaker explicitly noted: </w:t>
      </w:r>
      <w:r>
        <w:rPr>
          <w:b/>
        </w:rPr>
        <w:t>in terms of subjective visual perception, the two approaches each have their strengths</w:t>
      </w:r>
      <w:r>
        <w:t>. For example, VAE decode sometimes produces finer texture quality in certain scenes, while PiD sometimes delivers more vivid colors but occasionally exhibits stitching artifacts in fine details. Because PiD fundamentally "generates high resolution from low resolution," it inherently performs a degree of detail regeneration, and text-embedding control over the newly added details is not perfect. PiD is not a lossless replacement; in scenarios with strict image fidelity requirements, case-by-case evaluation is necessary.</w:t>
      </w:r>
    </w:p>
    <w:p>
      <w:pPr>
        <w:pStyle w:val="Heading2"/>
      </w:pPr>
      <w:r>
        <w:t>Three Key Application Scenarios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Scenario</w:t>
            </w:r>
          </w:p>
        </w:tc>
        <w:tc>
          <w:tcPr>
            <w:tcW w:type="dxa" w:w="31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Key constraint</w:t>
            </w:r>
          </w:p>
        </w:tc>
        <w:tc>
          <w:tcPr>
            <w:tcW w:type="dxa" w:w="31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PiD's role</w:t>
            </w:r>
          </w:p>
        </w:tc>
      </w:tr>
      <w:tr>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b/>
                <w:sz w:val="18"/>
              </w:rPr>
              <w:t>Edge-device inference with limited hardware</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Single card with only 24 GB or 48 GB of memory</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Reduces the memory of a 2048-resolution task to ~11.5 GB, making it feasible on consumer-grade GPUs</w:t>
            </w:r>
          </w:p>
        </w:tc>
      </w:tr>
      <w:tr>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b/>
                <w:sz w:val="18"/>
              </w:rPr>
              <w:t>Small-shape batching for throughput</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Server-side throughput maximization</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Uses a smaller latent shape for batching, achieving higher GPU utilization</w:t>
            </w:r>
          </w:p>
        </w:tc>
      </w:tr>
      <w:tr>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b/>
                <w:sz w:val="18"/>
              </w:rPr>
              <w:t>Ultra-high-resolution image generation</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4K/8K output required</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Leverages 4× and 8× upsampling to output ultra-high-resolution images without exceeding memory limits</w:t>
            </w:r>
          </w:p>
        </w:tc>
      </w:tr>
    </w:tbl>
    <w:p>
      <w:pPr>
        <w:spacing w:after="40"/>
      </w:pPr>
    </w:p>
    <w:p>
      <w:pPr/>
      <w:r>
        <w:t>In edge-inference scenarios, the 16.84 GB peak memory of traditional VAE decode nearly fills the usable space of a 24 GB GPU. Switching to PiD frees enough room to accommodate a medium-scale language-vision backbone.</w:t>
      </w:r>
    </w:p>
    <w:p>
      <w:pPr>
        <w:pStyle w:val="Heading1"/>
      </w:pPr>
      <w:r>
        <w:t>Conclusion and Limitations</w:t>
      </w:r>
    </w:p>
    <w:p>
      <w:pPr>
        <w:pStyle w:val="Heading2"/>
      </w:pPr>
      <w:r>
        <w:t>Core Conclusions</w:t>
      </w:r>
    </w:p>
    <w:p>
      <w:pPr>
        <w:spacing w:after="80" w:line="290" w:lineRule="auto"/>
        <w:numPr>
          <w:ilvl w:val="0"/>
          <w:numId w:val="21"/>
        </w:numPr>
      </w:pPr>
      <w:r>
        <w:rPr>
          <w:b/>
        </w:rPr>
        <w:t>Asynchronous request dispatch is the cornerstone of all batching optimizations.</w:t>
      </w:r>
      <w:r>
        <w:t xml:space="preserve"> Refining the scheduling granularity from entire requests down to individual denoising steps allows </w:t>
      </w:r>
      <w:r>
        <w:rPr>
          <w:rFonts w:ascii="Consolas" w:hAnsi="Consolas" w:eastAsia="Microsoft YaHei"/>
          <w:color w:val="1F4D78"/>
          <w:sz w:val="19"/>
          <w:shd w:fill="EEF2F6"/>
        </w:rPr>
        <w:t>DiffusionEngine</w:t>
      </w:r>
      <w:r>
        <w:t xml:space="preserve"> to dynamically insert or terminate requests in the gap between every step, with native support for interrupts and streaming of intermediate results.</w:t>
      </w:r>
    </w:p>
    <w:p>
      <w:pPr>
        <w:spacing w:after="80" w:line="290" w:lineRule="auto"/>
        <w:numPr>
          <w:ilvl w:val="0"/>
          <w:numId w:val="21"/>
        </w:numPr>
      </w:pPr>
      <w:r>
        <w:rPr>
          <w:b/>
        </w:rPr>
        <w:t>The CPU overhead of dynamic batching is negligible.</w:t>
      </w:r>
      <w:r>
        <w:t xml:space="preserve"> </w:t>
      </w:r>
      <w:r>
        <w:rPr>
          <w:rFonts w:ascii="Consolas" w:hAnsi="Consolas" w:eastAsia="Microsoft YaHei"/>
          <w:color w:val="1F4D78"/>
          <w:sz w:val="19"/>
          <w:shd w:fill="EEF2F6"/>
        </w:rPr>
        <w:t>make_batch</w:t>
      </w:r>
      <w:r>
        <w:t xml:space="preserve"> takes &lt; 1 ms, compared to 1,000–1,200 ms for a single GPU step—three orders of magnitude apart.</w:t>
      </w:r>
    </w:p>
    <w:p>
      <w:pPr>
        <w:spacing w:after="80" w:line="290" w:lineRule="auto"/>
        <w:numPr>
          <w:ilvl w:val="0"/>
          <w:numId w:val="21"/>
        </w:numPr>
      </w:pPr>
      <w:r>
        <w:rPr>
          <w:b/>
        </w:rPr>
        <w:t>Batching yields significant gains at small resolutions but limited gains at large resolutions.</w:t>
      </w:r>
      <w:r>
        <w:t xml:space="preserve"> At 512×512 with BS=8, throughput improves by ~45% and latency drops by 33 seconds (of which 34% is attributable to amortized operator dispatch overhead); at 1024×1024 the improvement is less than 4%, as compute is already saturated.</w:t>
      </w:r>
    </w:p>
    <w:p>
      <w:pPr>
        <w:spacing w:after="80" w:line="290" w:lineRule="auto"/>
        <w:numPr>
          <w:ilvl w:val="0"/>
          <w:numId w:val="21"/>
        </w:numPr>
      </w:pPr>
      <w:r>
        <w:rPr>
          <w:b/>
        </w:rPr>
        <w:t>Heterogeneous resolutions can be mixed-batched via GCD-based equal-length chunk splitting.</w:t>
      </w:r>
      <w:r>
        <w:t xml:space="preserve"> Only self-attention requires special treatment (Recover-Scatter or varlen mask); all other operators execute in parallel at chunk granularity.</w:t>
      </w:r>
    </w:p>
    <w:p>
      <w:pPr>
        <w:spacing w:after="80" w:line="290" w:lineRule="auto"/>
        <w:numPr>
          <w:ilvl w:val="0"/>
          <w:numId w:val="21"/>
        </w:numPr>
      </w:pPr>
      <w:r>
        <w:rPr>
          <w:b/>
        </w:rPr>
        <w:t>PiD trades minimal quality fluctuation for enormous resource savings.</w:t>
      </w:r>
      <w:r>
        <w:t xml:space="preserve"> At 2048 resolution, memory drops from 16.84 GB to 11.53 GB and end-to-end latency decreases by 91.8%, providing a low-latency, low-memory pathway for edge-device inference and ultra-high-resolution generation.</w:t>
      </w:r>
    </w:p>
    <w:p>
      <w:pPr>
        <w:spacing w:after="80" w:line="290" w:lineRule="auto"/>
        <w:numPr>
          <w:ilvl w:val="0"/>
          <w:numId w:val="21"/>
        </w:numPr>
      </w:pPr>
      <w:r>
        <w:rPr>
          <w:b/>
        </w:rPr>
        <w:t>PiD's core value lies in decoupling the main model's inference resolution from the output resolution.</w:t>
      </w:r>
      <w:r>
        <w:t xml:space="preserve"> The main model always performs efficient batch inference on small latents, while high-resolution generation is handled by a lightweight super-resolution module with fewer than 3B parameters.</w:t>
      </w:r>
    </w:p>
    <w:p>
      <w:pPr>
        <w:pStyle w:val="Heading2"/>
      </w:pPr>
      <w:r>
        <w:t>Explicit Limitations</w:t>
      </w:r>
    </w:p>
    <w:p>
      <w:pPr>
        <w:spacing w:after="80" w:line="290" w:lineRule="auto"/>
        <w:numPr>
          <w:ilvl w:val="0"/>
          <w:numId w:val="10"/>
        </w:numPr>
      </w:pPr>
      <w:r>
        <w:rPr>
          <w:b/>
        </w:rPr>
        <w:t>Limited batching gains at large resolutions</w:t>
      </w:r>
      <w:r>
        <w:t>: At 1024×1024 and above, compute is already saturated and batching cannot unlock further headroom. Beyond concurrency of 5, gains enter a plateau.</w:t>
      </w:r>
    </w:p>
    <w:p>
      <w:pPr>
        <w:spacing w:after="80" w:line="290" w:lineRule="auto"/>
        <w:numPr>
          <w:ilvl w:val="0"/>
          <w:numId w:val="10"/>
        </w:numPr>
      </w:pPr>
      <w:r>
        <w:rPr>
          <w:b/>
        </w:rPr>
        <w:t>Same-shape + same-CFG constraint</w:t>
      </w:r>
      <w:r>
        <w:t>: Requests with different resolutions or different guidance scales cannot be merged, limiting the size of the batchable request pool in practice.</w:t>
      </w:r>
    </w:p>
    <w:p>
      <w:pPr>
        <w:spacing w:after="80" w:line="290" w:lineRule="auto"/>
        <w:numPr>
          <w:ilvl w:val="0"/>
          <w:numId w:val="10"/>
        </w:numPr>
      </w:pPr>
      <w:r>
        <w:rPr>
          <w:b/>
        </w:rPr>
        <w:t>PiD image quality is not lossless</w:t>
      </w:r>
      <w:r>
        <w:t>: PiD leads on quantitative metrics, but subjective assessments vary by scene, with occasional stitching artifacts or overexposure tendencies in fine details.</w:t>
      </w:r>
    </w:p>
    <w:p>
      <w:pPr>
        <w:spacing w:after="80" w:line="290" w:lineRule="auto"/>
        <w:numPr>
          <w:ilvl w:val="0"/>
          <w:numId w:val="10"/>
        </w:numPr>
      </w:pPr>
      <w:r>
        <w:rPr>
          <w:b/>
        </w:rPr>
        <w:t>Condition adapter is tied to the main model</w:t>
      </w:r>
      <w:r>
        <w:t>: Each time the main model is swapped, PiD's condition adapter must be retrained.</w:t>
      </w:r>
    </w:p>
    <w:p>
      <w:pPr>
        <w:spacing w:after="80" w:line="290" w:lineRule="auto"/>
        <w:numPr>
          <w:ilvl w:val="0"/>
          <w:numId w:val="10"/>
        </w:numPr>
      </w:pPr>
      <w:r>
        <w:rPr>
          <w:b/>
        </w:rPr>
        <w:t>Single hardware baseline</w:t>
      </w:r>
      <w:r>
        <w:t>: All performance data in this article are based on the Qwen-Image model tested on a single Ascend A3 card; saturation points and gain curves may differ significantly on other hardware platforms.</w:t>
      </w:r>
    </w:p>
    <w:p>
      <w:pPr>
        <w:spacing w:after="80" w:line="290" w:lineRule="auto"/>
        <w:numPr>
          <w:ilvl w:val="0"/>
          <w:numId w:val="10"/>
        </w:numPr>
      </w:pPr>
      <w:r>
        <w:rPr>
          <w:b/>
        </w:rPr>
        <w:t>PiD's own memory scaling</w:t>
      </w:r>
      <w:r>
        <w:t>: PiD denoises in pixel space; whether PiD's own memory consumption at very high target resolutions can be further optimized through batching remains to be validated.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Core Analysis of vLLM-Omni: Asynchronous Batch...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9"/>
        <w:spacing w:after="80" w:line="290" w:lineRule="auto"/>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89816ZE9C" TargetMode="External"/><Relationship Id="rId12" Type="http://schemas.openxmlformats.org/officeDocument/2006/relationships/hyperlink" Target="https://drive.google.com/drive/folders/1C6PPfNhHgt0ehIO4v5AW7G2OAeRtYRoK"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Analysis of vLLM-Omni: Asynchronous Batch Processing for Diffusion and the PiD Architecture in Practice</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