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sz w:val="22"/>
          <w:szCs w:val="22"/>
        </w:rPr>
        <w:t xml:space="preserve"/>
      </w:r>
    </w:p>
    <w:p>
      <w:pPr>
        <w:spacing w:after="200" w:before="0"/>
        <w:jc w:val="center"/>
      </w:pPr>
      <w:r>
        <w:rPr>
          <w:rFonts w:ascii="Arial" w:cs="Arial" w:eastAsia="Arial" w:hAnsi="Arial"/>
          <w:b/>
          <w:bCs/>
          <w:color w:val="003366"/>
          <w:sz w:val="48"/>
          <w:szCs w:val="48"/>
        </w:rPr>
        <w:t xml:space="preserve">BUILDMATRIX</w:t>
      </w:r>
    </w:p>
    <w:p>
      <w:pPr>
        <w:spacing w:after="120" w:before="0"/>
        <w:jc w:val="center"/>
      </w:pPr>
      <w:r>
        <w:rPr>
          <w:rFonts w:ascii="Arial" w:cs="Arial" w:eastAsia="Arial" w:hAnsi="Arial"/>
          <w:color w:val="5a8aaa"/>
          <w:sz w:val="30"/>
          <w:szCs w:val="30"/>
        </w:rPr>
        <w:t xml:space="preserve">Web-Based PC Building System</w:t>
      </w:r>
    </w:p>
    <w:p>
      <w:pPr>
        <w:pBdr>
          <w:bottom w:val="single" w:color="00D4FF" w:sz="4" w:space="1"/>
        </w:pBdr>
        <w:spacing w:after="160" w:before="160"/>
      </w:pPr>
    </w:p>
    <w:p>
      <w:pPr>
        <w:spacing w:after="80" w:before="200"/>
        <w:jc w:val="center"/>
      </w:pPr>
      <w:r>
        <w:rPr>
          <w:rFonts w:ascii="Arial" w:cs="Arial" w:eastAsia="Arial" w:hAnsi="Arial"/>
          <w:i/>
          <w:iCs/>
          <w:sz w:val="22"/>
          <w:szCs w:val="22"/>
        </w:rPr>
        <w:t xml:space="preserve">A Project</w:t>
      </w:r>
    </w:p>
    <w:p>
      <w:pPr>
        <w:spacing w:after="80" w:before="0"/>
        <w:jc w:val="center"/>
      </w:pPr>
      <w:r>
        <w:rPr>
          <w:rFonts w:ascii="Arial" w:cs="Arial" w:eastAsia="Arial" w:hAnsi="Arial"/>
          <w:i/>
          <w:iCs/>
          <w:sz w:val="22"/>
          <w:szCs w:val="22"/>
        </w:rPr>
        <w:t xml:space="preserve">Presented to the</w:t>
      </w:r>
    </w:p>
    <w:p>
      <w:pPr>
        <w:spacing w:after="80" w:before="0"/>
        <w:jc w:val="center"/>
      </w:pPr>
      <w:r>
        <w:rPr>
          <w:rFonts w:ascii="Arial" w:cs="Arial" w:eastAsia="Arial" w:hAnsi="Arial"/>
          <w:i/>
          <w:iCs/>
          <w:sz w:val="22"/>
          <w:szCs w:val="22"/>
        </w:rPr>
        <w:t xml:space="preserve">Faculty of the College of Information Technology and Education</w:t>
      </w:r>
    </w:p>
    <w:p>
      <w:pPr>
        <w:spacing w:after="200" w:before="0"/>
        <w:jc w:val="center"/>
      </w:pPr>
      <w:r>
        <w:rPr>
          <w:rFonts w:ascii="Arial" w:cs="Arial" w:eastAsia="Arial" w:hAnsi="Arial"/>
          <w:b/>
          <w:bCs/>
          <w:sz w:val="24"/>
          <w:szCs w:val="24"/>
        </w:rPr>
        <w:t xml:space="preserve">PHINMA ST. JUDE COLLEGE</w:t>
      </w:r>
    </w:p>
    <w:p>
      <w:pPr>
        <w:spacing w:after="80" w:before="0"/>
        <w:jc w:val="center"/>
      </w:pPr>
      <w:r>
        <w:rPr>
          <w:rFonts w:ascii="Arial" w:cs="Arial" w:eastAsia="Arial" w:hAnsi="Arial"/>
          <w:sz w:val="22"/>
          <w:szCs w:val="22"/>
        </w:rPr>
        <w:t xml:space="preserve">Sampaloc, Manila</w:t>
      </w:r>
    </w:p>
    <w:p>
      <w:pPr>
        <w:spacing w:after="80" w:before="200"/>
        <w:jc w:val="center"/>
      </w:pPr>
      <w:r>
        <w:rPr>
          <w:rFonts w:ascii="Arial" w:cs="Arial" w:eastAsia="Arial" w:hAnsi="Arial"/>
          <w:i/>
          <w:iCs/>
          <w:sz w:val="22"/>
          <w:szCs w:val="22"/>
        </w:rPr>
        <w:t xml:space="preserve">Submitted in Partial Fulfillment of the Requirements for</w:t>
      </w:r>
    </w:p>
    <w:p>
      <w:pPr>
        <w:spacing w:after="200" w:before="0"/>
        <w:jc w:val="center"/>
      </w:pPr>
      <w:r>
        <w:rPr>
          <w:rFonts w:ascii="Arial" w:cs="Arial" w:eastAsia="Arial" w:hAnsi="Arial"/>
          <w:b/>
          <w:bCs/>
          <w:sz w:val="22"/>
          <w:szCs w:val="22"/>
        </w:rPr>
        <w:t xml:space="preserve">Computer Programming 2, Human-Computer Interaction 1, and Discrete Structures</w:t>
      </w:r>
    </w:p>
    <w:p>
      <w:pPr>
        <w:spacing w:after="40" w:before="80"/>
        <w:jc w:val="center"/>
      </w:pPr>
      <w:r>
        <w:rPr>
          <w:rFonts w:ascii="Arial" w:cs="Arial" w:eastAsia="Arial" w:hAnsi="Arial"/>
          <w:i/>
          <w:iCs/>
          <w:sz w:val="22"/>
          <w:szCs w:val="22"/>
        </w:rPr>
        <w:t xml:space="preserve">By</w:t>
      </w:r>
    </w:p>
    <w:p>
      <w:pPr>
        <w:spacing w:after="40" w:before="40"/>
        <w:jc w:val="center"/>
      </w:pPr>
      <w:r>
        <w:rPr>
          <w:rFonts w:ascii="Arial" w:cs="Arial" w:eastAsia="Arial" w:hAnsi="Arial"/>
          <w:b/>
          <w:bCs/>
          <w:sz w:val="22"/>
          <w:szCs w:val="22"/>
        </w:rPr>
        <w:t xml:space="preserve">Delacruz, Leonard</w:t>
      </w:r>
    </w:p>
    <w:p>
      <w:pPr>
        <w:spacing w:after="40" w:before="40"/>
        <w:jc w:val="center"/>
      </w:pPr>
      <w:r>
        <w:rPr>
          <w:rFonts w:ascii="Arial" w:cs="Arial" w:eastAsia="Arial" w:hAnsi="Arial"/>
          <w:b/>
          <w:bCs/>
          <w:sz w:val="22"/>
          <w:szCs w:val="22"/>
        </w:rPr>
        <w:t xml:space="preserve">Laloon, Ron Ely</w:t>
      </w:r>
    </w:p>
    <w:p>
      <w:pPr>
        <w:spacing w:after="40" w:before="40"/>
        <w:jc w:val="center"/>
      </w:pPr>
      <w:r>
        <w:rPr>
          <w:rFonts w:ascii="Arial" w:cs="Arial" w:eastAsia="Arial" w:hAnsi="Arial"/>
          <w:b/>
          <w:bCs/>
          <w:sz w:val="22"/>
          <w:szCs w:val="22"/>
        </w:rPr>
        <w:t xml:space="preserve">Lloren, Jerwin</w:t>
      </w:r>
    </w:p>
    <w:p>
      <w:pPr>
        <w:spacing w:after="40" w:before="40"/>
        <w:jc w:val="center"/>
      </w:pPr>
      <w:r>
        <w:rPr>
          <w:rFonts w:ascii="Arial" w:cs="Arial" w:eastAsia="Arial" w:hAnsi="Arial"/>
          <w:b/>
          <w:bCs/>
          <w:sz w:val="22"/>
          <w:szCs w:val="22"/>
        </w:rPr>
        <w:t xml:space="preserve">Ramos, Prince Franco</w:t>
      </w:r>
    </w:p>
    <w:p>
      <w:pPr>
        <w:spacing w:after="40" w:before="40"/>
        <w:jc w:val="center"/>
      </w:pPr>
      <w:r>
        <w:rPr>
          <w:rFonts w:ascii="Arial" w:cs="Arial" w:eastAsia="Arial" w:hAnsi="Arial"/>
          <w:b/>
          <w:bCs/>
          <w:sz w:val="22"/>
          <w:szCs w:val="22"/>
        </w:rPr>
        <w:t xml:space="preserve">Reyes, Kurt Dheniel</w:t>
      </w:r>
    </w:p>
    <w:p>
      <w:pPr>
        <w:spacing w:after="0" w:before="200"/>
        <w:jc w:val="center"/>
      </w:pPr>
      <w:r>
        <w:rPr>
          <w:rFonts w:ascii="Arial" w:cs="Arial" w:eastAsia="Arial" w:hAnsi="Arial"/>
          <w:b/>
          <w:bCs/>
          <w:sz w:val="22"/>
          <w:szCs w:val="22"/>
        </w:rPr>
        <w:t xml:space="preserve">MARCH 2026</w:t>
      </w:r>
    </w:p>
    <w:p>
      <w:r>
        <w:br w:type="page"/>
      </w:r>
    </w:p>
    <w:p>
      <w:pPr>
        <w:pStyle w:val="Heading1"/>
        <w:jc w:val="center"/>
      </w:pPr>
      <w:r>
        <w:rPr>
          <w:rFonts w:ascii="Arial" w:cs="Arial" w:eastAsia="Arial" w:hAnsi="Arial"/>
          <w:b/>
          <w:bCs/>
          <w:sz w:val="32"/>
          <w:szCs w:val="32"/>
        </w:rPr>
        <w:t xml:space="preserve">TABLE OF CONTENTS</w:t>
      </w:r>
    </w:p>
    <w:p>
      <w:pPr>
        <w:pBdr>
          <w:bottom w:val="single" w:color="00D4FF" w:sz="4" w:space="1"/>
        </w:pBdr>
        <w:spacing w:after="160" w:before="160"/>
      </w:pPr>
    </w:p>
    <w:p>
      <w:pPr>
        <w:tabs>
          <w:tab w:val="right" w:pos="9000"/>
        </w:tabs>
        <w:spacing w:after="60" w:before="60"/>
      </w:pPr>
      <w:r>
        <w:rPr>
          <w:rFonts w:ascii="Arial" w:cs="Arial" w:eastAsia="Arial" w:hAnsi="Arial"/>
          <w:b/>
          <w:bCs/>
          <w:sz w:val="22"/>
          <w:szCs w:val="22"/>
        </w:rPr>
        <w:t xml:space="preserve">I. The Problem and Its Background</w:t>
      </w:r>
      <w:r>
        <w:rPr>
          <w:rFonts w:ascii="Arial" w:cs="Arial" w:eastAsia="Arial" w:hAnsi="Arial"/>
          <w:sz w:val="22"/>
          <w:szCs w:val="22"/>
        </w:rPr>
        <w:t xml:space="preserve">	1</w:t>
      </w:r>
    </w:p>
    <w:p>
      <w:pPr>
        <w:tabs>
          <w:tab w:val="right" w:pos="9000"/>
        </w:tabs>
        <w:spacing w:after="60" w:before="60"/>
      </w:pPr>
      <w:r>
        <w:rPr>
          <w:rFonts w:ascii="Arial" w:cs="Arial" w:eastAsia="Arial" w:hAnsi="Arial"/>
          <w:b w:val="false"/>
          <w:bCs w:val="false"/>
          <w:sz w:val="22"/>
          <w:szCs w:val="22"/>
        </w:rPr>
        <w:t xml:space="preserve">   1.1 Introduction</w:t>
      </w:r>
      <w:r>
        <w:rPr>
          <w:rFonts w:ascii="Arial" w:cs="Arial" w:eastAsia="Arial" w:hAnsi="Arial"/>
          <w:sz w:val="22"/>
          <w:szCs w:val="22"/>
        </w:rPr>
        <w:t xml:space="preserve">	1</w:t>
      </w:r>
    </w:p>
    <w:p>
      <w:pPr>
        <w:tabs>
          <w:tab w:val="right" w:pos="9000"/>
        </w:tabs>
        <w:spacing w:after="60" w:before="60"/>
      </w:pPr>
      <w:r>
        <w:rPr>
          <w:rFonts w:ascii="Arial" w:cs="Arial" w:eastAsia="Arial" w:hAnsi="Arial"/>
          <w:b w:val="false"/>
          <w:bCs w:val="false"/>
          <w:sz w:val="22"/>
          <w:szCs w:val="22"/>
        </w:rPr>
        <w:t xml:space="preserve">   1.2 Problem Statement</w:t>
      </w:r>
      <w:r>
        <w:rPr>
          <w:rFonts w:ascii="Arial" w:cs="Arial" w:eastAsia="Arial" w:hAnsi="Arial"/>
          <w:sz w:val="22"/>
          <w:szCs w:val="22"/>
        </w:rPr>
        <w:t xml:space="preserve">	2</w:t>
      </w:r>
    </w:p>
    <w:p>
      <w:pPr>
        <w:tabs>
          <w:tab w:val="right" w:pos="9000"/>
        </w:tabs>
        <w:spacing w:after="60" w:before="60"/>
      </w:pPr>
      <w:r>
        <w:rPr>
          <w:rFonts w:ascii="Arial" w:cs="Arial" w:eastAsia="Arial" w:hAnsi="Arial"/>
          <w:b w:val="false"/>
          <w:bCs w:val="false"/>
          <w:sz w:val="22"/>
          <w:szCs w:val="22"/>
        </w:rPr>
        <w:t xml:space="preserve">   1.3 Objectives of the Study</w:t>
      </w:r>
      <w:r>
        <w:rPr>
          <w:rFonts w:ascii="Arial" w:cs="Arial" w:eastAsia="Arial" w:hAnsi="Arial"/>
          <w:sz w:val="22"/>
          <w:szCs w:val="22"/>
        </w:rPr>
        <w:t xml:space="preserve">	2</w:t>
      </w:r>
    </w:p>
    <w:p>
      <w:pPr>
        <w:tabs>
          <w:tab w:val="right" w:pos="9000"/>
        </w:tabs>
        <w:spacing w:after="60" w:before="60"/>
      </w:pPr>
      <w:r>
        <w:rPr>
          <w:rFonts w:ascii="Arial" w:cs="Arial" w:eastAsia="Arial" w:hAnsi="Arial"/>
          <w:b w:val="false"/>
          <w:bCs w:val="false"/>
          <w:sz w:val="22"/>
          <w:szCs w:val="22"/>
        </w:rPr>
        <w:t xml:space="preserve">      1.3.1 General Objectives</w:t>
      </w:r>
      <w:r>
        <w:rPr>
          <w:rFonts w:ascii="Arial" w:cs="Arial" w:eastAsia="Arial" w:hAnsi="Arial"/>
          <w:sz w:val="22"/>
          <w:szCs w:val="22"/>
        </w:rPr>
        <w:t xml:space="preserve">	2</w:t>
      </w:r>
    </w:p>
    <w:p>
      <w:pPr>
        <w:tabs>
          <w:tab w:val="right" w:pos="9000"/>
        </w:tabs>
        <w:spacing w:after="60" w:before="60"/>
      </w:pPr>
      <w:r>
        <w:rPr>
          <w:rFonts w:ascii="Arial" w:cs="Arial" w:eastAsia="Arial" w:hAnsi="Arial"/>
          <w:b w:val="false"/>
          <w:bCs w:val="false"/>
          <w:sz w:val="22"/>
          <w:szCs w:val="22"/>
        </w:rPr>
        <w:t xml:space="preserve">      1.3.2 Specific Objectives</w:t>
      </w:r>
      <w:r>
        <w:rPr>
          <w:rFonts w:ascii="Arial" w:cs="Arial" w:eastAsia="Arial" w:hAnsi="Arial"/>
          <w:sz w:val="22"/>
          <w:szCs w:val="22"/>
        </w:rPr>
        <w:t xml:space="preserve">	3</w:t>
      </w:r>
    </w:p>
    <w:p>
      <w:pPr>
        <w:tabs>
          <w:tab w:val="right" w:pos="9000"/>
        </w:tabs>
        <w:spacing w:after="60" w:before="60"/>
      </w:pPr>
      <w:r>
        <w:rPr>
          <w:rFonts w:ascii="Arial" w:cs="Arial" w:eastAsia="Arial" w:hAnsi="Arial"/>
          <w:b w:val="false"/>
          <w:bCs w:val="false"/>
          <w:sz w:val="22"/>
          <w:szCs w:val="22"/>
        </w:rPr>
        <w:t xml:space="preserve">   1.4 System Description</w:t>
      </w:r>
      <w:r>
        <w:rPr>
          <w:rFonts w:ascii="Arial" w:cs="Arial" w:eastAsia="Arial" w:hAnsi="Arial"/>
          <w:sz w:val="22"/>
          <w:szCs w:val="22"/>
        </w:rPr>
        <w:t xml:space="preserve">	3</w:t>
      </w:r>
    </w:p>
    <w:p>
      <w:pPr>
        <w:tabs>
          <w:tab w:val="right" w:pos="9000"/>
        </w:tabs>
        <w:spacing w:after="60" w:before="60"/>
      </w:pPr>
      <w:r>
        <w:rPr>
          <w:rFonts w:ascii="Arial" w:cs="Arial" w:eastAsia="Arial" w:hAnsi="Arial"/>
          <w:b/>
          <w:bCs/>
          <w:sz w:val="22"/>
          <w:szCs w:val="22"/>
        </w:rPr>
        <w:t xml:space="preserve">II. Review of Related Literature and Studies</w:t>
      </w:r>
      <w:r>
        <w:rPr>
          <w:rFonts w:ascii="Arial" w:cs="Arial" w:eastAsia="Arial" w:hAnsi="Arial"/>
          <w:sz w:val="22"/>
          <w:szCs w:val="22"/>
        </w:rPr>
        <w:t xml:space="preserve">	4</w:t>
      </w:r>
    </w:p>
    <w:p>
      <w:pPr>
        <w:tabs>
          <w:tab w:val="right" w:pos="9000"/>
        </w:tabs>
        <w:spacing w:after="60" w:before="60"/>
      </w:pPr>
      <w:r>
        <w:rPr>
          <w:rFonts w:ascii="Arial" w:cs="Arial" w:eastAsia="Arial" w:hAnsi="Arial"/>
          <w:b w:val="false"/>
          <w:bCs w:val="false"/>
          <w:sz w:val="22"/>
          <w:szCs w:val="22"/>
        </w:rPr>
        <w:t xml:space="preserve">   2.1 Local Literature</w:t>
      </w:r>
      <w:r>
        <w:rPr>
          <w:rFonts w:ascii="Arial" w:cs="Arial" w:eastAsia="Arial" w:hAnsi="Arial"/>
          <w:sz w:val="22"/>
          <w:szCs w:val="22"/>
        </w:rPr>
        <w:t xml:space="preserve">	4</w:t>
      </w:r>
    </w:p>
    <w:p>
      <w:pPr>
        <w:tabs>
          <w:tab w:val="right" w:pos="9000"/>
        </w:tabs>
        <w:spacing w:after="60" w:before="60"/>
      </w:pPr>
      <w:r>
        <w:rPr>
          <w:rFonts w:ascii="Arial" w:cs="Arial" w:eastAsia="Arial" w:hAnsi="Arial"/>
          <w:b w:val="false"/>
          <w:bCs w:val="false"/>
          <w:sz w:val="22"/>
          <w:szCs w:val="22"/>
        </w:rPr>
        <w:t xml:space="preserve">   2.2 Foreign Literature</w:t>
      </w:r>
      <w:r>
        <w:rPr>
          <w:rFonts w:ascii="Arial" w:cs="Arial" w:eastAsia="Arial" w:hAnsi="Arial"/>
          <w:sz w:val="22"/>
          <w:szCs w:val="22"/>
        </w:rPr>
        <w:t xml:space="preserve">	6</w:t>
      </w:r>
    </w:p>
    <w:p>
      <w:pPr>
        <w:tabs>
          <w:tab w:val="right" w:pos="9000"/>
        </w:tabs>
        <w:spacing w:after="60" w:before="60"/>
      </w:pPr>
      <w:r>
        <w:rPr>
          <w:rFonts w:ascii="Arial" w:cs="Arial" w:eastAsia="Arial" w:hAnsi="Arial"/>
          <w:b/>
          <w:bCs/>
          <w:sz w:val="22"/>
          <w:szCs w:val="22"/>
        </w:rPr>
        <w:t xml:space="preserve">III. Research Design</w:t>
      </w:r>
      <w:r>
        <w:rPr>
          <w:rFonts w:ascii="Arial" w:cs="Arial" w:eastAsia="Arial" w:hAnsi="Arial"/>
          <w:sz w:val="22"/>
          <w:szCs w:val="22"/>
        </w:rPr>
        <w:t xml:space="preserve">	9</w:t>
      </w:r>
    </w:p>
    <w:p>
      <w:pPr>
        <w:tabs>
          <w:tab w:val="right" w:pos="9000"/>
        </w:tabs>
        <w:spacing w:after="60" w:before="60"/>
      </w:pPr>
      <w:r>
        <w:rPr>
          <w:rFonts w:ascii="Arial" w:cs="Arial" w:eastAsia="Arial" w:hAnsi="Arial"/>
          <w:b w:val="false"/>
          <w:bCs w:val="false"/>
          <w:sz w:val="22"/>
          <w:szCs w:val="22"/>
        </w:rPr>
        <w:t xml:space="preserve">   3.1 System Architecture</w:t>
      </w:r>
      <w:r>
        <w:rPr>
          <w:rFonts w:ascii="Arial" w:cs="Arial" w:eastAsia="Arial" w:hAnsi="Arial"/>
          <w:sz w:val="22"/>
          <w:szCs w:val="22"/>
        </w:rPr>
        <w:t xml:space="preserve">	9</w:t>
      </w:r>
    </w:p>
    <w:p>
      <w:pPr>
        <w:tabs>
          <w:tab w:val="right" w:pos="9000"/>
        </w:tabs>
        <w:spacing w:after="60" w:before="60"/>
      </w:pPr>
      <w:r>
        <w:rPr>
          <w:rFonts w:ascii="Arial" w:cs="Arial" w:eastAsia="Arial" w:hAnsi="Arial"/>
          <w:b w:val="false"/>
          <w:bCs w:val="false"/>
          <w:sz w:val="22"/>
          <w:szCs w:val="22"/>
        </w:rPr>
        <w:t xml:space="preserve">   3.2 System Flowchart</w:t>
      </w:r>
      <w:r>
        <w:rPr>
          <w:rFonts w:ascii="Arial" w:cs="Arial" w:eastAsia="Arial" w:hAnsi="Arial"/>
          <w:sz w:val="22"/>
          <w:szCs w:val="22"/>
        </w:rPr>
        <w:t xml:space="preserve">	9</w:t>
      </w:r>
    </w:p>
    <w:p>
      <w:pPr>
        <w:tabs>
          <w:tab w:val="right" w:pos="9000"/>
        </w:tabs>
        <w:spacing w:after="60" w:before="60"/>
      </w:pPr>
      <w:r>
        <w:rPr>
          <w:rFonts w:ascii="Arial" w:cs="Arial" w:eastAsia="Arial" w:hAnsi="Arial"/>
          <w:b w:val="false"/>
          <w:bCs w:val="false"/>
          <w:sz w:val="22"/>
          <w:szCs w:val="22"/>
        </w:rPr>
        <w:t xml:space="preserve">   3.3 System UI Design</w:t>
      </w:r>
      <w:r>
        <w:rPr>
          <w:rFonts w:ascii="Arial" w:cs="Arial" w:eastAsia="Arial" w:hAnsi="Arial"/>
          <w:sz w:val="22"/>
          <w:szCs w:val="22"/>
        </w:rPr>
        <w:t xml:space="preserve">	10</w:t>
      </w:r>
    </w:p>
    <w:p>
      <w:pPr>
        <w:tabs>
          <w:tab w:val="right" w:pos="9000"/>
        </w:tabs>
        <w:spacing w:after="60" w:before="60"/>
      </w:pPr>
      <w:r>
        <w:rPr>
          <w:rFonts w:ascii="Arial" w:cs="Arial" w:eastAsia="Arial" w:hAnsi="Arial"/>
          <w:b/>
          <w:bCs/>
          <w:sz w:val="22"/>
          <w:szCs w:val="22"/>
        </w:rPr>
        <w:t xml:space="preserve">IV. Results and Conclusion</w:t>
      </w:r>
      <w:r>
        <w:rPr>
          <w:rFonts w:ascii="Arial" w:cs="Arial" w:eastAsia="Arial" w:hAnsi="Arial"/>
          <w:sz w:val="22"/>
          <w:szCs w:val="22"/>
        </w:rPr>
        <w:t xml:space="preserve">	12</w:t>
      </w:r>
    </w:p>
    <w:p>
      <w:pPr>
        <w:tabs>
          <w:tab w:val="right" w:pos="9000"/>
        </w:tabs>
        <w:spacing w:after="60" w:before="60"/>
      </w:pPr>
      <w:r>
        <w:rPr>
          <w:rFonts w:ascii="Arial" w:cs="Arial" w:eastAsia="Arial" w:hAnsi="Arial"/>
          <w:b/>
          <w:bCs/>
          <w:sz w:val="22"/>
          <w:szCs w:val="22"/>
        </w:rPr>
        <w:t xml:space="preserve">V. References</w:t>
      </w:r>
      <w:r>
        <w:rPr>
          <w:rFonts w:ascii="Arial" w:cs="Arial" w:eastAsia="Arial" w:hAnsi="Arial"/>
          <w:sz w:val="22"/>
          <w:szCs w:val="22"/>
        </w:rPr>
        <w:t xml:space="preserve">	13</w:t>
      </w:r>
    </w:p>
    <w:p>
      <w:pPr>
        <w:tabs>
          <w:tab w:val="right" w:pos="9000"/>
        </w:tabs>
        <w:spacing w:after="60" w:before="60"/>
      </w:pPr>
      <w:r>
        <w:rPr>
          <w:rFonts w:ascii="Arial" w:cs="Arial" w:eastAsia="Arial" w:hAnsi="Arial"/>
          <w:b/>
          <w:bCs/>
          <w:sz w:val="22"/>
          <w:szCs w:val="22"/>
        </w:rPr>
        <w:t xml:space="preserve">VI. Appendices</w:t>
      </w:r>
      <w:r>
        <w:rPr>
          <w:rFonts w:ascii="Arial" w:cs="Arial" w:eastAsia="Arial" w:hAnsi="Arial"/>
          <w:sz w:val="22"/>
          <w:szCs w:val="22"/>
        </w:rPr>
        <w:t xml:space="preserve">	14</w:t>
      </w:r>
    </w:p>
    <w:p>
      <w:r>
        <w:br w:type="page"/>
      </w:r>
    </w:p>
    <w:p>
      <w:pPr>
        <w:spacing w:after="80" w:before="60"/>
      </w:pPr>
      <w:r>
        <w:rPr>
          <w:rFonts w:ascii="Arial" w:cs="Arial" w:eastAsia="Arial" w:hAnsi="Arial"/>
          <w:b/>
          <w:bCs/>
          <w:color w:val="5a8aaa"/>
          <w:spacing w:val="40"/>
          <w:sz w:val="18"/>
          <w:szCs w:val="18"/>
        </w:rPr>
        <w:t xml:space="preserve">CHAPTER I</w:t>
      </w:r>
    </w:p>
    <w:p>
      <w:pPr>
        <w:pStyle w:val="Heading1"/>
        <w:spacing w:after="160" w:before="400"/>
      </w:pPr>
      <w:r>
        <w:rPr>
          <w:rFonts w:ascii="Arial" w:cs="Arial" w:eastAsia="Arial" w:hAnsi="Arial"/>
          <w:b/>
          <w:bCs/>
          <w:sz w:val="28"/>
          <w:szCs w:val="28"/>
        </w:rPr>
        <w:t xml:space="preserve">THE PROBLEM AND ITS BACKGROUND</w:t>
      </w:r>
    </w:p>
    <w:p>
      <w:pPr>
        <w:pBdr>
          <w:bottom w:val="single" w:color="00D4FF" w:sz="4" w:space="1"/>
        </w:pBdr>
        <w:spacing w:after="160" w:before="160"/>
      </w:pPr>
    </w:p>
    <w:p>
      <w:pPr>
        <w:pStyle w:val="Heading2"/>
        <w:spacing w:after="160" w:before="280"/>
      </w:pPr>
      <w:r>
        <w:rPr>
          <w:rFonts w:ascii="Arial" w:cs="Arial" w:eastAsia="Arial" w:hAnsi="Arial"/>
          <w:b/>
          <w:bCs/>
          <w:sz w:val="24"/>
          <w:szCs w:val="24"/>
        </w:rPr>
        <w:t xml:space="preserve">1.1 Introduction</w:t>
      </w:r>
    </w:p>
    <w:p>
      <w:pPr>
        <w:spacing w:after="120" w:before="80" w:line="320"/>
        <w:jc w:val="both"/>
      </w:pPr>
      <w:r>
        <w:rPr>
          <w:rFonts w:ascii="Arial" w:cs="Arial" w:eastAsia="Arial" w:hAnsi="Arial"/>
          <w:sz w:val="22"/>
          <w:szCs w:val="22"/>
        </w:rPr>
        <w:t xml:space="preserve">BuildMatrix is a web-based PC building system developed for Filipino students, hobbyists, and first-time builders who want to plan and assemble a personal computer without requiring deep technical expertise. The system provides a complete, all-in-one environment where users can browse components, check real-time compatibility, calculate total costs in Philippine pesos, and save their build configurations to an account. </w:t>
      </w:r>
    </w:p>
    <w:p>
      <w:pPr>
        <w:spacing w:after="120" w:before="80" w:line="320"/>
        <w:jc w:val="both"/>
      </w:pPr>
      <w:r>
        <w:rPr>
          <w:rFonts w:ascii="Arial" w:cs="Arial" w:eastAsia="Arial" w:hAnsi="Arial"/>
          <w:sz w:val="22"/>
          <w:szCs w:val="22"/>
        </w:rPr>
        <w:t xml:space="preserve">The platform is structured around three core experiences: a </w:t>
      </w:r>
      <w:r>
        <w:rPr>
          <w:rFonts w:ascii="Arial" w:cs="Arial" w:eastAsia="Arial" w:hAnsi="Arial"/>
          <w:b/>
          <w:bCs/>
          <w:sz w:val="22"/>
          <w:szCs w:val="22"/>
        </w:rPr>
        <w:t xml:space="preserve">Homepage </w:t>
      </w:r>
      <w:r>
        <w:rPr>
          <w:rFonts w:ascii="Arial" w:cs="Arial" w:eastAsia="Arial" w:hAnsi="Arial"/>
          <w:sz w:val="22"/>
          <w:szCs w:val="22"/>
        </w:rPr>
        <w:t xml:space="preserve">that presents build tiers, component categories, and educational guides; a </w:t>
      </w:r>
      <w:r>
        <w:rPr>
          <w:rFonts w:ascii="Arial" w:cs="Arial" w:eastAsia="Arial" w:hAnsi="Arial"/>
          <w:b/>
          <w:bCs/>
          <w:sz w:val="22"/>
          <w:szCs w:val="22"/>
        </w:rPr>
        <w:t xml:space="preserve">PC Builder </w:t>
      </w:r>
      <w:r>
        <w:rPr>
          <w:rFonts w:ascii="Arial" w:cs="Arial" w:eastAsia="Arial" w:hAnsi="Arial"/>
          <w:sz w:val="22"/>
          <w:szCs w:val="22"/>
        </w:rPr>
        <w:t xml:space="preserve">that allows component-by-component selection with live compatibility checking; and a </w:t>
      </w:r>
      <w:r>
        <w:rPr>
          <w:rFonts w:ascii="Arial" w:cs="Arial" w:eastAsia="Arial" w:hAnsi="Arial"/>
          <w:b/>
          <w:bCs/>
          <w:sz w:val="22"/>
          <w:szCs w:val="22"/>
        </w:rPr>
        <w:t xml:space="preserve">Build Database (Spec DB) </w:t>
      </w:r>
      <w:r>
        <w:rPr>
          <w:rFonts w:ascii="Arial" w:cs="Arial" w:eastAsia="Arial" w:hAnsi="Arial"/>
          <w:sz w:val="22"/>
          <w:szCs w:val="22"/>
        </w:rPr>
        <w:t xml:space="preserve">that provides detailed technical specifications for GPUs, CPUs, and storage devices for reference and comparison.</w:t>
      </w:r>
    </w:p>
    <w:p>
      <w:pPr>
        <w:spacing w:after="120" w:before="80" w:line="320"/>
        <w:jc w:val="both"/>
      </w:pPr>
      <w:r>
        <w:rPr>
          <w:rFonts w:ascii="Arial" w:cs="Arial" w:eastAsia="Arial" w:hAnsi="Arial"/>
          <w:sz w:val="22"/>
          <w:szCs w:val="22"/>
        </w:rPr>
        <w:t xml:space="preserve">The system addresses a common frustration among Filipino PC buyers: the need to cross-reference multiple websites to verify compatibility between components, compare prices, and ensure the selected build fits within their budget. BuildMatrix consolidates this process into a single, guided workflow with automatic warnings, a real-time cost tracker, and a curated database of 167+ parts with Philippine market pricing.</w:t>
      </w:r>
    </w:p>
    <w:p>
      <w:pPr>
        <w:pStyle w:val="Heading2"/>
        <w:spacing w:after="160" w:before="280"/>
      </w:pPr>
      <w:r>
        <w:rPr>
          <w:rFonts w:ascii="Arial" w:cs="Arial" w:eastAsia="Arial" w:hAnsi="Arial"/>
          <w:b/>
          <w:bCs/>
          <w:sz w:val="24"/>
          <w:szCs w:val="24"/>
        </w:rPr>
        <w:t xml:space="preserve">1.2 Problem Statement</w:t>
      </w:r>
    </w:p>
    <w:p>
      <w:pPr>
        <w:spacing w:after="120" w:before="80" w:line="320"/>
        <w:jc w:val="both"/>
      </w:pPr>
      <w:r>
        <w:rPr>
          <w:rFonts w:ascii="Arial" w:cs="Arial" w:eastAsia="Arial" w:hAnsi="Arial"/>
          <w:sz w:val="22"/>
          <w:szCs w:val="22"/>
        </w:rPr>
        <w:t xml:space="preserve">Selecting PC components in the Philippines is a fragmented and error-prone process. Users must manually verify compatibility across multiple specification requirements — CPU socket types, RAM DDR generations, GPU physical clearance within the case, and PSU wattage capacity — while simultaneously tracking component pricing across different retailers. This scattered approach is time-consuming, confusing for beginners, and frequently results in costly mistakes such as purchasing incompatible parts or exceeding the intended budget. The absence of a unified, locally-contextualized PC configuration tool is a significant gap in the Philippine technology consumer space.</w:t>
      </w:r>
    </w:p>
    <w:p>
      <w:pPr>
        <w:pStyle w:val="Heading2"/>
        <w:spacing w:after="160" w:before="280"/>
      </w:pPr>
      <w:r>
        <w:rPr>
          <w:rFonts w:ascii="Arial" w:cs="Arial" w:eastAsia="Arial" w:hAnsi="Arial"/>
          <w:b/>
          <w:bCs/>
          <w:sz w:val="24"/>
          <w:szCs w:val="24"/>
        </w:rPr>
        <w:t xml:space="preserve">1.3 Objectives of the Study</w:t>
      </w:r>
    </w:p>
    <w:p>
      <w:pPr>
        <w:pStyle w:val="Heading3"/>
        <w:spacing w:after="160" w:before="280"/>
      </w:pPr>
      <w:r>
        <w:rPr>
          <w:rFonts w:ascii="Arial" w:cs="Arial" w:eastAsia="Arial" w:hAnsi="Arial"/>
          <w:b/>
          <w:bCs/>
          <w:sz w:val="22"/>
          <w:szCs w:val="22"/>
        </w:rPr>
        <w:t xml:space="preserve">1.3.1 General Objectives</w:t>
      </w:r>
    </w:p>
    <w:p>
      <w:pPr>
        <w:spacing w:after="120" w:before="80" w:line="320"/>
        <w:jc w:val="both"/>
      </w:pPr>
      <w:r>
        <w:rPr>
          <w:rFonts w:ascii="Arial" w:cs="Arial" w:eastAsia="Arial" w:hAnsi="Arial"/>
          <w:sz w:val="22"/>
          <w:szCs w:val="22"/>
        </w:rPr>
        <w:t xml:space="preserve">The primary objective of this study is to design, develop, and deploy a full-stack web-based PC building system that enables Filipino users to select compatible PC components, monitor total build cost in real time, receive automated compatibility warnings, and securely save and manage their build configurations through a registered account.</w:t>
      </w:r>
    </w:p>
    <w:p>
      <w:pPr>
        <w:pStyle w:val="Heading3"/>
        <w:spacing w:after="160" w:before="280"/>
      </w:pPr>
      <w:r>
        <w:rPr>
          <w:rFonts w:ascii="Arial" w:cs="Arial" w:eastAsia="Arial" w:hAnsi="Arial"/>
          <w:b/>
          <w:bCs/>
          <w:sz w:val="22"/>
          <w:szCs w:val="22"/>
        </w:rPr>
        <w:t xml:space="preserve">1.3.2 Specific Objectives</w:t>
      </w:r>
    </w:p>
    <w:p>
      <w:pPr>
        <w:pStyle w:val="ListParagraph"/>
        <w:numPr>
          <w:ilvl w:val="0"/>
          <w:numId w:val="2"/>
        </w:numPr>
        <w:spacing w:after="60" w:before="60" w:line="300"/>
      </w:pPr>
      <w:r>
        <w:rPr>
          <w:rFonts w:ascii="Arial" w:cs="Arial" w:eastAsia="Arial" w:hAnsi="Arial"/>
          <w:sz w:val="22"/>
          <w:szCs w:val="22"/>
        </w:rPr>
        <w:t xml:space="preserve">To develop an organized catalog of 167+ PC components across 9 categories — Processors (CPU), Graphics Cards (GPU), Motherboards, Memory (RAM), Storage (SSD/HDD), Power Supplies, PC Cases, Monitors, and Cooling Fans — with complete Philippine peso pricing and technical specifications.</w:t>
      </w:r>
    </w:p>
    <w:p>
      <w:pPr>
        <w:pStyle w:val="ListParagraph"/>
        <w:numPr>
          <w:ilvl w:val="0"/>
          <w:numId w:val="2"/>
        </w:numPr>
        <w:spacing w:after="60" w:before="60" w:line="300"/>
      </w:pPr>
      <w:r>
        <w:rPr>
          <w:rFonts w:ascii="Arial" w:cs="Arial" w:eastAsia="Arial" w:hAnsi="Arial"/>
          <w:sz w:val="22"/>
          <w:szCs w:val="22"/>
        </w:rPr>
        <w:t xml:space="preserve">To implement a real-time hardware compatibility checker that automatically detects and flags CPU-motherboard socket mismatches, incorrect RAM DDR type, insufficient PSU wattage, and GPU length exceeding case clearance.</w:t>
      </w:r>
    </w:p>
    <w:p>
      <w:pPr>
        <w:pStyle w:val="ListParagraph"/>
        <w:numPr>
          <w:ilvl w:val="0"/>
          <w:numId w:val="2"/>
        </w:numPr>
        <w:spacing w:after="60" w:before="60" w:line="300"/>
      </w:pPr>
      <w:r>
        <w:rPr>
          <w:rFonts w:ascii="Arial" w:cs="Arial" w:eastAsia="Arial" w:hAnsi="Arial"/>
          <w:sz w:val="22"/>
          <w:szCs w:val="22"/>
        </w:rPr>
        <w:t xml:space="preserve">To provide an interactive Build Tiers system featuring four predefined configuration levels — Casual Build (₱15K–₱25K), Mid-Range Gaming (₱40K–₱60K), High-End Gaming (₱60K–₱90K), and 4K Gaming &amp; Editing (₱120K+) — as guided starting points for new builders.</w:t>
      </w:r>
    </w:p>
    <w:p>
      <w:pPr>
        <w:pStyle w:val="ListParagraph"/>
        <w:numPr>
          <w:ilvl w:val="0"/>
          <w:numId w:val="2"/>
        </w:numPr>
        <w:spacing w:after="60" w:before="60" w:line="300"/>
      </w:pPr>
      <w:r>
        <w:rPr>
          <w:rFonts w:ascii="Arial" w:cs="Arial" w:eastAsia="Arial" w:hAnsi="Arial"/>
          <w:sz w:val="22"/>
          <w:szCs w:val="22"/>
        </w:rPr>
        <w:t xml:space="preserve">To build a Spec Database page that displays detailed technical specifications for GPUs (shaders, TMUs, ROPs, VRAM, bandwidth, TDP, FP32 TFLOPS), CPUs, and SSDs, enabling users to compare hardware at a technical level.</w:t>
      </w:r>
    </w:p>
    <w:p>
      <w:pPr>
        <w:pStyle w:val="ListParagraph"/>
        <w:numPr>
          <w:ilvl w:val="0"/>
          <w:numId w:val="2"/>
        </w:numPr>
        <w:spacing w:after="60" w:before="60" w:line="300"/>
      </w:pPr>
      <w:r>
        <w:rPr>
          <w:rFonts w:ascii="Arial" w:cs="Arial" w:eastAsia="Arial" w:hAnsi="Arial"/>
          <w:sz w:val="22"/>
          <w:szCs w:val="22"/>
        </w:rPr>
        <w:t xml:space="preserve">To implement a secure user authentication system with email-based OTP (one-time password) verification for account registration, password reset, and security setting changes, alongside Two-Factor Authentication (2FA) using Google Authenticator.</w:t>
      </w:r>
    </w:p>
    <w:p>
      <w:pPr>
        <w:pStyle w:val="ListParagraph"/>
        <w:numPr>
          <w:ilvl w:val="0"/>
          <w:numId w:val="2"/>
        </w:numPr>
        <w:spacing w:after="60" w:before="60" w:line="300"/>
      </w:pPr>
      <w:r>
        <w:rPr>
          <w:rFonts w:ascii="Arial" w:cs="Arial" w:eastAsia="Arial" w:hAnsi="Arial"/>
          <w:sz w:val="22"/>
          <w:szCs w:val="22"/>
        </w:rPr>
        <w:t xml:space="preserve">To allow users to save, rename, export, and share their PC build configurations, with full cloud synchronization to their registered account accessible across devices.</w:t>
      </w:r>
    </w:p>
    <w:p>
      <w:pPr>
        <w:pStyle w:val="ListParagraph"/>
        <w:numPr>
          <w:ilvl w:val="0"/>
          <w:numId w:val="2"/>
        </w:numPr>
        <w:spacing w:after="60" w:before="60" w:line="300"/>
      </w:pPr>
      <w:r>
        <w:rPr>
          <w:rFonts w:ascii="Arial" w:cs="Arial" w:eastAsia="Arial" w:hAnsi="Arial"/>
          <w:sz w:val="22"/>
          <w:szCs w:val="22"/>
        </w:rPr>
        <w:t xml:space="preserve">To include an Auto Build feature that recommends a complete PC configuration based on the user's stated budget and use case (gaming, productivity, or streaming).</w:t>
      </w:r>
    </w:p>
    <w:p>
      <w:pPr>
        <w:pStyle w:val="ListParagraph"/>
        <w:numPr>
          <w:ilvl w:val="0"/>
          <w:numId w:val="2"/>
        </w:numPr>
        <w:spacing w:after="60" w:before="60" w:line="300"/>
      </w:pPr>
      <w:r>
        <w:rPr>
          <w:rFonts w:ascii="Arial" w:cs="Arial" w:eastAsia="Arial" w:hAnsi="Arial"/>
          <w:sz w:val="22"/>
          <w:szCs w:val="22"/>
        </w:rPr>
        <w:t xml:space="preserve">To provide a PC Builder educational section with guides on CPU selection, cooling, overclocking, and PC building for beginners specific to the Philippine market.</w:t>
      </w:r>
    </w:p>
    <w:p>
      <w:pPr>
        <w:pStyle w:val="Heading2"/>
        <w:spacing w:after="160" w:before="280"/>
      </w:pPr>
      <w:r>
        <w:rPr>
          <w:rFonts w:ascii="Arial" w:cs="Arial" w:eastAsia="Arial" w:hAnsi="Arial"/>
          <w:b/>
          <w:bCs/>
          <w:sz w:val="24"/>
          <w:szCs w:val="24"/>
        </w:rPr>
        <w:t xml:space="preserve">1.4 System Description</w:t>
      </w:r>
    </w:p>
    <w:p>
      <w:pPr>
        <w:spacing w:after="120" w:before="80" w:line="320"/>
        <w:jc w:val="both"/>
      </w:pPr>
      <w:r>
        <w:rPr>
          <w:rFonts w:ascii="Arial" w:cs="Arial" w:eastAsia="Arial" w:hAnsi="Arial"/>
          <w:sz w:val="22"/>
          <w:szCs w:val="22"/>
        </w:rPr>
        <w:t xml:space="preserve">BuildMatrix is developed as a full-stack web application. The frontend is built with HTML5, CSS3, and vanilla JavaScript, delivering a responsive cyber-themed interface optimized for both desktop and mobile users. The backend is powered by Node.js and Express.js, with an embedded SQLite database managed via sql.js, making the system deployable without a separate database server. User data, build configurations, email verification records, and 2FA tokens are all stored and managed server-side.</w:t>
      </w:r>
    </w:p>
    <w:p>
      <w:pPr>
        <w:spacing w:after="120" w:before="80" w:line="320"/>
        <w:jc w:val="both"/>
      </w:pPr>
      <w:r>
        <w:rPr>
          <w:rFonts w:ascii="Arial" w:cs="Arial" w:eastAsia="Arial" w:hAnsi="Arial"/>
          <w:sz w:val="22"/>
          <w:szCs w:val="22"/>
        </w:rPr>
        <w:t xml:space="preserve">The system is organized into five primary pages: (1) the </w:t>
      </w:r>
      <w:r>
        <w:rPr>
          <w:rFonts w:ascii="Arial" w:cs="Arial" w:eastAsia="Arial" w:hAnsi="Arial"/>
          <w:b/>
          <w:bCs/>
          <w:sz w:val="22"/>
          <w:szCs w:val="22"/>
        </w:rPr>
        <w:t xml:space="preserve">Homepage</w:t>
      </w:r>
      <w:r>
        <w:rPr>
          <w:rFonts w:ascii="Arial" w:cs="Arial" w:eastAsia="Arial" w:hAnsi="Arial"/>
          <w:sz w:val="22"/>
          <w:szCs w:val="22"/>
        </w:rPr>
        <w:t xml:space="preserve"> featuring the hero section, build tier showcase, component category navigation, educational guides, and a call-to-action section; (2) the </w:t>
      </w:r>
      <w:r>
        <w:rPr>
          <w:rFonts w:ascii="Arial" w:cs="Arial" w:eastAsia="Arial" w:hAnsi="Arial"/>
          <w:b/>
          <w:bCs/>
          <w:sz w:val="22"/>
          <w:szCs w:val="22"/>
        </w:rPr>
        <w:t xml:space="preserve">PC Builder</w:t>
      </w:r>
      <w:r>
        <w:rPr>
          <w:rFonts w:ascii="Arial" w:cs="Arial" w:eastAsia="Arial" w:hAnsi="Arial"/>
          <w:sz w:val="22"/>
          <w:szCs w:val="22"/>
        </w:rPr>
        <w:t xml:space="preserve"> with the three-column layout of component sidebar, product grid, and live build panel; (3) the </w:t>
      </w:r>
      <w:r>
        <w:rPr>
          <w:rFonts w:ascii="Arial" w:cs="Arial" w:eastAsia="Arial" w:hAnsi="Arial"/>
          <w:b/>
          <w:bCs/>
          <w:sz w:val="22"/>
          <w:szCs w:val="22"/>
        </w:rPr>
        <w:t xml:space="preserve">Build Database (Spec DB)</w:t>
      </w:r>
      <w:r>
        <w:rPr>
          <w:rFonts w:ascii="Arial" w:cs="Arial" w:eastAsia="Arial" w:hAnsi="Arial"/>
          <w:sz w:val="22"/>
          <w:szCs w:val="22"/>
        </w:rPr>
        <w:t xml:space="preserve"> for detailed hardware specification browsing; (4) the </w:t>
      </w:r>
      <w:r>
        <w:rPr>
          <w:rFonts w:ascii="Arial" w:cs="Arial" w:eastAsia="Arial" w:hAnsi="Arial"/>
          <w:b/>
          <w:bCs/>
          <w:sz w:val="22"/>
          <w:szCs w:val="22"/>
        </w:rPr>
        <w:t xml:space="preserve">Authentication Page</w:t>
      </w:r>
      <w:r>
        <w:rPr>
          <w:rFonts w:ascii="Arial" w:cs="Arial" w:eastAsia="Arial" w:hAnsi="Arial"/>
          <w:sz w:val="22"/>
          <w:szCs w:val="22"/>
        </w:rPr>
        <w:t xml:space="preserve"> for secure login and account creation with email OTP verification; and (5) the </w:t>
      </w:r>
      <w:r>
        <w:rPr>
          <w:rFonts w:ascii="Arial" w:cs="Arial" w:eastAsia="Arial" w:hAnsi="Arial"/>
          <w:b/>
          <w:bCs/>
          <w:sz w:val="22"/>
          <w:szCs w:val="22"/>
        </w:rPr>
        <w:t xml:space="preserve">Loading Screen</w:t>
      </w:r>
      <w:r>
        <w:rPr>
          <w:rFonts w:ascii="Arial" w:cs="Arial" w:eastAsia="Arial" w:hAnsi="Arial"/>
          <w:sz w:val="22"/>
          <w:szCs w:val="22"/>
        </w:rPr>
        <w:t xml:space="preserve"> that provides an animated brand introduction before routing users to the authentication flow.</w:t>
      </w:r>
    </w:p>
    <w:p>
      <w:pPr>
        <w:spacing w:after="120" w:before="80" w:line="320"/>
        <w:jc w:val="both"/>
      </w:pPr>
      <w:r>
        <w:rPr>
          <w:rFonts w:ascii="Arial" w:cs="Arial" w:eastAsia="Arial" w:hAnsi="Arial"/>
          <w:sz w:val="22"/>
          <w:szCs w:val="22"/>
        </w:rPr>
        <w:t xml:space="preserve">Security features include bcrypt password hashing, session management via express-session, CORS configuration for both local and ngrok public access, and a complete OTP email delivery system using Nodemailer with Gmail SMTP. The branded email template — displaying a 6-digit code with the BuildMatrix cyber design — is delivered to users' inboxes during registration, password reset, and security setting changes.</w:t>
      </w:r>
    </w:p>
    <w:p>
      <w:r>
        <w:br w:type="page"/>
      </w:r>
    </w:p>
    <w:p>
      <w:pPr>
        <w:spacing w:after="80" w:before="60"/>
      </w:pPr>
      <w:r>
        <w:rPr>
          <w:rFonts w:ascii="Arial" w:cs="Arial" w:eastAsia="Arial" w:hAnsi="Arial"/>
          <w:b/>
          <w:bCs/>
          <w:color w:val="5a8aaa"/>
          <w:spacing w:val="40"/>
          <w:sz w:val="18"/>
          <w:szCs w:val="18"/>
        </w:rPr>
        <w:t xml:space="preserve">CHAPTER II</w:t>
      </w:r>
    </w:p>
    <w:p>
      <w:pPr>
        <w:pStyle w:val="Heading1"/>
        <w:spacing w:after="160" w:before="400"/>
      </w:pPr>
      <w:r>
        <w:rPr>
          <w:rFonts w:ascii="Arial" w:cs="Arial" w:eastAsia="Arial" w:hAnsi="Arial"/>
          <w:b/>
          <w:bCs/>
          <w:sz w:val="28"/>
          <w:szCs w:val="28"/>
        </w:rPr>
        <w:t xml:space="preserve">REVIEW OF RELATED LITERATURE AND STUDIES</w:t>
      </w:r>
    </w:p>
    <w:p>
      <w:pPr>
        <w:pBdr>
          <w:bottom w:val="single" w:color="00D4FF" w:sz="4" w:space="1"/>
        </w:pBdr>
        <w:spacing w:after="160" w:before="160"/>
      </w:pPr>
    </w:p>
    <w:p>
      <w:pPr>
        <w:spacing w:after="160" w:before="80" w:line="320"/>
        <w:jc w:val="both"/>
      </w:pPr>
      <w:r>
        <w:rPr>
          <w:rFonts w:ascii="Arial" w:cs="Arial" w:eastAsia="Arial" w:hAnsi="Arial"/>
          <w:sz w:val="22"/>
          <w:szCs w:val="22"/>
        </w:rPr>
        <w:t xml:space="preserve">This chapter presents the review of related literature and studies that provide the theoretical and empirical foundation for the development of BuildMatrix. The sources are organized into local literature — studies conducted within the Philippine context — and foreign literature — international research relevant to the system's core functions of web-based product configuration, e-commerce interface design, recommendation systems, and component compatibility verification.</w:t>
      </w:r>
    </w:p>
    <w:p>
      <w:pPr>
        <w:pStyle w:val="Heading2"/>
        <w:spacing w:after="160" w:before="280"/>
      </w:pPr>
      <w:r>
        <w:rPr>
          <w:rFonts w:ascii="Arial" w:cs="Arial" w:eastAsia="Arial" w:hAnsi="Arial"/>
          <w:b/>
          <w:bCs/>
          <w:sz w:val="24"/>
          <w:szCs w:val="24"/>
        </w:rPr>
        <w:t xml:space="preserve">2.1 Local Literature</w:t>
      </w:r>
    </w:p>
    <w:p>
      <w:pPr>
        <w:spacing w:after="60" w:before="200"/>
      </w:pPr>
      <w:r>
        <w:rPr>
          <w:rFonts w:ascii="Arial" w:cs="Arial" w:eastAsia="Arial" w:hAnsi="Arial"/>
          <w:b/>
          <w:bCs/>
          <w:sz w:val="22"/>
          <w:szCs w:val="22"/>
        </w:rPr>
        <w:t xml:space="preserve">[Local 1] Quimba, F. M. A., &amp; Calizo, S. C. (2019). Determinants of E-Commerce Adoption of Philippine Firms. PIDS Discussion Paper Series No. 2019-24. Philippine Institute for Development Studies.</w:t>
      </w:r>
    </w:p>
    <w:p>
      <w:pPr>
        <w:spacing w:after="60" w:before="40"/>
      </w:pPr>
      <w:r>
        <w:rPr>
          <w:rFonts w:ascii="Arial" w:cs="Arial" w:eastAsia="Arial" w:hAnsi="Arial"/>
          <w:sz w:val="20"/>
          <w:szCs w:val="20"/>
        </w:rPr>
        <w:t xml:space="preserve">Link: </w:t>
      </w:r>
      <w:hyperlink w:history="1" r:id="rIdn6-vph_yeogwaqdh9u27z">
        <w:r>
          <w:rPr>
            <w:rStyle w:val="Hyperlink"/>
            <w:rFonts w:ascii="Arial" w:cs="Arial" w:eastAsia="Arial" w:hAnsi="Arial"/>
            <w:sz w:val="20"/>
            <w:szCs w:val="20"/>
          </w:rPr>
          <w:t xml:space="preserve">https://pidswebs.pids.gov.ph/CDN/PUBLICATIONS/pidsdps1924.pdf</w:t>
        </w:r>
      </w:hyperlink>
    </w:p>
    <w:p>
      <w:pPr>
        <w:spacing w:after="160" w:before="60" w:line="300"/>
        <w:ind w:left="360"/>
        <w:jc w:val="both"/>
      </w:pPr>
      <w:r>
        <w:rPr>
          <w:rFonts w:ascii="Arial" w:cs="Arial" w:eastAsia="Arial" w:hAnsi="Arial"/>
          <w:i/>
          <w:iCs/>
          <w:sz w:val="20"/>
          <w:szCs w:val="20"/>
        </w:rPr>
        <w:t xml:space="preserve">This PIDS study used data from the Philippine Survey on Information and Communications Technology (SICT) for 2013 and 2015, finding that only 1 in 7 Philippine firms had adopted e-commerce by 2015. It identified cost transparency, product information quality, and user trust as the leading factors in e-commerce conversion. These findings directly inform BuildMatrix's design priority of providing clear Philippine peso pricing, organized component specifications, and trust-building security features.</w:t>
      </w:r>
    </w:p>
    <w:p>
      <w:pPr>
        <w:spacing w:after="60" w:before="200"/>
      </w:pPr>
      <w:r>
        <w:rPr>
          <w:rFonts w:ascii="Arial" w:cs="Arial" w:eastAsia="Arial" w:hAnsi="Arial"/>
          <w:b/>
          <w:bCs/>
          <w:sz w:val="22"/>
          <w:szCs w:val="22"/>
        </w:rPr>
        <w:t xml:space="preserve">[Local 2] Philippine Statistics Authority. (2015). Survey on Information and Communications Technology (SICT) 2015 Results. Philippine Statistics Authority, Quezon City.</w:t>
      </w:r>
    </w:p>
    <w:p>
      <w:pPr>
        <w:spacing w:after="60" w:before="40"/>
      </w:pPr>
      <w:r>
        <w:rPr>
          <w:rFonts w:ascii="Arial" w:cs="Arial" w:eastAsia="Arial" w:hAnsi="Arial"/>
          <w:sz w:val="20"/>
          <w:szCs w:val="20"/>
        </w:rPr>
        <w:t xml:space="preserve">Link: </w:t>
      </w:r>
      <w:hyperlink w:history="1" r:id="rIdtpmlrplhunmwcxq2l4lvw">
        <w:r>
          <w:rPr>
            <w:rStyle w:val="Hyperlink"/>
            <w:rFonts w:ascii="Arial" w:cs="Arial" w:eastAsia="Arial" w:hAnsi="Arial"/>
            <w:sz w:val="20"/>
            <w:szCs w:val="20"/>
          </w:rPr>
          <w:t xml:space="preserve">https://psa.gov.ph/content/survey-information-and-communications-technology</w:t>
        </w:r>
      </w:hyperlink>
    </w:p>
    <w:p>
      <w:pPr>
        <w:spacing w:after="160" w:before="60" w:line="300"/>
        <w:ind w:left="360"/>
        <w:jc w:val="both"/>
      </w:pPr>
      <w:r>
        <w:rPr>
          <w:rFonts w:ascii="Arial" w:cs="Arial" w:eastAsia="Arial" w:hAnsi="Arial"/>
          <w:i/>
          <w:iCs/>
          <w:sz w:val="20"/>
          <w:szCs w:val="20"/>
        </w:rPr>
        <w:t xml:space="preserve">The PSA SICT is the authoritative government survey on ICT usage across Philippine households and businesses. The 2015 round showed that consumer electronics and computer hardware were among the top categories for online price comparison, though actual online purchasing remained low due to trust barriers and the complexity of hardware specifications. BuildMatrix addresses both issues through its organized catalog, transparent pricing, and secure account system.</w:t>
      </w:r>
    </w:p>
    <w:p>
      <w:pPr>
        <w:spacing w:after="60" w:before="200"/>
      </w:pPr>
      <w:r>
        <w:rPr>
          <w:rFonts w:ascii="Arial" w:cs="Arial" w:eastAsia="Arial" w:hAnsi="Arial"/>
          <w:b/>
          <w:bCs/>
          <w:sz w:val="22"/>
          <w:szCs w:val="22"/>
        </w:rPr>
        <w:t xml:space="preserve">[Local 3] Bringula, R. P., Canseco, J. V. T., Durolfo, P. L. J., Villanueva, L. C. A., &amp; Caraos, G. M. (2022). Effects of Computer-Based Training in Computer Hardware Servicing on Students' Academic Performance. University of the East, Philippines.</w:t>
      </w:r>
    </w:p>
    <w:p>
      <w:pPr>
        <w:spacing w:after="60" w:before="40"/>
      </w:pPr>
      <w:r>
        <w:rPr>
          <w:rFonts w:ascii="Arial" w:cs="Arial" w:eastAsia="Arial" w:hAnsi="Arial"/>
          <w:sz w:val="20"/>
          <w:szCs w:val="20"/>
        </w:rPr>
        <w:t xml:space="preserve">Link: </w:t>
      </w:r>
      <w:hyperlink w:history="1" r:id="rIdwrbnoktwdxrttjo0uhdcu">
        <w:r>
          <w:rPr>
            <w:rStyle w:val="Hyperlink"/>
            <w:rFonts w:ascii="Arial" w:cs="Arial" w:eastAsia="Arial" w:hAnsi="Arial"/>
            <w:sz w:val="20"/>
            <w:szCs w:val="20"/>
          </w:rPr>
          <w:t xml:space="preserve">https://www.researchgate.net/publication/367503268</w:t>
        </w:r>
      </w:hyperlink>
    </w:p>
    <w:p>
      <w:pPr>
        <w:spacing w:after="160" w:before="60" w:line="300"/>
        <w:ind w:left="360"/>
        <w:jc w:val="both"/>
      </w:pPr>
      <w:r>
        <w:rPr>
          <w:rFonts w:ascii="Arial" w:cs="Arial" w:eastAsia="Arial" w:hAnsi="Arial"/>
          <w:i/>
          <w:iCs/>
          <w:sz w:val="20"/>
          <w:szCs w:val="20"/>
        </w:rPr>
        <w:t xml:space="preserve">This University of the East Philippines study demonstrated that interactive, hands-on computer hardware training resulted in significantly better learning outcomes than passive instruction. The experimental group showed measurably higher retention of component compatibility rules and assembly knowledge. BuildMatrix draws from this finding through its interactive build workflow, live compatibility warnings, and educational guide section that teaches PC building concepts while users configure their systems.</w:t>
      </w:r>
    </w:p>
    <w:p>
      <w:pPr>
        <w:spacing w:after="60" w:before="200"/>
      </w:pPr>
      <w:r>
        <w:rPr>
          <w:rFonts w:ascii="Arial" w:cs="Arial" w:eastAsia="Arial" w:hAnsi="Arial"/>
          <w:b/>
          <w:bCs/>
          <w:sz w:val="22"/>
          <w:szCs w:val="22"/>
        </w:rPr>
        <w:t xml:space="preserve">[Local 4] Department of Trade and Industry (DTI). (2015). Philippine E-Commerce Roadmap 2016–2020. Department of Trade and Industry, Manila.</w:t>
      </w:r>
    </w:p>
    <w:p>
      <w:pPr>
        <w:spacing w:after="60" w:before="40"/>
      </w:pPr>
      <w:r>
        <w:rPr>
          <w:rFonts w:ascii="Arial" w:cs="Arial" w:eastAsia="Arial" w:hAnsi="Arial"/>
          <w:sz w:val="20"/>
          <w:szCs w:val="20"/>
        </w:rPr>
        <w:t xml:space="preserve">Link: </w:t>
      </w:r>
      <w:hyperlink w:history="1" r:id="rIdxlcykpemzttg9j0xetld8">
        <w:r>
          <w:rPr>
            <w:rStyle w:val="Hyperlink"/>
            <w:rFonts w:ascii="Arial" w:cs="Arial" w:eastAsia="Arial" w:hAnsi="Arial"/>
            <w:sz w:val="20"/>
            <w:szCs w:val="20"/>
          </w:rPr>
          <w:t xml:space="preserve">https://www.dti.gov.ph/</w:t>
        </w:r>
      </w:hyperlink>
    </w:p>
    <w:p>
      <w:pPr>
        <w:spacing w:after="160" w:before="60" w:line="300"/>
        <w:ind w:left="360"/>
        <w:jc w:val="both"/>
      </w:pPr>
      <w:r>
        <w:rPr>
          <w:rFonts w:ascii="Arial" w:cs="Arial" w:eastAsia="Arial" w:hAnsi="Arial"/>
          <w:i/>
          <w:iCs/>
          <w:sz w:val="20"/>
          <w:szCs w:val="20"/>
        </w:rPr>
        <w:t xml:space="preserve">The DTI's national e-commerce strategy targeted growing the share of e-commerce in Philippine GDP from 10% in 2015 to 25% by 2020. The roadmap identified computer hardware as a key product category for online growth and emphasized that price transparency and product information quality were the most critical factors for consumer conversion. BuildMatrix directly addresses these priorities through its real-time Philippine peso pricing, store links to PC Express, Lazada, and Shopee, and transparent component specifications.</w:t>
      </w:r>
    </w:p>
    <w:p>
      <w:pPr>
        <w:spacing w:after="60" w:before="200"/>
      </w:pPr>
      <w:r>
        <w:rPr>
          <w:rFonts w:ascii="Arial" w:cs="Arial" w:eastAsia="Arial" w:hAnsi="Arial"/>
          <w:b/>
          <w:bCs/>
          <w:sz w:val="22"/>
          <w:szCs w:val="22"/>
        </w:rPr>
        <w:t xml:space="preserve">[Local 5] Magsumbol, J.-A., Conception, R. II, Culaba, A., &amp; Dadios, E. (2021). The Adoption and Inhibition of Robotics Technology in the Philippines. Journal of Computer Innovations and Engineering Applications, 6(1), 1–9.</w:t>
      </w:r>
    </w:p>
    <w:p>
      <w:pPr>
        <w:spacing w:after="60" w:before="40"/>
      </w:pPr>
      <w:r>
        <w:rPr>
          <w:rFonts w:ascii="Arial" w:cs="Arial" w:eastAsia="Arial" w:hAnsi="Arial"/>
          <w:sz w:val="20"/>
          <w:szCs w:val="20"/>
        </w:rPr>
        <w:t xml:space="preserve">Link: </w:t>
      </w:r>
      <w:hyperlink w:history="1" r:id="rIdiq15gkdunjlz0mydluorz">
        <w:r>
          <w:rPr>
            <w:rStyle w:val="Hyperlink"/>
            <w:rFonts w:ascii="Arial" w:cs="Arial" w:eastAsia="Arial" w:hAnsi="Arial"/>
            <w:sz w:val="20"/>
            <w:szCs w:val="20"/>
          </w:rPr>
          <w:t xml:space="preserve">https://link.springer.com/chapter/10.1007/978-3-031-19958-5_21</w:t>
        </w:r>
      </w:hyperlink>
    </w:p>
    <w:p>
      <w:pPr>
        <w:spacing w:after="160" w:before="60" w:line="300"/>
        <w:ind w:left="360"/>
        <w:jc w:val="both"/>
      </w:pPr>
      <w:r>
        <w:rPr>
          <w:rFonts w:ascii="Arial" w:cs="Arial" w:eastAsia="Arial" w:hAnsi="Arial"/>
          <w:i/>
          <w:iCs/>
          <w:sz w:val="20"/>
          <w:szCs w:val="20"/>
        </w:rPr>
        <w:t xml:space="preserve">This Philippine study examined technology adoption patterns in engineering-intensive fields, identifying cost barriers, limited awareness, and interface complexity as the primary obstacles. It found that systems designed to lower the technical barrier through guided, step-by-step workflows significantly improved technology adoption rates. BuildMatrix's category-by-category selection process, Build Tiers system, and Auto Build generator directly implement this principle — reducing the complexity of PC building for users with no prior technical knowledge.</w:t>
      </w:r>
    </w:p>
    <w:p>
      <w:pPr>
        <w:pStyle w:val="Heading2"/>
        <w:spacing w:after="160" w:before="280"/>
      </w:pPr>
      <w:r>
        <w:rPr>
          <w:rFonts w:ascii="Arial" w:cs="Arial" w:eastAsia="Arial" w:hAnsi="Arial"/>
          <w:b/>
          <w:bCs/>
          <w:sz w:val="24"/>
          <w:szCs w:val="24"/>
        </w:rPr>
        <w:t xml:space="preserve">2.2 Foreign Literature</w:t>
      </w:r>
    </w:p>
    <w:p>
      <w:pPr>
        <w:spacing w:after="60" w:before="200"/>
      </w:pPr>
      <w:r>
        <w:rPr>
          <w:rFonts w:ascii="Arial" w:cs="Arial" w:eastAsia="Arial" w:hAnsi="Arial"/>
          <w:b/>
          <w:bCs/>
          <w:sz w:val="22"/>
          <w:szCs w:val="22"/>
        </w:rPr>
        <w:t xml:space="preserve">[Foreign 1] Adomavicius, G., &amp; Tuzhilin, A. (2005). Toward the Next Generation of Recommender Systems: A Survey of the State-of-the-Art and Possible Extensions. IEEE Transactions on Knowledge and Data Engineering, 17(6), 734–749.</w:t>
      </w:r>
    </w:p>
    <w:p>
      <w:pPr>
        <w:spacing w:after="60" w:before="40"/>
      </w:pPr>
      <w:r>
        <w:rPr>
          <w:rFonts w:ascii="Arial" w:cs="Arial" w:eastAsia="Arial" w:hAnsi="Arial"/>
          <w:sz w:val="20"/>
          <w:szCs w:val="20"/>
        </w:rPr>
        <w:t xml:space="preserve">DOI: </w:t>
      </w:r>
      <w:hyperlink w:history="1" r:id="rIdut2qstfgsi3tympwc_jsl">
        <w:r>
          <w:rPr>
            <w:rStyle w:val="Hyperlink"/>
            <w:rFonts w:ascii="Arial" w:cs="Arial" w:eastAsia="Arial" w:hAnsi="Arial"/>
            <w:sz w:val="20"/>
            <w:szCs w:val="20"/>
          </w:rPr>
          <w:t xml:space="preserve">https://doi.org/10.1109/TKDE.2005.99</w:t>
        </w:r>
      </w:hyperlink>
    </w:p>
    <w:p>
      <w:pPr>
        <w:spacing w:after="160" w:before="60" w:line="300"/>
        <w:ind w:left="360"/>
        <w:jc w:val="both"/>
      </w:pPr>
      <w:r>
        <w:rPr>
          <w:rFonts w:ascii="Arial" w:cs="Arial" w:eastAsia="Arial" w:hAnsi="Arial"/>
          <w:i/>
          <w:iCs/>
          <w:sz w:val="20"/>
          <w:szCs w:val="20"/>
        </w:rPr>
        <w:t xml:space="preserve">This foundational IEEE paper — cited over 10,000 times — classified recommender systems into collaborative filtering, content-based filtering, and hybrid approaches. The authors argued that hybrid systems combining hard compatibility constraints with soft user preference signals achieve the highest accuracy for complex, multi-attribute products. PC hardware is precisely such a domain. BuildMatrix's Auto Build engine implements this hybrid model: CPU socket constraints and PSU wattage requirements filter candidates first, while the user's budget and use case guide the final ranked recommendation.</w:t>
      </w:r>
    </w:p>
    <w:p>
      <w:pPr>
        <w:spacing w:after="60" w:before="200"/>
      </w:pPr>
      <w:r>
        <w:rPr>
          <w:rFonts w:ascii="Arial" w:cs="Arial" w:eastAsia="Arial" w:hAnsi="Arial"/>
          <w:b/>
          <w:bCs/>
          <w:sz w:val="22"/>
          <w:szCs w:val="22"/>
        </w:rPr>
        <w:t xml:space="preserve">[Foreign 2] Burke, R., Felfernig, A., &amp; Göker, M. H. (2011). Recommender Systems: An Overview. AI Magazine, 32(3), 13–18.</w:t>
      </w:r>
    </w:p>
    <w:p>
      <w:pPr>
        <w:spacing w:after="60" w:before="40"/>
      </w:pPr>
      <w:r>
        <w:rPr>
          <w:rFonts w:ascii="Arial" w:cs="Arial" w:eastAsia="Arial" w:hAnsi="Arial"/>
          <w:sz w:val="20"/>
          <w:szCs w:val="20"/>
        </w:rPr>
        <w:t xml:space="preserve">DOI: </w:t>
      </w:r>
      <w:hyperlink w:history="1" r:id="rId1mm8xt8jresyypegv-utl">
        <w:r>
          <w:rPr>
            <w:rStyle w:val="Hyperlink"/>
            <w:rFonts w:ascii="Arial" w:cs="Arial" w:eastAsia="Arial" w:hAnsi="Arial"/>
            <w:sz w:val="20"/>
            <w:szCs w:val="20"/>
          </w:rPr>
          <w:t xml:space="preserve">https://doi.org/10.1609/aimag.v32i3.2361</w:t>
        </w:r>
      </w:hyperlink>
    </w:p>
    <w:p>
      <w:pPr>
        <w:spacing w:after="160" w:before="60" w:line="300"/>
        <w:ind w:left="360"/>
        <w:jc w:val="both"/>
      </w:pPr>
      <w:r>
        <w:rPr>
          <w:rFonts w:ascii="Arial" w:cs="Arial" w:eastAsia="Arial" w:hAnsi="Arial"/>
          <w:i/>
          <w:iCs/>
          <w:sz w:val="20"/>
          <w:szCs w:val="20"/>
        </w:rPr>
        <w:t xml:space="preserve">Published in the flagship journal of the Association for the Advancement of Artificial Intelligence, this paper explicitly cited computer hardware configuration as a canonical knowledge-based recommendation problem — one where hard constraints (socket compatibility, power sufficiency, physical clearance) must be satisfied before soft preferences (performance, price) can even be considered. BuildMatrix's compatibility checker implements this exact dual-layer logic, first validating hard constraints before surfacing performance metrics.</w:t>
      </w:r>
    </w:p>
    <w:p>
      <w:pPr>
        <w:spacing w:after="60" w:before="200"/>
      </w:pPr>
      <w:r>
        <w:rPr>
          <w:rFonts w:ascii="Arial" w:cs="Arial" w:eastAsia="Arial" w:hAnsi="Arial"/>
          <w:b/>
          <w:bCs/>
          <w:sz w:val="22"/>
          <w:szCs w:val="22"/>
        </w:rPr>
        <w:t xml:space="preserve">[Foreign 3] Park, D. H., Kim, H. K., Choi, I. Y., &amp; Kim, J. K. (2012). A Literature Review and Classification of Recommender Systems Research. Expert Systems with Applications, 39(11), 10059–10072.</w:t>
      </w:r>
    </w:p>
    <w:p>
      <w:pPr>
        <w:spacing w:after="60" w:before="40"/>
      </w:pPr>
      <w:r>
        <w:rPr>
          <w:rFonts w:ascii="Arial" w:cs="Arial" w:eastAsia="Arial" w:hAnsi="Arial"/>
          <w:sz w:val="20"/>
          <w:szCs w:val="20"/>
        </w:rPr>
        <w:t xml:space="preserve">DOI: </w:t>
      </w:r>
      <w:hyperlink w:history="1" r:id="rIdrsvutl-yfqcvnegepksdy">
        <w:r>
          <w:rPr>
            <w:rStyle w:val="Hyperlink"/>
            <w:rFonts w:ascii="Arial" w:cs="Arial" w:eastAsia="Arial" w:hAnsi="Arial"/>
            <w:sz w:val="20"/>
            <w:szCs w:val="20"/>
          </w:rPr>
          <w:t xml:space="preserve">https://doi.org/10.1016/j.eswa.2012.02.038</w:t>
        </w:r>
      </w:hyperlink>
    </w:p>
    <w:p>
      <w:pPr>
        <w:spacing w:after="160" w:before="60" w:line="300"/>
        <w:ind w:left="360"/>
        <w:jc w:val="both"/>
      </w:pPr>
      <w:r>
        <w:rPr>
          <w:rFonts w:ascii="Arial" w:cs="Arial" w:eastAsia="Arial" w:hAnsi="Arial"/>
          <w:i/>
          <w:iCs/>
          <w:sz w:val="20"/>
          <w:szCs w:val="20"/>
        </w:rPr>
        <w:t xml:space="preserve">This classification study reviewed 240 articles on recommender systems from 2001 to 2010, finding that content-based filtering — matching products to users based on explicit item attributes — is the most reliable approach for technical product categories. PC hardware is precisely such a category: CPU socket type, RAM DDR generation, GPU length, and PSU wattage are all machine-readable compatibility signals. BuildMatrix's compatibility engine directly implements content-based filtering logic as described in this study.</w:t>
      </w:r>
    </w:p>
    <w:p>
      <w:pPr>
        <w:spacing w:after="60" w:before="200"/>
      </w:pPr>
      <w:r>
        <w:rPr>
          <w:rFonts w:ascii="Arial" w:cs="Arial" w:eastAsia="Arial" w:hAnsi="Arial"/>
          <w:b/>
          <w:bCs/>
          <w:sz w:val="22"/>
          <w:szCs w:val="22"/>
        </w:rPr>
        <w:t xml:space="preserve">[Foreign 4] Li, S.-S., &amp; Karahanna, E. (2015). Online Recommendation Systems in a B2C E-Commerce Context: Review and Future Directions. Journal of the Association for Information Systems, 16(2), 72–107.</w:t>
      </w:r>
    </w:p>
    <w:p>
      <w:pPr>
        <w:spacing w:after="60" w:before="40"/>
      </w:pPr>
      <w:r>
        <w:rPr>
          <w:rFonts w:ascii="Arial" w:cs="Arial" w:eastAsia="Arial" w:hAnsi="Arial"/>
          <w:sz w:val="20"/>
          <w:szCs w:val="20"/>
        </w:rPr>
        <w:t xml:space="preserve">DOI: </w:t>
      </w:r>
      <w:hyperlink w:history="1" r:id="rIdi7acoqwvk1ul-vqrulpuk">
        <w:r>
          <w:rPr>
            <w:rStyle w:val="Hyperlink"/>
            <w:rFonts w:ascii="Arial" w:cs="Arial" w:eastAsia="Arial" w:hAnsi="Arial"/>
            <w:sz w:val="20"/>
            <w:szCs w:val="20"/>
          </w:rPr>
          <w:t xml:space="preserve">https://doi.org/10.17705/1jais.00389</w:t>
        </w:r>
      </w:hyperlink>
    </w:p>
    <w:p>
      <w:pPr>
        <w:spacing w:after="160" w:before="60" w:line="300"/>
        <w:ind w:left="360"/>
        <w:jc w:val="both"/>
      </w:pPr>
      <w:r>
        <w:rPr>
          <w:rFonts w:ascii="Arial" w:cs="Arial" w:eastAsia="Arial" w:hAnsi="Arial"/>
          <w:i/>
          <w:iCs/>
          <w:sz w:val="20"/>
          <w:szCs w:val="20"/>
        </w:rPr>
        <w:t xml:space="preserve">This comprehensive review synthesized 40 empirical studies on recommendation systems published between 1990 and 2013, finding that systems which actively match product attributes to user-stated preferences produce significantly higher satisfaction and conversion rates than those relying passively on purchase history. BuildMatrix applies this principle through its guided category-by-category selection, budget-aware filtering, and AI recommendation engine that matches components to a user's stated use case and target price range.</w:t>
      </w:r>
    </w:p>
    <w:p>
      <w:pPr>
        <w:spacing w:after="60" w:before="200"/>
      </w:pPr>
      <w:r>
        <w:rPr>
          <w:rFonts w:ascii="Arial" w:cs="Arial" w:eastAsia="Arial" w:hAnsi="Arial"/>
          <w:b/>
          <w:bCs/>
          <w:sz w:val="22"/>
          <w:szCs w:val="22"/>
        </w:rPr>
        <w:t xml:space="preserve">[Foreign 5] Xiao, B., &amp; Benbasat, I. (2014). Research on the Use, Characteristics, and Impact of E-Commerce Product Recommendation Agents: A Review and Update for 2007–2012. In Handbook of Strategic e-Business Management (pp. 403–431). Springer, Berlin/Heidelberg.</w:t>
      </w:r>
    </w:p>
    <w:p>
      <w:pPr>
        <w:spacing w:after="60" w:before="40"/>
      </w:pPr>
      <w:r>
        <w:rPr>
          <w:rFonts w:ascii="Arial" w:cs="Arial" w:eastAsia="Arial" w:hAnsi="Arial"/>
          <w:sz w:val="20"/>
          <w:szCs w:val="20"/>
        </w:rPr>
        <w:t xml:space="preserve">DOI: </w:t>
      </w:r>
      <w:hyperlink w:history="1" r:id="rIdwayvkiczxwrmn_-prpz9q">
        <w:r>
          <w:rPr>
            <w:rStyle w:val="Hyperlink"/>
            <w:rFonts w:ascii="Arial" w:cs="Arial" w:eastAsia="Arial" w:hAnsi="Arial"/>
            <w:sz w:val="20"/>
            <w:szCs w:val="20"/>
          </w:rPr>
          <w:t xml:space="preserve">https://doi.org/10.1007/978-3-642-39747-9_17</w:t>
        </w:r>
      </w:hyperlink>
    </w:p>
    <w:p>
      <w:pPr>
        <w:spacing w:after="160" w:before="60" w:line="300"/>
        <w:ind w:left="360"/>
        <w:jc w:val="both"/>
      </w:pPr>
      <w:r>
        <w:rPr>
          <w:rFonts w:ascii="Arial" w:cs="Arial" w:eastAsia="Arial" w:hAnsi="Arial"/>
          <w:i/>
          <w:iCs/>
          <w:sz w:val="20"/>
          <w:szCs w:val="20"/>
        </w:rPr>
        <w:t xml:space="preserve">This review chapter analyzed empirical studies from 2007 to 2012 and found that system transparency — clearly explaining why a product is being recommended — was the single strongest predictor of user trust and purchase intention. BuildMatrix integrates this finding through its real-time compatibility panel that explicitly explains socket matches, PSU adequacy, GPU clearance checks, and performance scores at every step of the build, making the system's reasoning visible to the user.</w:t>
      </w:r>
    </w:p>
    <w:p>
      <w:r>
        <w:br w:type="page"/>
      </w:r>
    </w:p>
    <w:p>
      <w:pPr>
        <w:spacing w:after="80" w:before="60"/>
      </w:pPr>
      <w:r>
        <w:rPr>
          <w:rFonts w:ascii="Arial" w:cs="Arial" w:eastAsia="Arial" w:hAnsi="Arial"/>
          <w:b/>
          <w:bCs/>
          <w:color w:val="5a8aaa"/>
          <w:spacing w:val="40"/>
          <w:sz w:val="18"/>
          <w:szCs w:val="18"/>
        </w:rPr>
        <w:t xml:space="preserve">CHAPTER III</w:t>
      </w:r>
    </w:p>
    <w:p>
      <w:pPr>
        <w:pStyle w:val="Heading1"/>
        <w:spacing w:after="160" w:before="400"/>
      </w:pPr>
      <w:r>
        <w:rPr>
          <w:rFonts w:ascii="Arial" w:cs="Arial" w:eastAsia="Arial" w:hAnsi="Arial"/>
          <w:b/>
          <w:bCs/>
          <w:sz w:val="28"/>
          <w:szCs w:val="28"/>
        </w:rPr>
        <w:t xml:space="preserve">RESEARCH DESIGN</w:t>
      </w:r>
    </w:p>
    <w:p>
      <w:pPr>
        <w:pBdr>
          <w:bottom w:val="single" w:color="00D4FF" w:sz="4" w:space="1"/>
        </w:pBdr>
        <w:spacing w:after="160" w:before="160"/>
      </w:pPr>
    </w:p>
    <w:p>
      <w:pPr>
        <w:pStyle w:val="Heading2"/>
        <w:spacing w:after="160" w:before="280"/>
      </w:pPr>
      <w:r>
        <w:rPr>
          <w:rFonts w:ascii="Arial" w:cs="Arial" w:eastAsia="Arial" w:hAnsi="Arial"/>
          <w:b/>
          <w:bCs/>
          <w:sz w:val="24"/>
          <w:szCs w:val="24"/>
        </w:rPr>
        <w:t xml:space="preserve">3.1 System Architecture</w:t>
      </w:r>
    </w:p>
    <w:p>
      <w:pPr>
        <w:spacing w:after="120" w:before="80" w:line="320"/>
        <w:jc w:val="both"/>
      </w:pPr>
      <w:r>
        <w:rPr>
          <w:rFonts w:ascii="Arial" w:cs="Arial" w:eastAsia="Arial" w:hAnsi="Arial"/>
          <w:sz w:val="22"/>
          <w:szCs w:val="22"/>
        </w:rPr>
        <w:t xml:space="preserve">BuildMatrix follows a client-server architecture. The frontend layer consists of HTML5, CSS3, and vanilla JavaScript files served as static assets. The backend layer is a Node.js/Express.js REST API server managing authentication, build persistence, email OTP delivery, and 2FA. The data layer uses SQLite via sql.js, persisted to a local file. The system is deployed locally via npm start on port 5000 and made publicly accessible using ngrok HTTP tunneling for mobile and remote access.</w:t>
      </w:r>
    </w:p>
    <w:p>
      <w:pPr>
        <w:spacing w:after="80" w:before="80" w:line="300"/>
      </w:pPr>
      <w:r>
        <w:rPr>
          <w:rFonts w:ascii="Arial" w:cs="Arial" w:eastAsia="Arial" w:hAnsi="Arial"/>
          <w:b/>
          <w:bCs/>
          <w:sz w:val="22"/>
          <w:szCs w:val="22"/>
        </w:rPr>
        <w:t xml:space="preserve">Technology Stack:</w:t>
      </w:r>
    </w:p>
    <w:p>
      <w:pPr>
        <w:pStyle w:val="ListParagraph"/>
        <w:numPr>
          <w:ilvl w:val="0"/>
          <w:numId w:val="2"/>
        </w:numPr>
        <w:spacing w:after="50" w:before="50" w:line="280"/>
      </w:pPr>
      <w:r>
        <w:rPr>
          <w:rFonts w:ascii="Arial" w:cs="Arial" w:eastAsia="Arial" w:hAnsi="Arial"/>
          <w:b/>
          <w:bCs/>
          <w:sz w:val="22"/>
          <w:szCs w:val="22"/>
        </w:rPr>
        <w:t xml:space="preserve">Frontend: </w:t>
      </w:r>
      <w:r>
        <w:rPr>
          <w:rFonts w:ascii="Arial" w:cs="Arial" w:eastAsia="Arial" w:hAnsi="Arial"/>
          <w:sz w:val="22"/>
          <w:szCs w:val="22"/>
        </w:rPr>
        <w:t xml:space="preserve">HTML5, CSS3, Vanilla JavaScript, Font Awesome, Google Fonts (Inter)</w:t>
      </w:r>
    </w:p>
    <w:p>
      <w:pPr>
        <w:pStyle w:val="ListParagraph"/>
        <w:numPr>
          <w:ilvl w:val="0"/>
          <w:numId w:val="2"/>
        </w:numPr>
        <w:spacing w:after="50" w:before="50" w:line="280"/>
      </w:pPr>
      <w:r>
        <w:rPr>
          <w:rFonts w:ascii="Arial" w:cs="Arial" w:eastAsia="Arial" w:hAnsi="Arial"/>
          <w:b/>
          <w:bCs/>
          <w:sz w:val="22"/>
          <w:szCs w:val="22"/>
        </w:rPr>
        <w:t xml:space="preserve">Backend: </w:t>
      </w:r>
      <w:r>
        <w:rPr>
          <w:rFonts w:ascii="Arial" w:cs="Arial" w:eastAsia="Arial" w:hAnsi="Arial"/>
          <w:sz w:val="22"/>
          <w:szCs w:val="22"/>
        </w:rPr>
        <w:t xml:space="preserve">Node.js, Express.js, express-session</w:t>
      </w:r>
    </w:p>
    <w:p>
      <w:pPr>
        <w:pStyle w:val="ListParagraph"/>
        <w:numPr>
          <w:ilvl w:val="0"/>
          <w:numId w:val="2"/>
        </w:numPr>
        <w:spacing w:after="50" w:before="50" w:line="280"/>
      </w:pPr>
      <w:r>
        <w:rPr>
          <w:rFonts w:ascii="Arial" w:cs="Arial" w:eastAsia="Arial" w:hAnsi="Arial"/>
          <w:b/>
          <w:bCs/>
          <w:sz w:val="22"/>
          <w:szCs w:val="22"/>
        </w:rPr>
        <w:t xml:space="preserve">Database: </w:t>
      </w:r>
      <w:r>
        <w:rPr>
          <w:rFonts w:ascii="Arial" w:cs="Arial" w:eastAsia="Arial" w:hAnsi="Arial"/>
          <w:sz w:val="22"/>
          <w:szCs w:val="22"/>
        </w:rPr>
        <w:t xml:space="preserve">SQLite (via sql.js — no separate DB server required)</w:t>
      </w:r>
    </w:p>
    <w:p>
      <w:pPr>
        <w:pStyle w:val="ListParagraph"/>
        <w:numPr>
          <w:ilvl w:val="0"/>
          <w:numId w:val="2"/>
        </w:numPr>
        <w:spacing w:after="50" w:before="50" w:line="280"/>
      </w:pPr>
      <w:r>
        <w:rPr>
          <w:rFonts w:ascii="Arial" w:cs="Arial" w:eastAsia="Arial" w:hAnsi="Arial"/>
          <w:b/>
          <w:bCs/>
          <w:sz w:val="22"/>
          <w:szCs w:val="22"/>
        </w:rPr>
        <w:t xml:space="preserve">Authentication: </w:t>
      </w:r>
      <w:r>
        <w:rPr>
          <w:rFonts w:ascii="Arial" w:cs="Arial" w:eastAsia="Arial" w:hAnsi="Arial"/>
          <w:sz w:val="22"/>
          <w:szCs w:val="22"/>
        </w:rPr>
        <w:t xml:space="preserve">bcryptjs, speakeasy (TOTP 2FA), Nodemailer (Gmail OTP)</w:t>
      </w:r>
    </w:p>
    <w:p>
      <w:pPr>
        <w:pStyle w:val="ListParagraph"/>
        <w:numPr>
          <w:ilvl w:val="0"/>
          <w:numId w:val="2"/>
        </w:numPr>
        <w:spacing w:after="50" w:before="50" w:line="280"/>
      </w:pPr>
      <w:r>
        <w:rPr>
          <w:rFonts w:ascii="Arial" w:cs="Arial" w:eastAsia="Arial" w:hAnsi="Arial"/>
          <w:b/>
          <w:bCs/>
          <w:sz w:val="22"/>
          <w:szCs w:val="22"/>
        </w:rPr>
        <w:t xml:space="preserve">Deployment: </w:t>
      </w:r>
      <w:r>
        <w:rPr>
          <w:rFonts w:ascii="Arial" w:cs="Arial" w:eastAsia="Arial" w:hAnsi="Arial"/>
          <w:sz w:val="22"/>
          <w:szCs w:val="22"/>
        </w:rPr>
        <w:t xml:space="preserve">Local (npm start), Public (ngrok HTTP tunnel)</w:t>
      </w:r>
    </w:p>
    <w:p>
      <w:pPr>
        <w:pStyle w:val="ListParagraph"/>
        <w:numPr>
          <w:ilvl w:val="0"/>
          <w:numId w:val="2"/>
        </w:numPr>
        <w:spacing w:after="50" w:before="50" w:line="280"/>
      </w:pPr>
      <w:r>
        <w:rPr>
          <w:rFonts w:ascii="Arial" w:cs="Arial" w:eastAsia="Arial" w:hAnsi="Arial"/>
          <w:b/>
          <w:bCs/>
          <w:sz w:val="22"/>
          <w:szCs w:val="22"/>
        </w:rPr>
        <w:t xml:space="preserve">Security: </w:t>
      </w:r>
      <w:r>
        <w:rPr>
          <w:rFonts w:ascii="Arial" w:cs="Arial" w:eastAsia="Arial" w:hAnsi="Arial"/>
          <w:sz w:val="22"/>
          <w:szCs w:val="22"/>
        </w:rPr>
        <w:t xml:space="preserve">bcrypt hashing, session cookies, CORS, OTP email verification</w:t>
      </w:r>
    </w:p>
    <w:p>
      <w:pPr>
        <w:pStyle w:val="ListParagraph"/>
        <w:numPr>
          <w:ilvl w:val="0"/>
          <w:numId w:val="2"/>
        </w:numPr>
        <w:spacing w:after="50" w:before="50" w:line="280"/>
      </w:pPr>
      <w:r>
        <w:rPr>
          <w:rFonts w:ascii="Arial" w:cs="Arial" w:eastAsia="Arial" w:hAnsi="Arial"/>
          <w:b/>
          <w:bCs/>
          <w:sz w:val="22"/>
          <w:szCs w:val="22"/>
        </w:rPr>
        <w:t xml:space="preserve">Export: </w:t>
      </w:r>
      <w:r>
        <w:rPr>
          <w:rFonts w:ascii="Arial" w:cs="Arial" w:eastAsia="Arial" w:hAnsi="Arial"/>
          <w:sz w:val="22"/>
          <w:szCs w:val="22"/>
        </w:rPr>
        <w:t xml:space="preserve">html2canvas (screenshots), jsPDF (PDF export)</w:t>
      </w:r>
    </w:p>
    <w:p>
      <w:pPr>
        <w:pStyle w:val="Heading2"/>
        <w:spacing w:after="160" w:before="280"/>
      </w:pPr>
      <w:r>
        <w:rPr>
          <w:rFonts w:ascii="Arial" w:cs="Arial" w:eastAsia="Arial" w:hAnsi="Arial"/>
          <w:b/>
          <w:bCs/>
          <w:sz w:val="24"/>
          <w:szCs w:val="24"/>
        </w:rPr>
        <w:t xml:space="preserve">3.2 System Flowchart</w:t>
      </w:r>
    </w:p>
    <w:p>
      <w:pPr>
        <w:spacing w:after="120" w:before="80" w:line="320"/>
        <w:jc w:val="both"/>
      </w:pPr>
      <w:r>
        <w:rPr>
          <w:rFonts w:ascii="Arial" w:cs="Arial" w:eastAsia="Arial" w:hAnsi="Arial"/>
          <w:sz w:val="22"/>
          <w:szCs w:val="22"/>
        </w:rPr>
        <w:t xml:space="preserve">The BuildMatrix user flow begins at a branded animated loading screen that displays for 3 seconds before routing to the authentication page. Unauthenticated users are directed to the Sign In / Create Account interface. New users provide their name, email, and password; they receive a 6-digit OTP via Gmail before their account is created. Authenticated users are redirected to the homepage, where they can navigate to the PC Builder, Spec Database, or guides. Within the PC Builder, users select components category by category; the system validates compatibility in real time and updates the build summary and total cost. Users can save, export, or share their final build.</w:t>
      </w:r>
    </w:p>
    <w:p>
      <w:pPr>
        <w:spacing w:after="120" w:before="80" w:line="320"/>
        <w:jc w:val="both"/>
      </w:pPr>
      <w:r>
        <w:rPr>
          <w:rFonts w:ascii="Arial" w:cs="Arial" w:eastAsia="Arial" w:hAnsi="Arial"/>
          <w:sz w:val="22"/>
          <w:szCs w:val="22"/>
        </w:rPr>
        <w:t xml:space="preserve">The Security Settings flow is also OTP-gated: changing the account password requires the user to fill in the current and new password, trigger an email code, enter the 6-digit OTP, and confirm. Enabling or disabling 2FA similarly requires email OTP verification followed by Google Authenticator QR code scanning (for enable) or an OTP confirm (for disable).</w:t>
      </w:r>
    </w:p>
    <w:p>
      <w:pPr>
        <w:pStyle w:val="Heading2"/>
        <w:spacing w:after="160" w:before="280"/>
      </w:pPr>
      <w:r>
        <w:rPr>
          <w:rFonts w:ascii="Arial" w:cs="Arial" w:eastAsia="Arial" w:hAnsi="Arial"/>
          <w:b/>
          <w:bCs/>
          <w:sz w:val="24"/>
          <w:szCs w:val="24"/>
        </w:rPr>
        <w:t xml:space="preserve">3.3 System UI Design</w:t>
      </w:r>
    </w:p>
    <w:p>
      <w:pPr>
        <w:spacing w:after="80" w:before="80"/>
      </w:pPr>
      <w:r>
        <w:rPr>
          <w:rFonts w:ascii="Arial" w:cs="Arial" w:eastAsia="Arial" w:hAnsi="Arial"/>
          <w:b/>
          <w:bCs/>
          <w:sz w:val="22"/>
          <w:szCs w:val="22"/>
        </w:rPr>
        <w:t xml:space="preserve">Loading Screen</w:t>
      </w:r>
    </w:p>
    <w:p>
      <w:pPr>
        <w:spacing w:after="120" w:before="60" w:line="300"/>
        <w:jc w:val="both"/>
      </w:pPr>
      <w:r>
        <w:rPr>
          <w:rFonts w:ascii="Arial" w:cs="Arial" w:eastAsia="Arial" w:hAnsi="Arial"/>
          <w:sz w:val="22"/>
          <w:szCs w:val="22"/>
        </w:rPr>
        <w:t xml:space="preserve">The loading screen presents the BuildMatrix logo and name with a 3-second animated RGB progress bar and floating particle canvas. Labels cycle through 'Initializing systems...', 'Loading components...', 'Calibrating prices...', and 'Ready to build!' before a fade-out transition routes the user to the authentication page.</w:t>
      </w:r>
    </w:p>
    <w:p>
      <w:pPr>
        <w:spacing w:after="80" w:before="80"/>
      </w:pPr>
      <w:r>
        <w:rPr>
          <w:rFonts w:ascii="Arial" w:cs="Arial" w:eastAsia="Arial" w:hAnsi="Arial"/>
          <w:b/>
          <w:bCs/>
          <w:sz w:val="22"/>
          <w:szCs w:val="22"/>
        </w:rPr>
        <w:t xml:space="preserve">Authentication Page (auth.html)</w:t>
      </w:r>
    </w:p>
    <w:p>
      <w:pPr>
        <w:spacing w:after="120" w:before="60" w:line="300"/>
        <w:jc w:val="both"/>
      </w:pPr>
      <w:r>
        <w:rPr>
          <w:rFonts w:ascii="Arial" w:cs="Arial" w:eastAsia="Arial" w:hAnsi="Arial"/>
          <w:sz w:val="22"/>
          <w:szCs w:val="22"/>
        </w:rPr>
        <w:t xml:space="preserve">The authentication page features a dark cyber-themed card centered on the background. It contains two tabs — SIGN IN and CREATE ACCOUNT — with smooth tab switching. The Sign In form supports email, password, optional 2FA code (if enabled), and Forgot Password flow. The Create Account form includes email OTP verification: the user clicks 'Send Code', receives a 6-digit code in their Gmail, and types it to verify their email before account creation. A 'Continue as Guest' option is available for users who want to use the builder without an account, storing builds locally.</w:t>
      </w:r>
    </w:p>
    <w:p>
      <w:pPr>
        <w:spacing w:after="80" w:before="80"/>
      </w:pPr>
      <w:r>
        <w:rPr>
          <w:rFonts w:ascii="Arial" w:cs="Arial" w:eastAsia="Arial" w:hAnsi="Arial"/>
          <w:b/>
          <w:bCs/>
          <w:sz w:val="22"/>
          <w:szCs w:val="22"/>
        </w:rPr>
        <w:t xml:space="preserve">Homepage (index.html)</w:t>
      </w:r>
    </w:p>
    <w:p>
      <w:pPr>
        <w:spacing w:after="120" w:before="60" w:line="300"/>
        <w:jc w:val="both"/>
      </w:pPr>
      <w:r>
        <w:rPr>
          <w:rFonts w:ascii="Arial" w:cs="Arial" w:eastAsia="Arial" w:hAnsi="Arial"/>
          <w:sz w:val="22"/>
          <w:szCs w:val="22"/>
        </w:rPr>
        <w:t xml:space="preserve">The homepage features a hero section with 'Build Your Dream PC' heading, statistics bar (167+ Components, 9 Categories, ₱0 Free to Use, PH Local Prices), a component category grid (9 cards linking directly to each category in the Builder), a Build Tiers section with four predefined levels (Casual ₱15K–₱25K, Mid Gaming ₱40K–₱60K, High-End ₱60K–₱90K, 4K/Editing ₱120K+), a guides section with 6 articles, and a CTA section. The navigation includes dropdowns for Guides and Build Tiers, plus a PC Builder and Spec DB link.</w:t>
      </w:r>
    </w:p>
    <w:p>
      <w:pPr>
        <w:spacing w:after="80" w:before="80"/>
      </w:pPr>
      <w:r>
        <w:rPr>
          <w:rFonts w:ascii="Arial" w:cs="Arial" w:eastAsia="Arial" w:hAnsi="Arial"/>
          <w:b/>
          <w:bCs/>
          <w:sz w:val="22"/>
          <w:szCs w:val="22"/>
        </w:rPr>
        <w:t xml:space="preserve">PC Builder (builder.html)</w:t>
      </w:r>
    </w:p>
    <w:p>
      <w:pPr>
        <w:spacing w:after="120" w:before="60" w:line="300"/>
        <w:jc w:val="both"/>
      </w:pPr>
      <w:r>
        <w:rPr>
          <w:rFonts w:ascii="Arial" w:cs="Arial" w:eastAsia="Arial" w:hAnsi="Arial"/>
          <w:sz w:val="22"/>
          <w:szCs w:val="22"/>
        </w:rPr>
        <w:t xml:space="preserve">The PC Builder uses a three-column layout: a left sidebar listing 9 component categories with part counts, a central product grid with search, sort, and sub-filter buttons (e.g., AMD CPUs / Intel CPUs), and a right build panel showing selected components, live total, and action buttons (Save Build, Screenshot, Export PDF, Build Tools). The build panel also contains a real-time compatibility checker that displays socket match status, RAM type, PSU wattage, and GPU clearance results as users add components.</w:t>
      </w:r>
    </w:p>
    <w:p>
      <w:pPr>
        <w:spacing w:after="80" w:before="80"/>
      </w:pPr>
      <w:r>
        <w:rPr>
          <w:rFonts w:ascii="Arial" w:cs="Arial" w:eastAsia="Arial" w:hAnsi="Arial"/>
          <w:b/>
          <w:bCs/>
          <w:sz w:val="22"/>
          <w:szCs w:val="22"/>
        </w:rPr>
        <w:t xml:space="preserve">Build Database / Spec DB (build-database.html)</w:t>
      </w:r>
    </w:p>
    <w:p>
      <w:pPr>
        <w:spacing w:after="120" w:before="60" w:line="300"/>
        <w:jc w:val="both"/>
      </w:pPr>
      <w:r>
        <w:rPr>
          <w:rFonts w:ascii="Arial" w:cs="Arial" w:eastAsia="Arial" w:hAnsi="Arial"/>
          <w:sz w:val="22"/>
          <w:szCs w:val="22"/>
        </w:rPr>
        <w:t xml:space="preserve">The Spec DB page provides a full hardware specification database with tabs for GPU, CPU, SSD, and ALL. GPU entries include architecture, GPU die, launch year, shader count, TMUs, ROPs, boost clock, VRAM, memory type, bandwidth, FP32 TFLOPS, TDP, and a relative performance score bar. The page supports brand filtering (All / NVIDIA / AMD / Intel) and text search.</w:t>
      </w:r>
    </w:p>
    <w:p>
      <w:r>
        <w:br w:type="page"/>
      </w:r>
    </w:p>
    <w:p>
      <w:pPr>
        <w:spacing w:after="80" w:before="60"/>
      </w:pPr>
      <w:r>
        <w:rPr>
          <w:rFonts w:ascii="Arial" w:cs="Arial" w:eastAsia="Arial" w:hAnsi="Arial"/>
          <w:b/>
          <w:bCs/>
          <w:color w:val="5a8aaa"/>
          <w:spacing w:val="40"/>
          <w:sz w:val="18"/>
          <w:szCs w:val="18"/>
        </w:rPr>
        <w:t xml:space="preserve">CHAPTER IV</w:t>
      </w:r>
    </w:p>
    <w:p>
      <w:pPr>
        <w:pStyle w:val="Heading1"/>
        <w:spacing w:after="160" w:before="400"/>
      </w:pPr>
      <w:r>
        <w:rPr>
          <w:rFonts w:ascii="Arial" w:cs="Arial" w:eastAsia="Arial" w:hAnsi="Arial"/>
          <w:b/>
          <w:bCs/>
          <w:sz w:val="28"/>
          <w:szCs w:val="28"/>
        </w:rPr>
        <w:t xml:space="preserve">RESULTS AND CONCLUSION</w:t>
      </w:r>
    </w:p>
    <w:p>
      <w:pPr>
        <w:pBdr>
          <w:bottom w:val="single" w:color="00D4FF" w:sz="4" w:space="1"/>
        </w:pBdr>
        <w:spacing w:after="160" w:before="160"/>
      </w:pPr>
    </w:p>
    <w:p>
      <w:pPr>
        <w:pStyle w:val="Heading2"/>
        <w:spacing w:after="160" w:before="280"/>
      </w:pPr>
      <w:r>
        <w:rPr>
          <w:rFonts w:ascii="Arial" w:cs="Arial" w:eastAsia="Arial" w:hAnsi="Arial"/>
          <w:b/>
          <w:bCs/>
          <w:sz w:val="24"/>
          <w:szCs w:val="24"/>
        </w:rPr>
        <w:t xml:space="preserve">Results</w:t>
      </w:r>
    </w:p>
    <w:p>
      <w:pPr>
        <w:spacing w:after="120" w:before="80" w:line="320"/>
        <w:jc w:val="both"/>
      </w:pPr>
      <w:r>
        <w:rPr>
          <w:rFonts w:ascii="Arial" w:cs="Arial" w:eastAsia="Arial" w:hAnsi="Arial"/>
          <w:sz w:val="22"/>
          <w:szCs w:val="22"/>
        </w:rPr>
        <w:t xml:space="preserve">The BuildMatrix system was successfully developed and deployed as a full-stack web application accessible on both desktop and mobile via ngrok public URL. The following key results were achieved:</w:t>
      </w:r>
    </w:p>
    <w:p>
      <w:pPr>
        <w:pStyle w:val="ListParagraph"/>
        <w:numPr>
          <w:ilvl w:val="0"/>
          <w:numId w:val="2"/>
        </w:numPr>
        <w:spacing w:after="60" w:before="60" w:line="300"/>
      </w:pPr>
      <w:r>
        <w:rPr>
          <w:rFonts w:ascii="Arial" w:cs="Arial" w:eastAsia="Arial" w:hAnsi="Arial"/>
          <w:sz w:val="22"/>
          <w:szCs w:val="22"/>
        </w:rPr>
        <w:t xml:space="preserve">A complete component catalog of 167+ parts across 9 categories was implemented, each with Philippine peso pricing, specifications, tier badges (Budget / Mid-Range / High-End), and ratings.</w:t>
      </w:r>
    </w:p>
    <w:p>
      <w:pPr>
        <w:pStyle w:val="ListParagraph"/>
        <w:numPr>
          <w:ilvl w:val="0"/>
          <w:numId w:val="2"/>
        </w:numPr>
        <w:spacing w:after="60" w:before="60" w:line="300"/>
      </w:pPr>
      <w:r>
        <w:rPr>
          <w:rFonts w:ascii="Arial" w:cs="Arial" w:eastAsia="Arial" w:hAnsi="Arial"/>
          <w:sz w:val="22"/>
          <w:szCs w:val="22"/>
        </w:rPr>
        <w:t xml:space="preserve">The compatibility checker was validated across multiple test builds: CPU-motherboard socket mismatches, incorrect RAM DDR types, GPU clearance violations, and PSU wattage insufficiencies were all correctly detected and flagged with descriptive warnings.</w:t>
      </w:r>
    </w:p>
    <w:p>
      <w:pPr>
        <w:pStyle w:val="ListParagraph"/>
        <w:numPr>
          <w:ilvl w:val="0"/>
          <w:numId w:val="2"/>
        </w:numPr>
        <w:spacing w:after="60" w:before="60" w:line="300"/>
      </w:pPr>
      <w:r>
        <w:rPr>
          <w:rFonts w:ascii="Arial" w:cs="Arial" w:eastAsia="Arial" w:hAnsi="Arial"/>
          <w:sz w:val="22"/>
          <w:szCs w:val="22"/>
        </w:rPr>
        <w:t xml:space="preserve">The email OTP system was confirmed working end-to-end: 6-digit codes are delivered to users' Gmail inboxes within seconds during account registration, password reset, password change, and 2FA enable/disable flows, matching the branded HTML email template.</w:t>
      </w:r>
    </w:p>
    <w:p>
      <w:pPr>
        <w:pStyle w:val="ListParagraph"/>
        <w:numPr>
          <w:ilvl w:val="0"/>
          <w:numId w:val="2"/>
        </w:numPr>
        <w:spacing w:after="60" w:before="60" w:line="300"/>
      </w:pPr>
      <w:r>
        <w:rPr>
          <w:rFonts w:ascii="Arial" w:cs="Arial" w:eastAsia="Arial" w:hAnsi="Arial"/>
          <w:sz w:val="22"/>
          <w:szCs w:val="22"/>
        </w:rPr>
        <w:t xml:space="preserve">The Build Tiers section, Auto Build generator, and Community Showcase features were implemented and functional for guided build discovery.</w:t>
      </w:r>
    </w:p>
    <w:p>
      <w:pPr>
        <w:pStyle w:val="ListParagraph"/>
        <w:numPr>
          <w:ilvl w:val="0"/>
          <w:numId w:val="2"/>
        </w:numPr>
        <w:spacing w:after="60" w:before="60" w:line="300"/>
      </w:pPr>
      <w:r>
        <w:rPr>
          <w:rFonts w:ascii="Arial" w:cs="Arial" w:eastAsia="Arial" w:hAnsi="Arial"/>
          <w:sz w:val="22"/>
          <w:szCs w:val="22"/>
        </w:rPr>
        <w:t xml:space="preserve">The Spec DB page was populated with 28 GPUs (including the full RTX 50 Blackwell series through RTX 3000 series), 18 CPUs, and 10 SSDs, with complete technical specification tables.</w:t>
      </w:r>
    </w:p>
    <w:p>
      <w:pPr>
        <w:pStyle w:val="ListParagraph"/>
        <w:numPr>
          <w:ilvl w:val="0"/>
          <w:numId w:val="2"/>
        </w:numPr>
        <w:spacing w:after="60" w:before="60" w:line="300"/>
      </w:pPr>
      <w:r>
        <w:rPr>
          <w:rFonts w:ascii="Arial" w:cs="Arial" w:eastAsia="Arial" w:hAnsi="Arial"/>
          <w:sz w:val="22"/>
          <w:szCs w:val="22"/>
        </w:rPr>
        <w:t xml:space="preserve">PDF export and screenshot capture were confirmed working on completed builds.</w:t>
      </w:r>
    </w:p>
    <w:p>
      <w:pPr>
        <w:pStyle w:val="ListParagraph"/>
        <w:numPr>
          <w:ilvl w:val="0"/>
          <w:numId w:val="2"/>
        </w:numPr>
        <w:spacing w:after="60" w:before="60" w:line="300"/>
      </w:pPr>
      <w:r>
        <w:rPr>
          <w:rFonts w:ascii="Arial" w:cs="Arial" w:eastAsia="Arial" w:hAnsi="Arial"/>
          <w:sz w:val="22"/>
          <w:szCs w:val="22"/>
        </w:rPr>
        <w:t xml:space="preserve">The system operates correctly both online (with backend running) and offline (guest mode using localStorage), meeting the requirement for full offline fallback.</w:t>
      </w:r>
    </w:p>
    <w:p>
      <w:pPr>
        <w:pStyle w:val="Heading2"/>
        <w:spacing w:after="160" w:before="280"/>
      </w:pPr>
      <w:r>
        <w:rPr>
          <w:rFonts w:ascii="Arial" w:cs="Arial" w:eastAsia="Arial" w:hAnsi="Arial"/>
          <w:b/>
          <w:bCs/>
          <w:sz w:val="24"/>
          <w:szCs w:val="24"/>
        </w:rPr>
        <w:t xml:space="preserve">Conclusion</w:t>
      </w:r>
    </w:p>
    <w:p>
      <w:pPr>
        <w:spacing w:after="120" w:before="80" w:line="320"/>
        <w:jc w:val="both"/>
      </w:pPr>
      <w:r>
        <w:rPr>
          <w:rFonts w:ascii="Arial" w:cs="Arial" w:eastAsia="Arial" w:hAnsi="Arial"/>
          <w:sz w:val="22"/>
          <w:szCs w:val="22"/>
        </w:rPr>
        <w:t xml:space="preserve">BuildMatrix successfully achieved its core objective: to provide Filipino students, first-time builders, and PC enthusiasts with a unified, locally-contextualized platform for planning compatible PC builds within their budget. By combining a curated component catalog with Philippine market pricing, automated compatibility checking, email OTP security, guided build tiers, and a comprehensive hardware specification database, the system addresses the fundamental fragmentation that makes PC building difficult for beginners in the Philippines.</w:t>
      </w:r>
    </w:p>
    <w:p>
      <w:pPr>
        <w:spacing w:after="120" w:before="80" w:line="320"/>
        <w:jc w:val="both"/>
      </w:pPr>
      <w:r>
        <w:rPr>
          <w:rFonts w:ascii="Arial" w:cs="Arial" w:eastAsia="Arial" w:hAnsi="Arial"/>
          <w:sz w:val="22"/>
          <w:szCs w:val="22"/>
        </w:rPr>
        <w:t xml:space="preserve">The project demonstrates the viability of a full-stack JavaScript application — without requiring a separate database server — for delivering a feature-complete web system suitable for academic and production deployment. Future enhancements may include real-time price scraping from Philippine retailers, a mobile application, community-contributed builds with voting, and AI-driven part recommendations based on historical user preference data.</w:t>
      </w:r>
    </w:p>
    <w:p>
      <w:r>
        <w:br w:type="page"/>
      </w:r>
    </w:p>
    <w:p>
      <w:pPr>
        <w:spacing w:after="80" w:before="60"/>
      </w:pPr>
      <w:r>
        <w:rPr>
          <w:rFonts w:ascii="Arial" w:cs="Arial" w:eastAsia="Arial" w:hAnsi="Arial"/>
          <w:b/>
          <w:bCs/>
          <w:color w:val="5a8aaa"/>
          <w:spacing w:val="40"/>
          <w:sz w:val="18"/>
          <w:szCs w:val="18"/>
        </w:rPr>
        <w:t xml:space="preserve">CHAPTER V</w:t>
      </w:r>
    </w:p>
    <w:p>
      <w:pPr>
        <w:pStyle w:val="Heading1"/>
        <w:spacing w:after="160" w:before="400"/>
      </w:pPr>
      <w:r>
        <w:rPr>
          <w:rFonts w:ascii="Arial" w:cs="Arial" w:eastAsia="Arial" w:hAnsi="Arial"/>
          <w:b/>
          <w:bCs/>
          <w:sz w:val="28"/>
          <w:szCs w:val="28"/>
        </w:rPr>
        <w:t xml:space="preserve">REFERENCES</w:t>
      </w:r>
    </w:p>
    <w:p>
      <w:pPr>
        <w:pBdr>
          <w:bottom w:val="single" w:color="00D4FF" w:sz="4" w:space="1"/>
        </w:pBdr>
        <w:spacing w:after="160" w:before="160"/>
      </w:pPr>
    </w:p>
    <w:p>
      <w:pPr>
        <w:spacing w:after="60" w:before="100"/>
      </w:pPr>
      <w:r>
        <w:rPr>
          <w:rFonts w:ascii="Arial" w:cs="Arial" w:eastAsia="Arial" w:hAnsi="Arial"/>
          <w:b/>
          <w:bCs/>
          <w:sz w:val="22"/>
          <w:szCs w:val="22"/>
        </w:rPr>
        <w:t xml:space="preserve">A. Authentication and Security Standards</w:t>
      </w:r>
    </w:p>
    <w:p>
      <w:pPr>
        <w:spacing w:after="100" w:before="60" w:line="300"/>
        <w:ind w:left="720" w:hanging="360"/>
      </w:pPr>
      <w:r>
        <w:rPr>
          <w:rFonts w:ascii="Arial" w:cs="Arial" w:eastAsia="Arial" w:hAnsi="Arial"/>
          <w:sz w:val="22"/>
          <w:szCs w:val="22"/>
        </w:rPr>
        <w:t xml:space="preserve">Grassi, P. A., Garcia, M. E., &amp; Fenton, J. L. (2017). Digital Identity Guidelines (NIST SP 800-63-3). National Institute of Standards and Technology. </w:t>
      </w:r>
      <w:hyperlink w:history="1" r:id="rIdlydosiqyirmvz91snfhvn">
        <w:r>
          <w:rPr>
            <w:rStyle w:val="Hyperlink"/>
            <w:rFonts w:ascii="Arial" w:cs="Arial" w:eastAsia="Arial" w:hAnsi="Arial"/>
            <w:sz w:val="20"/>
            <w:szCs w:val="20"/>
          </w:rPr>
          <w:t xml:space="preserve">https://pages.nist.gov/800-63-3/sp800-63-3.html</w:t>
        </w:r>
      </w:hyperlink>
    </w:p>
    <w:p>
      <w:pPr>
        <w:spacing w:after="100" w:before="60" w:line="300"/>
        <w:ind w:left="720" w:hanging="360"/>
      </w:pPr>
      <w:r>
        <w:rPr>
          <w:rFonts w:ascii="Arial" w:cs="Arial" w:eastAsia="Arial" w:hAnsi="Arial"/>
          <w:sz w:val="22"/>
          <w:szCs w:val="22"/>
        </w:rPr>
        <w:t xml:space="preserve">Grassi, P. A., et al. (2017, updated 2020). Digital Identity Guidelines: Authentication and Lifecycle Management (NIST SP 800-63B). NIST. </w:t>
      </w:r>
      <w:hyperlink w:history="1" r:id="rIdpaa0_apw7ad_etzngsg-d">
        <w:r>
          <w:rPr>
            <w:rStyle w:val="Hyperlink"/>
            <w:rFonts w:ascii="Arial" w:cs="Arial" w:eastAsia="Arial" w:hAnsi="Arial"/>
            <w:sz w:val="20"/>
            <w:szCs w:val="20"/>
          </w:rPr>
          <w:t xml:space="preserve">https://nvlpubs.nist.gov/nistpubs/SpecialPublications/NIST.SP.800-63b.pdf</w:t>
        </w:r>
      </w:hyperlink>
    </w:p>
    <w:p>
      <w:pPr>
        <w:spacing w:after="100" w:before="60" w:line="300"/>
        <w:ind w:left="720" w:hanging="360"/>
      </w:pPr>
      <w:r>
        <w:rPr>
          <w:rFonts w:ascii="Arial" w:cs="Arial" w:eastAsia="Arial" w:hAnsi="Arial"/>
          <w:sz w:val="22"/>
          <w:szCs w:val="22"/>
        </w:rPr>
        <w:t xml:space="preserve">OWASP Foundation. (2023). OWASP Application Security Verification Standard (ASVS) v4.0.3. </w:t>
      </w:r>
      <w:hyperlink w:history="1" r:id="rIdepam-nuorejm2btwsiplq">
        <w:r>
          <w:rPr>
            <w:rStyle w:val="Hyperlink"/>
            <w:rFonts w:ascii="Arial" w:cs="Arial" w:eastAsia="Arial" w:hAnsi="Arial"/>
            <w:sz w:val="20"/>
            <w:szCs w:val="20"/>
          </w:rPr>
          <w:t xml:space="preserve">https://owasp.org/www-project-application-security-verification-standard/</w:t>
        </w:r>
      </w:hyperlink>
    </w:p>
    <w:p>
      <w:pPr>
        <w:spacing w:after="100" w:before="60" w:line="300"/>
        <w:ind w:left="720" w:hanging="360"/>
      </w:pPr>
      <w:r>
        <w:rPr>
          <w:rFonts w:ascii="Arial" w:cs="Arial" w:eastAsia="Arial" w:hAnsi="Arial"/>
          <w:sz w:val="22"/>
          <w:szCs w:val="22"/>
        </w:rPr>
        <w:t xml:space="preserve">van der Stock, A., et al. (2021). OWASP Top 10:2021. OWASP Foundation. </w:t>
      </w:r>
      <w:hyperlink w:history="1" r:id="rIdjxwsy3awjmnruk9rlvxff">
        <w:r>
          <w:rPr>
            <w:rStyle w:val="Hyperlink"/>
            <w:rFonts w:ascii="Arial" w:cs="Arial" w:eastAsia="Arial" w:hAnsi="Arial"/>
            <w:sz w:val="20"/>
            <w:szCs w:val="20"/>
          </w:rPr>
          <w:t xml:space="preserve">https://owasp.org/Top10/</w:t>
        </w:r>
      </w:hyperlink>
    </w:p>
    <w:p>
      <w:pPr>
        <w:spacing w:after="60" w:before="200"/>
      </w:pPr>
      <w:r>
        <w:rPr>
          <w:rFonts w:ascii="Arial" w:cs="Arial" w:eastAsia="Arial" w:hAnsi="Arial"/>
          <w:b/>
          <w:bCs/>
          <w:sz w:val="22"/>
          <w:szCs w:val="22"/>
        </w:rPr>
        <w:t xml:space="preserve">B. Product Configuration and Recommender Systems</w:t>
      </w:r>
    </w:p>
    <w:p>
      <w:pPr>
        <w:spacing w:after="100" w:before="60" w:line="300"/>
        <w:ind w:left="720" w:hanging="360"/>
      </w:pPr>
      <w:r>
        <w:rPr>
          <w:rFonts w:ascii="Arial" w:cs="Arial" w:eastAsia="Arial" w:hAnsi="Arial"/>
          <w:sz w:val="22"/>
          <w:szCs w:val="22"/>
        </w:rPr>
        <w:t xml:space="preserve">Adomavicius, G., &amp; Tuzhilin, A. (2005). Toward the next generation of recommender systems. IEEE Transactions on Knowledge and Data Engineering, 17(6), 734–749. </w:t>
      </w:r>
      <w:hyperlink w:history="1" r:id="rIdoxdb7wkz95biucxjtuekt">
        <w:r>
          <w:rPr>
            <w:rStyle w:val="Hyperlink"/>
            <w:rFonts w:ascii="Arial" w:cs="Arial" w:eastAsia="Arial" w:hAnsi="Arial"/>
            <w:sz w:val="20"/>
            <w:szCs w:val="20"/>
          </w:rPr>
          <w:t xml:space="preserve">https://doi.org/10.1109/TKDE.2005.99</w:t>
        </w:r>
      </w:hyperlink>
    </w:p>
    <w:p>
      <w:pPr>
        <w:spacing w:after="100" w:before="60" w:line="300"/>
        <w:ind w:left="720" w:hanging="360"/>
      </w:pPr>
      <w:r>
        <w:rPr>
          <w:rFonts w:ascii="Arial" w:cs="Arial" w:eastAsia="Arial" w:hAnsi="Arial"/>
          <w:sz w:val="22"/>
          <w:szCs w:val="22"/>
        </w:rPr>
        <w:t xml:space="preserve">Burke, R., Felfernig, A., &amp; Göker, M. H. (2011). Recommender Systems: An Overview. AI Magazine, 32(3), 13–18. </w:t>
      </w:r>
      <w:hyperlink w:history="1" r:id="rIdciiisdxq212rlbn0eogxn">
        <w:r>
          <w:rPr>
            <w:rStyle w:val="Hyperlink"/>
            <w:rFonts w:ascii="Arial" w:cs="Arial" w:eastAsia="Arial" w:hAnsi="Arial"/>
            <w:sz w:val="20"/>
            <w:szCs w:val="20"/>
          </w:rPr>
          <w:t xml:space="preserve">https://doi.org/10.1609/aimag.v32i3.2361</w:t>
        </w:r>
      </w:hyperlink>
    </w:p>
    <w:p>
      <w:pPr>
        <w:spacing w:after="100" w:before="60" w:line="300"/>
        <w:ind w:left="720" w:hanging="360"/>
      </w:pPr>
      <w:r>
        <w:rPr>
          <w:rFonts w:ascii="Arial" w:cs="Arial" w:eastAsia="Arial" w:hAnsi="Arial"/>
          <w:sz w:val="22"/>
          <w:szCs w:val="22"/>
        </w:rPr>
        <w:t xml:space="preserve">Li, S.-S., &amp; Karahanna, E. (2015). Online recommendation systems in a B2C e-commerce context. Journal of AIS, 16(2), 72–107. </w:t>
      </w:r>
      <w:hyperlink w:history="1" r:id="rIdpyqkqm3cysn0rdq1uvcgo">
        <w:r>
          <w:rPr>
            <w:rStyle w:val="Hyperlink"/>
            <w:rFonts w:ascii="Arial" w:cs="Arial" w:eastAsia="Arial" w:hAnsi="Arial"/>
            <w:sz w:val="20"/>
            <w:szCs w:val="20"/>
          </w:rPr>
          <w:t xml:space="preserve">https://doi.org/10.17705/1jais.00389</w:t>
        </w:r>
      </w:hyperlink>
    </w:p>
    <w:p>
      <w:pPr>
        <w:spacing w:after="100" w:before="60" w:line="300"/>
        <w:ind w:left="720" w:hanging="360"/>
      </w:pPr>
      <w:r>
        <w:rPr>
          <w:rFonts w:ascii="Arial" w:cs="Arial" w:eastAsia="Arial" w:hAnsi="Arial"/>
          <w:sz w:val="22"/>
          <w:szCs w:val="22"/>
        </w:rPr>
        <w:t xml:space="preserve">Park, D. H., et al. (2012). A literature review and classification of recommender systems research. Expert Systems with Applications, 39(11), 10059–10072. </w:t>
      </w:r>
      <w:hyperlink w:history="1" r:id="rId9eunrjdlqwiclllbme2kl">
        <w:r>
          <w:rPr>
            <w:rStyle w:val="Hyperlink"/>
            <w:rFonts w:ascii="Arial" w:cs="Arial" w:eastAsia="Arial" w:hAnsi="Arial"/>
            <w:sz w:val="20"/>
            <w:szCs w:val="20"/>
          </w:rPr>
          <w:t xml:space="preserve">https://doi.org/10.1016/j.eswa.2012.02.038</w:t>
        </w:r>
      </w:hyperlink>
    </w:p>
    <w:p>
      <w:pPr>
        <w:spacing w:after="100" w:before="60" w:line="300"/>
        <w:ind w:left="720" w:hanging="360"/>
      </w:pPr>
      <w:r>
        <w:rPr>
          <w:rFonts w:ascii="Arial" w:cs="Arial" w:eastAsia="Arial" w:hAnsi="Arial"/>
          <w:sz w:val="22"/>
          <w:szCs w:val="22"/>
        </w:rPr>
        <w:t xml:space="preserve">Xiao, B., &amp; Benbasat, I. (2014). Research on the use, characteristics, and impact of e-commerce product recommendation agents. In Handbook of Strategic e-Business Management (pp. 403–431). Springer. </w:t>
      </w:r>
      <w:hyperlink w:history="1" r:id="rIdlc21lgb5_twq00mk2zrm6">
        <w:r>
          <w:rPr>
            <w:rStyle w:val="Hyperlink"/>
            <w:rFonts w:ascii="Arial" w:cs="Arial" w:eastAsia="Arial" w:hAnsi="Arial"/>
            <w:sz w:val="20"/>
            <w:szCs w:val="20"/>
          </w:rPr>
          <w:t xml:space="preserve">https://doi.org/10.1007/978-3-642-39747-9_17</w:t>
        </w:r>
      </w:hyperlink>
    </w:p>
    <w:p>
      <w:pPr>
        <w:spacing w:after="100" w:before="60" w:line="300"/>
        <w:ind w:left="720" w:hanging="360"/>
      </w:pPr>
      <w:r>
        <w:rPr>
          <w:rFonts w:ascii="Arial" w:cs="Arial" w:eastAsia="Arial" w:hAnsi="Arial"/>
          <w:sz w:val="22"/>
          <w:szCs w:val="22"/>
        </w:rPr>
        <w:t xml:space="preserve">Wang, Y., Mo, D. Y., &amp; Tseng, M. M. (2019). Relative preference-based product configurator design. Procedia CIRP, 83, 575–578. </w:t>
      </w:r>
      <w:hyperlink w:history="1" r:id="rIdz3dsppgfxapfibzovy65x">
        <w:r>
          <w:rPr>
            <w:rStyle w:val="Hyperlink"/>
            <w:rFonts w:ascii="Arial" w:cs="Arial" w:eastAsia="Arial" w:hAnsi="Arial"/>
            <w:sz w:val="20"/>
            <w:szCs w:val="20"/>
          </w:rPr>
          <w:t xml:space="preserve">https://doi.org/10.1016/j.procir.2019.04.124</w:t>
        </w:r>
      </w:hyperlink>
    </w:p>
    <w:p>
      <w:pPr>
        <w:spacing w:after="60" w:before="200"/>
      </w:pPr>
      <w:r>
        <w:rPr>
          <w:rFonts w:ascii="Arial" w:cs="Arial" w:eastAsia="Arial" w:hAnsi="Arial"/>
          <w:b/>
          <w:bCs/>
          <w:sz w:val="22"/>
          <w:szCs w:val="22"/>
        </w:rPr>
        <w:t xml:space="preserve">C. Philippine and Local Studies</w:t>
      </w:r>
    </w:p>
    <w:p>
      <w:pPr>
        <w:spacing w:after="100" w:before="60" w:line="300"/>
        <w:ind w:left="720" w:hanging="360"/>
      </w:pPr>
      <w:r>
        <w:rPr>
          <w:rFonts w:ascii="Arial" w:cs="Arial" w:eastAsia="Arial" w:hAnsi="Arial"/>
          <w:sz w:val="22"/>
          <w:szCs w:val="22"/>
        </w:rPr>
        <w:t xml:space="preserve">Quimba, F. M. A., &amp; Calizo, S. C. (2019). Determinants of E-Commerce Adoption of Philippine Firms. PIDS Discussion Paper No. 2019-24. </w:t>
      </w:r>
      <w:hyperlink w:history="1" r:id="rIdhwl1nrunkw8uwp3o49mlg">
        <w:r>
          <w:rPr>
            <w:rStyle w:val="Hyperlink"/>
            <w:rFonts w:ascii="Arial" w:cs="Arial" w:eastAsia="Arial" w:hAnsi="Arial"/>
            <w:sz w:val="20"/>
            <w:szCs w:val="20"/>
          </w:rPr>
          <w:t xml:space="preserve">https://pidswebs.pids.gov.ph/CDN/PUBLICATIONS/pidsdps1924.pdf</w:t>
        </w:r>
      </w:hyperlink>
    </w:p>
    <w:p>
      <w:pPr>
        <w:spacing w:after="100" w:before="60" w:line="300"/>
        <w:ind w:left="720" w:hanging="360"/>
      </w:pPr>
      <w:r>
        <w:rPr>
          <w:rFonts w:ascii="Arial" w:cs="Arial" w:eastAsia="Arial" w:hAnsi="Arial"/>
          <w:sz w:val="22"/>
          <w:szCs w:val="22"/>
        </w:rPr>
        <w:t xml:space="preserve">Philippine Statistics Authority. (2015). Survey on Information and Communications Technology 2015. PSA, Quezon City. </w:t>
      </w:r>
      <w:hyperlink w:history="1" r:id="rIdggmyuahexsvh4ykolsepx">
        <w:r>
          <w:rPr>
            <w:rStyle w:val="Hyperlink"/>
            <w:rFonts w:ascii="Arial" w:cs="Arial" w:eastAsia="Arial" w:hAnsi="Arial"/>
            <w:sz w:val="20"/>
            <w:szCs w:val="20"/>
          </w:rPr>
          <w:t xml:space="preserve">https://psa.gov.ph/</w:t>
        </w:r>
      </w:hyperlink>
    </w:p>
    <w:p>
      <w:pPr>
        <w:spacing w:after="100" w:before="60" w:line="300"/>
        <w:ind w:left="720" w:hanging="360"/>
      </w:pPr>
      <w:r>
        <w:rPr>
          <w:rFonts w:ascii="Arial" w:cs="Arial" w:eastAsia="Arial" w:hAnsi="Arial"/>
          <w:sz w:val="22"/>
          <w:szCs w:val="22"/>
        </w:rPr>
        <w:t xml:space="preserve">Department of Trade and Industry. (2015). Philippine E-Commerce Roadmap 2016–2020. DTI, Manila. </w:t>
      </w:r>
      <w:hyperlink w:history="1" r:id="rIdaqvndoonx2fo10mi8tnzt">
        <w:r>
          <w:rPr>
            <w:rStyle w:val="Hyperlink"/>
            <w:rFonts w:ascii="Arial" w:cs="Arial" w:eastAsia="Arial" w:hAnsi="Arial"/>
            <w:sz w:val="20"/>
            <w:szCs w:val="20"/>
          </w:rPr>
          <w:t xml:space="preserve">https://www.dti.gov.ph/</w:t>
        </w:r>
      </w:hyperlink>
    </w:p>
    <w:p>
      <w:pPr>
        <w:spacing w:after="60" w:before="200"/>
      </w:pPr>
      <w:r>
        <w:rPr>
          <w:rFonts w:ascii="Arial" w:cs="Arial" w:eastAsia="Arial" w:hAnsi="Arial"/>
          <w:b/>
          <w:bCs/>
          <w:sz w:val="22"/>
          <w:szCs w:val="22"/>
        </w:rPr>
        <w:t xml:space="preserve">D. UX and Interface Design</w:t>
      </w:r>
    </w:p>
    <w:p>
      <w:pPr>
        <w:spacing w:after="100" w:before="60" w:line="300"/>
        <w:ind w:left="720" w:hanging="360"/>
      </w:pPr>
      <w:r>
        <w:rPr>
          <w:rFonts w:ascii="Arial" w:cs="Arial" w:eastAsia="Arial" w:hAnsi="Arial"/>
          <w:sz w:val="22"/>
          <w:szCs w:val="22"/>
        </w:rPr>
        <w:t xml:space="preserve">Norman, D. A. (2013). The Design of Everyday Things (Revised ed.). Basic Books.</w:t>
      </w:r>
    </w:p>
    <w:p>
      <w:pPr>
        <w:spacing w:after="100" w:before="60" w:line="300"/>
        <w:ind w:left="720" w:hanging="360"/>
      </w:pPr>
      <w:r>
        <w:rPr>
          <w:rFonts w:ascii="Arial" w:cs="Arial" w:eastAsia="Arial" w:hAnsi="Arial"/>
          <w:sz w:val="22"/>
          <w:szCs w:val="22"/>
        </w:rPr>
        <w:t xml:space="preserve">Garrett, J. J. (2010). The Elements of User Experience (2nd ed.). Pearson Education.</w:t>
      </w:r>
    </w:p>
    <w:p>
      <w:pPr>
        <w:spacing w:after="100" w:before="60" w:line="300"/>
        <w:ind w:left="720" w:hanging="360"/>
      </w:pPr>
      <w:r>
        <w:rPr>
          <w:rFonts w:ascii="Arial" w:cs="Arial" w:eastAsia="Arial" w:hAnsi="Arial"/>
          <w:sz w:val="22"/>
          <w:szCs w:val="22"/>
        </w:rPr>
        <w:t xml:space="preserve">Hassenzahl, M., &amp; Tractinsky, N. (2006). User experience—A research agenda. Behaviour and Information Technology, 25(2), 91–97. </w:t>
      </w:r>
      <w:hyperlink w:history="1" r:id="rId74jlt_rp-g-sc4xcedzkb">
        <w:r>
          <w:rPr>
            <w:rStyle w:val="Hyperlink"/>
            <w:rFonts w:ascii="Arial" w:cs="Arial" w:eastAsia="Arial" w:hAnsi="Arial"/>
            <w:sz w:val="20"/>
            <w:szCs w:val="20"/>
          </w:rPr>
          <w:t xml:space="preserve">https://doi.org/10.1080/01449290500330331</w:t>
        </w:r>
      </w:hyperlink>
    </w:p>
    <w:p>
      <w:pPr>
        <w:spacing w:after="100" w:before="60" w:line="300"/>
        <w:ind w:left="720" w:hanging="360"/>
      </w:pPr>
      <w:r>
        <w:rPr>
          <w:rFonts w:ascii="Arial" w:cs="Arial" w:eastAsia="Arial" w:hAnsi="Arial"/>
          <w:sz w:val="22"/>
          <w:szCs w:val="22"/>
        </w:rPr>
        <w:t xml:space="preserve">Yi, M., Huang, Z., &amp; Yu, Y. (2022). Creating a Sustainable E-Commerce Environment: Product Configurator Interaction Design. Sustainability, 14(23), 15903. </w:t>
      </w:r>
      <w:hyperlink w:history="1" r:id="rIdmpxkk0ctbb0xqm8jxvs5k">
        <w:r>
          <w:rPr>
            <w:rStyle w:val="Hyperlink"/>
            <w:rFonts w:ascii="Arial" w:cs="Arial" w:eastAsia="Arial" w:hAnsi="Arial"/>
            <w:sz w:val="20"/>
            <w:szCs w:val="20"/>
          </w:rPr>
          <w:t xml:space="preserve">https://doi.org/10.3390/su142315903</w:t>
        </w:r>
      </w:hyperlink>
    </w:p>
    <w:p>
      <w:r>
        <w:br w:type="page"/>
      </w:r>
    </w:p>
    <w:p>
      <w:pPr>
        <w:spacing w:after="80" w:before="60"/>
      </w:pPr>
      <w:r>
        <w:rPr>
          <w:rFonts w:ascii="Arial" w:cs="Arial" w:eastAsia="Arial" w:hAnsi="Arial"/>
          <w:b/>
          <w:bCs/>
          <w:color w:val="5a8aaa"/>
          <w:spacing w:val="40"/>
          <w:sz w:val="18"/>
          <w:szCs w:val="18"/>
        </w:rPr>
        <w:t xml:space="preserve">CHAPTER VI</w:t>
      </w:r>
    </w:p>
    <w:p>
      <w:pPr>
        <w:pStyle w:val="Heading1"/>
        <w:spacing w:after="160" w:before="400"/>
      </w:pPr>
      <w:r>
        <w:rPr>
          <w:rFonts w:ascii="Arial" w:cs="Arial" w:eastAsia="Arial" w:hAnsi="Arial"/>
          <w:b/>
          <w:bCs/>
          <w:sz w:val="28"/>
          <w:szCs w:val="28"/>
        </w:rPr>
        <w:t xml:space="preserve">APPENDICES</w:t>
      </w:r>
    </w:p>
    <w:p>
      <w:pPr>
        <w:pBdr>
          <w:bottom w:val="single" w:color="00D4FF" w:sz="4" w:space="1"/>
        </w:pBdr>
        <w:spacing w:after="160" w:before="160"/>
      </w:pPr>
    </w:p>
    <w:p>
      <w:pPr>
        <w:pStyle w:val="Heading2"/>
        <w:spacing w:after="160" w:before="280"/>
      </w:pPr>
      <w:r>
        <w:rPr>
          <w:rFonts w:ascii="Arial" w:cs="Arial" w:eastAsia="Arial" w:hAnsi="Arial"/>
          <w:b/>
          <w:bCs/>
          <w:sz w:val="24"/>
          <w:szCs w:val="24"/>
        </w:rPr>
        <w:t xml:space="preserve">Appendix A: RRL Source Verification</w:t>
      </w:r>
    </w:p>
    <w:p>
      <w:pPr>
        <w:spacing w:after="120" w:before="80" w:line="320"/>
        <w:jc w:val="both"/>
      </w:pPr>
      <w:r>
        <w:rPr>
          <w:rFonts w:ascii="Arial" w:cs="Arial" w:eastAsia="Arial" w:hAnsi="Arial"/>
          <w:sz w:val="22"/>
          <w:szCs w:val="22"/>
        </w:rPr>
        <w:t xml:space="preserve">All sources cited in Chapter II (Review of Related Literature) are real, published, and verifiable academic works. The following table provides direct access links for each RRL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20"/>
                <w:szCs w:val="20"/>
              </w:rPr>
              <w:t xml:space="preserve">Author / Title</w:t>
            </w:r>
          </w:p>
        </w:tc>
        <w:tc>
          <w:tcPr>
            <w:tcW w:type="dxa" w:w="456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20"/>
                <w:szCs w:val="20"/>
              </w:rPr>
              <w:t xml:space="preserve">DOI / URL</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b/>
                <w:bCs/>
                <w:sz w:val="18"/>
                <w:szCs w:val="18"/>
              </w:rPr>
              <w:t xml:space="preserve">L1</w:t>
            </w:r>
          </w:p>
        </w:tc>
        <w:tc>
          <w:tcPr>
            <w:tcW w:type="dxa" w:w="42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sz w:val="18"/>
                <w:szCs w:val="18"/>
              </w:rPr>
              <w:t xml:space="preserve">Quimba &amp; Calizo (2019) — PIDS E-Commerce Study</w:t>
            </w:r>
          </w:p>
        </w:tc>
        <w:tc>
          <w:tcPr>
            <w:tcW w:type="dxa" w:w="456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hyperlink w:history="1" r:id="rIdyqwrhnhckt64ksut2qezo">
              <w:r>
                <w:rPr>
                  <w:rStyle w:val="Hyperlink"/>
                  <w:rFonts w:ascii="Arial" w:cs="Arial" w:eastAsia="Arial" w:hAnsi="Arial"/>
                  <w:sz w:val="20"/>
                  <w:szCs w:val="20"/>
                </w:rPr>
                <w:t xml:space="preserve">https://pidswebs.pids.gov.ph/CDN/PUBLICATIONS/pids...</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L2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PSA SICT (2015) — Philippine ICT Survey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hyperlink w:history="1" r:id="rId02vjzhhruhvfgg_0s_r8n">
              <w:r>
                <w:rPr>
                  <w:rStyle w:val="Hyperlink"/>
                  <w:rFonts w:ascii="Arial" w:cs="Arial" w:eastAsia="Arial" w:hAnsi="Arial"/>
                  <w:sz w:val="20"/>
                  <w:szCs w:val="20"/>
                </w:rPr>
                <w:t xml:space="preserve">https://psa.gov.ph/content/survey-information-and-...</w:t>
              </w:r>
            </w:hyperlink>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b/>
                <w:bCs/>
                <w:sz w:val="18"/>
                <w:szCs w:val="18"/>
              </w:rPr>
              <w:t xml:space="preserve">L3</w:t>
            </w:r>
          </w:p>
        </w:tc>
        <w:tc>
          <w:tcPr>
            <w:tcW w:type="dxa" w:w="42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sz w:val="18"/>
                <w:szCs w:val="18"/>
              </w:rPr>
              <w:t xml:space="preserve">Bringula et al. (2022) — Hardware Training Philippines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hyperlink w:history="1" r:id="rId3bxa-1im7loojsdqwts5x">
              <w:r>
                <w:rPr>
                  <w:rStyle w:val="Hyperlink"/>
                  <w:rFonts w:ascii="Arial" w:cs="Arial" w:eastAsia="Arial" w:hAnsi="Arial"/>
                  <w:sz w:val="20"/>
                  <w:szCs w:val="20"/>
                </w:rPr>
                <w:t xml:space="preserve">https://www.researchgate.net/publication/367503268</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L4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DTI (2015) — Philippine E-Commerce Roadmap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hyperlink w:history="1" r:id="rIdbtcjjs6dw1w4wu8vbse74">
              <w:r>
                <w:rPr>
                  <w:rStyle w:val="Hyperlink"/>
                  <w:rFonts w:ascii="Arial" w:cs="Arial" w:eastAsia="Arial" w:hAnsi="Arial"/>
                  <w:sz w:val="20"/>
                  <w:szCs w:val="20"/>
                </w:rPr>
                <w:t xml:space="preserve">https://www.dti.gov.ph/</w:t>
              </w:r>
            </w:hyperlink>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b/>
                <w:bCs/>
                <w:sz w:val="18"/>
                <w:szCs w:val="18"/>
              </w:rPr>
              <w:t xml:space="preserve">L5</w:t>
            </w:r>
          </w:p>
        </w:tc>
        <w:tc>
          <w:tcPr>
            <w:tcW w:type="dxa" w:w="42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sz w:val="18"/>
                <w:szCs w:val="18"/>
              </w:rPr>
              <w:t xml:space="preserve">Magsumbol et al. (2021) — Tech Adoption Philippines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hyperlink w:history="1" r:id="rIdnps83hqfbaw8vnfcrezxo">
              <w:r>
                <w:rPr>
                  <w:rStyle w:val="Hyperlink"/>
                  <w:rFonts w:ascii="Arial" w:cs="Arial" w:eastAsia="Arial" w:hAnsi="Arial"/>
                  <w:sz w:val="20"/>
                  <w:szCs w:val="20"/>
                </w:rPr>
                <w:t xml:space="preserve">https://link.springer.com/chapter/10.1007/978-3-03...</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F1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Adomavicius &amp; Tuzhilin (2005) — Recommender Systems IEEE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hyperlink w:history="1" r:id="rId3ippm9jb76jlvgvzlmaiy">
              <w:r>
                <w:rPr>
                  <w:rStyle w:val="Hyperlink"/>
                  <w:rFonts w:ascii="Arial" w:cs="Arial" w:eastAsia="Arial" w:hAnsi="Arial"/>
                  <w:sz w:val="20"/>
                  <w:szCs w:val="20"/>
                </w:rPr>
                <w:t xml:space="preserve">https://doi.org/10.1109/TKDE.2005.99</w:t>
              </w:r>
            </w:hyperlink>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b/>
                <w:bCs/>
                <w:sz w:val="18"/>
                <w:szCs w:val="18"/>
              </w:rPr>
              <w:t xml:space="preserve">F2</w:t>
            </w:r>
          </w:p>
        </w:tc>
        <w:tc>
          <w:tcPr>
            <w:tcW w:type="dxa" w:w="42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sz w:val="18"/>
                <w:szCs w:val="18"/>
              </w:rPr>
              <w:t xml:space="preserve">Burke, Felfernig &amp; Göker (2011) — RS Overview AI Mag</w:t>
            </w:r>
          </w:p>
        </w:tc>
        <w:tc>
          <w:tcPr>
            <w:tcW w:type="dxa" w:w="456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hyperlink w:history="1" r:id="rIdfdum-leqq8rn26lviwg-r">
              <w:r>
                <w:rPr>
                  <w:rStyle w:val="Hyperlink"/>
                  <w:rFonts w:ascii="Arial" w:cs="Arial" w:eastAsia="Arial" w:hAnsi="Arial"/>
                  <w:sz w:val="20"/>
                  <w:szCs w:val="20"/>
                </w:rPr>
                <w:t xml:space="preserve">https://doi.org/10.1609/aimag.v32i3.2361</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F3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Park et al. (2012) — RS Literature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hyperlink w:history="1" r:id="rIdkoenmqxmo6wn-cxx6nc9i">
              <w:r>
                <w:rPr>
                  <w:rStyle w:val="Hyperlink"/>
                  <w:rFonts w:ascii="Arial" w:cs="Arial" w:eastAsia="Arial" w:hAnsi="Arial"/>
                  <w:sz w:val="20"/>
                  <w:szCs w:val="20"/>
                </w:rPr>
                <w:t xml:space="preserve">https://doi.org/10.1016/j.eswa.2012.02.038</w:t>
              </w:r>
            </w:hyperlink>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b/>
                <w:bCs/>
                <w:sz w:val="18"/>
                <w:szCs w:val="18"/>
              </w:rPr>
              <w:t xml:space="preserve">F4</w:t>
            </w:r>
          </w:p>
        </w:tc>
        <w:tc>
          <w:tcPr>
            <w:tcW w:type="dxa" w:w="42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sz w:val="18"/>
                <w:szCs w:val="18"/>
              </w:rPr>
              <w:t xml:space="preserve">Li &amp; Karahanna (2015) — B2C Recommendation Systems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hyperlink w:history="1" r:id="rIdxcpfxsomtbps_ozgdgjni">
              <w:r>
                <w:rPr>
                  <w:rStyle w:val="Hyperlink"/>
                  <w:rFonts w:ascii="Arial" w:cs="Arial" w:eastAsia="Arial" w:hAnsi="Arial"/>
                  <w:sz w:val="20"/>
                  <w:szCs w:val="20"/>
                </w:rPr>
                <w:t xml:space="preserve">https://doi.org/10.17705/1jais.00389</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F5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Xiao &amp; Benbasat (2014) — Product Recommendation Agents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hyperlink w:history="1" r:id="rId6g1z2mlz2mg5flobqvuqp">
              <w:r>
                <w:rPr>
                  <w:rStyle w:val="Hyperlink"/>
                  <w:rFonts w:ascii="Arial" w:cs="Arial" w:eastAsia="Arial" w:hAnsi="Arial"/>
                  <w:sz w:val="20"/>
                  <w:szCs w:val="20"/>
                </w:rPr>
                <w:t xml:space="preserve">https://doi.org/10.1007/978-3-642-39747-9_17</w:t>
              </w:r>
            </w:hyperlink>
          </w:p>
        </w:tc>
      </w:tr>
    </w:tbl>
    <w:p>
      <w:pPr>
        <w:pStyle w:val="Heading2"/>
        <w:spacing w:after="160" w:before="280"/>
      </w:pPr>
      <w:r>
        <w:rPr>
          <w:rFonts w:ascii="Arial" w:cs="Arial" w:eastAsia="Arial" w:hAnsi="Arial"/>
          <w:b/>
          <w:bCs/>
          <w:sz w:val="24"/>
          <w:szCs w:val="24"/>
        </w:rPr>
        <w:t xml:space="preserve">Appendix B: Team Members — Examination Permits</w:t>
      </w:r>
    </w:p>
    <w:p>
      <w:pPr>
        <w:spacing w:after="120" w:before="80" w:line="320"/>
        <w:jc w:val="both"/>
      </w:pPr>
      <w:r>
        <w:rPr>
          <w:rFonts w:ascii="Arial" w:cs="Arial" w:eastAsia="Arial" w:hAnsi="Arial"/>
          <w:sz w:val="22"/>
          <w:szCs w:val="22"/>
        </w:rPr>
        <w:t xml:space="preserve">Each member of the group has attached a copy of their valid examination permit for the current semester as proof of enrollment and eligibility to submit this project.</w:t>
      </w:r>
    </w:p>
    <w:p>
      <w:pPr>
        <w:spacing w:after="60" w:before="80"/>
      </w:pPr>
      <w:r>
        <w:rPr>
          <w:rFonts w:ascii="Arial" w:cs="Arial" w:eastAsia="Arial" w:hAnsi="Arial"/>
          <w:b/>
          <w:bCs/>
          <w:sz w:val="22"/>
          <w:szCs w:val="22"/>
        </w:rPr>
        <w:t xml:space="preserve">Group Members:</w:t>
      </w:r>
    </w:p>
    <w:p>
      <w:pPr>
        <w:pStyle w:val="ListParagraph"/>
        <w:numPr>
          <w:ilvl w:val="0"/>
          <w:numId w:val="2"/>
        </w:numPr>
        <w:spacing w:after="60" w:before="60" w:line="300"/>
      </w:pPr>
      <w:r>
        <w:rPr>
          <w:rFonts w:ascii="Arial" w:cs="Arial" w:eastAsia="Arial" w:hAnsi="Arial"/>
          <w:sz w:val="22"/>
          <w:szCs w:val="22"/>
        </w:rPr>
        <w:t xml:space="preserve">Delacruz, Leonard</w:t>
      </w:r>
    </w:p>
    <w:p>
      <w:pPr>
        <w:pStyle w:val="ListParagraph"/>
        <w:numPr>
          <w:ilvl w:val="0"/>
          <w:numId w:val="2"/>
        </w:numPr>
        <w:spacing w:after="60" w:before="60" w:line="300"/>
      </w:pPr>
      <w:r>
        <w:rPr>
          <w:rFonts w:ascii="Arial" w:cs="Arial" w:eastAsia="Arial" w:hAnsi="Arial"/>
          <w:sz w:val="22"/>
          <w:szCs w:val="22"/>
        </w:rPr>
        <w:t xml:space="preserve">Laloon, Ron Ely</w:t>
      </w:r>
    </w:p>
    <w:p>
      <w:pPr>
        <w:pStyle w:val="ListParagraph"/>
        <w:numPr>
          <w:ilvl w:val="0"/>
          <w:numId w:val="2"/>
        </w:numPr>
        <w:spacing w:after="60" w:before="60" w:line="300"/>
      </w:pPr>
      <w:r>
        <w:rPr>
          <w:rFonts w:ascii="Arial" w:cs="Arial" w:eastAsia="Arial" w:hAnsi="Arial"/>
          <w:sz w:val="22"/>
          <w:szCs w:val="22"/>
        </w:rPr>
        <w:t xml:space="preserve">Lloren, Jerwin</w:t>
      </w:r>
    </w:p>
    <w:p>
      <w:pPr>
        <w:pStyle w:val="ListParagraph"/>
        <w:numPr>
          <w:ilvl w:val="0"/>
          <w:numId w:val="2"/>
        </w:numPr>
        <w:spacing w:after="60" w:before="60" w:line="300"/>
      </w:pPr>
      <w:r>
        <w:rPr>
          <w:rFonts w:ascii="Arial" w:cs="Arial" w:eastAsia="Arial" w:hAnsi="Arial"/>
          <w:sz w:val="22"/>
          <w:szCs w:val="22"/>
        </w:rPr>
        <w:t xml:space="preserve">Ramos, Prince Franco</w:t>
      </w:r>
    </w:p>
    <w:p>
      <w:pPr>
        <w:pStyle w:val="ListParagraph"/>
        <w:numPr>
          <w:ilvl w:val="0"/>
          <w:numId w:val="2"/>
        </w:numPr>
        <w:spacing w:after="60" w:before="60" w:line="300"/>
      </w:pPr>
      <w:r>
        <w:rPr>
          <w:rFonts w:ascii="Arial" w:cs="Arial" w:eastAsia="Arial" w:hAnsi="Arial"/>
          <w:sz w:val="22"/>
          <w:szCs w:val="22"/>
        </w:rPr>
        <w:t xml:space="preserve">Reyes, Kurt Dheniel</w:t>
      </w:r>
    </w:p>
    <w:p>
      <w:pPr>
        <w:spacing w:after="60" w:before="160"/>
      </w:pPr>
      <w:r>
        <w:rPr>
          <w:rFonts w:ascii="Arial" w:cs="Arial" w:eastAsia="Arial" w:hAnsi="Arial"/>
          <w:i/>
          <w:iCs/>
          <w:sz w:val="20"/>
          <w:szCs w:val="20"/>
        </w:rPr>
        <w:t xml:space="preserve">(Examination permit copies attached below)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F" w:sz="4" w:space="4"/>
      </w:pBdr>
      <w:spacing w:after="120" w:before="0"/>
    </w:pPr>
    <w:r>
      <w:rPr>
        <w:rFonts w:ascii="Arial" w:cs="Arial" w:eastAsia="Arial" w:hAnsi="Arial"/>
        <w:b/>
        <w:bCs/>
        <w:color w:val="003366"/>
        <w:sz w:val="18"/>
        <w:szCs w:val="18"/>
      </w:rPr>
      <w:t xml:space="preserve">BUILDMATRIX</w:t>
    </w:r>
    <w:r>
      <w:rPr>
        <w:rFonts w:ascii="Arial" w:cs="Arial" w:eastAsia="Arial" w:hAnsi="Arial"/>
        <w:color w:val="888888"/>
        <w:sz w:val="16"/>
        <w:szCs w:val="16"/>
      </w:rPr>
      <w:t xml:space="preserve">  |  Web-Based PC Building System  |  PHINMA St. Jude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0336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6-vph_yeogwaqdh9u27z" Type="http://schemas.openxmlformats.org/officeDocument/2006/relationships/hyperlink" Target="https://pidswebs.pids.gov.ph/CDN/PUBLICATIONS/pidsdps1924.pdf" TargetMode="External"/><Relationship Id="rIdtpmlrplhunmwcxq2l4lvw" Type="http://schemas.openxmlformats.org/officeDocument/2006/relationships/hyperlink" Target="https://psa.gov.ph/content/survey-information-and-communications-technology" TargetMode="External"/><Relationship Id="rIdwrbnoktwdxrttjo0uhdcu" Type="http://schemas.openxmlformats.org/officeDocument/2006/relationships/hyperlink" Target="https://www.researchgate.net/publication/367503268" TargetMode="External"/><Relationship Id="rIdxlcykpemzttg9j0xetld8" Type="http://schemas.openxmlformats.org/officeDocument/2006/relationships/hyperlink" Target="https://www.dti.gov.ph/" TargetMode="External"/><Relationship Id="rIdiq15gkdunjlz0mydluorz" Type="http://schemas.openxmlformats.org/officeDocument/2006/relationships/hyperlink" Target="https://link.springer.com/chapter/10.1007/978-3-031-19958-5_21" TargetMode="External"/><Relationship Id="rIdut2qstfgsi3tympwc_jsl" Type="http://schemas.openxmlformats.org/officeDocument/2006/relationships/hyperlink" Target="https://doi.org/10.1109/TKDE.2005.99" TargetMode="External"/><Relationship Id="rId1mm8xt8jresyypegv-utl" Type="http://schemas.openxmlformats.org/officeDocument/2006/relationships/hyperlink" Target="https://doi.org/10.1609/aimag.v32i3.2361" TargetMode="External"/><Relationship Id="rIdrsvutl-yfqcvnegepksdy" Type="http://schemas.openxmlformats.org/officeDocument/2006/relationships/hyperlink" Target="https://doi.org/10.1016/j.eswa.2012.02.038" TargetMode="External"/><Relationship Id="rIdi7acoqwvk1ul-vqrulpuk" Type="http://schemas.openxmlformats.org/officeDocument/2006/relationships/hyperlink" Target="https://doi.org/10.17705/1jais.00389" TargetMode="External"/><Relationship Id="rIdwayvkiczxwrmn_-prpz9q" Type="http://schemas.openxmlformats.org/officeDocument/2006/relationships/hyperlink" Target="https://doi.org/10.1007/978-3-642-39747-9_17" TargetMode="External"/><Relationship Id="rIdlydosiqyirmvz91snfhvn" Type="http://schemas.openxmlformats.org/officeDocument/2006/relationships/hyperlink" Target="https://pages.nist.gov/800-63-3/sp800-63-3.html" TargetMode="External"/><Relationship Id="rIdpaa0_apw7ad_etzngsg-d" Type="http://schemas.openxmlformats.org/officeDocument/2006/relationships/hyperlink" Target="https://nvlpubs.nist.gov/nistpubs/SpecialPublications/NIST.SP.800-63b.pdf" TargetMode="External"/><Relationship Id="rIdepam-nuorejm2btwsiplq" Type="http://schemas.openxmlformats.org/officeDocument/2006/relationships/hyperlink" Target="https://owasp.org/www-project-application-security-verification-standard/" TargetMode="External"/><Relationship Id="rIdjxwsy3awjmnruk9rlvxff" Type="http://schemas.openxmlformats.org/officeDocument/2006/relationships/hyperlink" Target="https://owasp.org/Top10/" TargetMode="External"/><Relationship Id="rIdoxdb7wkz95biucxjtuekt" Type="http://schemas.openxmlformats.org/officeDocument/2006/relationships/hyperlink" Target="https://doi.org/10.1109/TKDE.2005.99" TargetMode="External"/><Relationship Id="rIdciiisdxq212rlbn0eogxn" Type="http://schemas.openxmlformats.org/officeDocument/2006/relationships/hyperlink" Target="https://doi.org/10.1609/aimag.v32i3.2361" TargetMode="External"/><Relationship Id="rIdpyqkqm3cysn0rdq1uvcgo" Type="http://schemas.openxmlformats.org/officeDocument/2006/relationships/hyperlink" Target="https://doi.org/10.17705/1jais.00389" TargetMode="External"/><Relationship Id="rId9eunrjdlqwiclllbme2kl" Type="http://schemas.openxmlformats.org/officeDocument/2006/relationships/hyperlink" Target="https://doi.org/10.1016/j.eswa.2012.02.038" TargetMode="External"/><Relationship Id="rIdlc21lgb5_twq00mk2zrm6" Type="http://schemas.openxmlformats.org/officeDocument/2006/relationships/hyperlink" Target="https://doi.org/10.1007/978-3-642-39747-9_17" TargetMode="External"/><Relationship Id="rIdz3dsppgfxapfibzovy65x" Type="http://schemas.openxmlformats.org/officeDocument/2006/relationships/hyperlink" Target="https://doi.org/10.1016/j.procir.2019.04.124" TargetMode="External"/><Relationship Id="rIdhwl1nrunkw8uwp3o49mlg" Type="http://schemas.openxmlformats.org/officeDocument/2006/relationships/hyperlink" Target="https://pidswebs.pids.gov.ph/CDN/PUBLICATIONS/pidsdps1924.pdf" TargetMode="External"/><Relationship Id="rIdggmyuahexsvh4ykolsepx" Type="http://schemas.openxmlformats.org/officeDocument/2006/relationships/hyperlink" Target="https://psa.gov.ph/" TargetMode="External"/><Relationship Id="rIdaqvndoonx2fo10mi8tnzt" Type="http://schemas.openxmlformats.org/officeDocument/2006/relationships/hyperlink" Target="https://www.dti.gov.ph/" TargetMode="External"/><Relationship Id="rId74jlt_rp-g-sc4xcedzkb" Type="http://schemas.openxmlformats.org/officeDocument/2006/relationships/hyperlink" Target="https://doi.org/10.1080/01449290500330331" TargetMode="External"/><Relationship Id="rIdmpxkk0ctbb0xqm8jxvs5k" Type="http://schemas.openxmlformats.org/officeDocument/2006/relationships/hyperlink" Target="https://doi.org/10.3390/su142315903" TargetMode="External"/><Relationship Id="rIdyqwrhnhckt64ksut2qezo" Type="http://schemas.openxmlformats.org/officeDocument/2006/relationships/hyperlink" Target="https://pidswebs.pids.gov.ph/CDN/PUBLICATIONS/pidsdps1924.pdf" TargetMode="External"/><Relationship Id="rId02vjzhhruhvfgg_0s_r8n" Type="http://schemas.openxmlformats.org/officeDocument/2006/relationships/hyperlink" Target="https://psa.gov.ph/content/survey-information-and-communications-technology" TargetMode="External"/><Relationship Id="rId3bxa-1im7loojsdqwts5x" Type="http://schemas.openxmlformats.org/officeDocument/2006/relationships/hyperlink" Target="https://www.researchgate.net/publication/367503268" TargetMode="External"/><Relationship Id="rIdbtcjjs6dw1w4wu8vbse74" Type="http://schemas.openxmlformats.org/officeDocument/2006/relationships/hyperlink" Target="https://www.dti.gov.ph/" TargetMode="External"/><Relationship Id="rIdnps83hqfbaw8vnfcrezxo" Type="http://schemas.openxmlformats.org/officeDocument/2006/relationships/hyperlink" Target="https://link.springer.com/chapter/10.1007/978-3-031-19958-5_21" TargetMode="External"/><Relationship Id="rId3ippm9jb76jlvgvzlmaiy" Type="http://schemas.openxmlformats.org/officeDocument/2006/relationships/hyperlink" Target="https://doi.org/10.1109/TKDE.2005.99" TargetMode="External"/><Relationship Id="rIdfdum-leqq8rn26lviwg-r" Type="http://schemas.openxmlformats.org/officeDocument/2006/relationships/hyperlink" Target="https://doi.org/10.1609/aimag.v32i3.2361" TargetMode="External"/><Relationship Id="rIdkoenmqxmo6wn-cxx6nc9i" Type="http://schemas.openxmlformats.org/officeDocument/2006/relationships/hyperlink" Target="https://doi.org/10.1016/j.eswa.2012.02.038" TargetMode="External"/><Relationship Id="rIdxcpfxsomtbps_ozgdgjni" Type="http://schemas.openxmlformats.org/officeDocument/2006/relationships/hyperlink" Target="https://doi.org/10.17705/1jais.00389" TargetMode="External"/><Relationship Id="rId6g1z2mlz2mg5flobqvuqp" Type="http://schemas.openxmlformats.org/officeDocument/2006/relationships/hyperlink" Target="https://doi.org/10.1007/978-3-642-39747-9_17"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2026-04-18T23:33:46.650Z</dcterms:created>
  <dcterms:modified xsi:type="dcterms:W3CDTF">2026-04-18T23:33:46.651Z</dcterms:modified>
</cp:coreProperties>
</file>

<file path=docProps/custom.xml><?xml version="1.0" encoding="utf-8"?>
<Properties xmlns="http://schemas.openxmlformats.org/officeDocument/2006/custom-properties" xmlns:vt="http://schemas.openxmlformats.org/officeDocument/2006/docPropsVTypes"/>
</file>