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bookmarkStart w:id="11" w:name="_Hlk170532944"/>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bookmarkEnd w:id="11"/>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2"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2"/>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3" w:name="_Hlk170475873"/>
      <w:bookmarkStart w:id="14"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3"/>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5" w:name="_Hlk170478860"/>
      <w:bookmarkEnd w:id="14"/>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6"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6"/>
      <w:r w:rsidRPr="004B6ABD">
        <w:rPr>
          <w:rFonts w:ascii="Merriweather" w:hAnsi="Merriweather"/>
          <w:color w:val="262626" w:themeColor="text1" w:themeTint="D9"/>
          <w:sz w:val="14"/>
          <w:szCs w:val="14"/>
        </w:rPr>
        <w:t xml:space="preserve"> attended by more than 100 students.</w:t>
      </w:r>
    </w:p>
    <w:p w14:paraId="4ADB3C2D" w14:textId="577CB1A8"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bookmarkEnd w:id="15"/>
    <w:p w14:paraId="32B57F91" w14:textId="08D2781E" w:rsidR="0095682C" w:rsidRPr="00876FF2" w:rsidRDefault="00876FF2" w:rsidP="00876FF2">
      <w:pPr>
        <w:pStyle w:val="Heading1"/>
        <w:pBdr>
          <w:bottom w:val="single" w:sz="2" w:space="1" w:color="auto"/>
        </w:pBdr>
        <w:rPr>
          <w:rFonts w:ascii="Merriweather" w:hAnsi="Merriweather"/>
          <w:sz w:val="20"/>
          <w:szCs w:val="20"/>
        </w:rPr>
      </w:pPr>
      <w:r w:rsidRPr="00876FF2">
        <w:rPr>
          <w:rFonts w:ascii="Merriweather" w:hAnsi="Merriweather"/>
          <w:sz w:val="20"/>
          <w:szCs w:val="20"/>
        </w:rPr>
        <w:t>PUBLICATIONS</w:t>
      </w:r>
    </w:p>
    <w:p w14:paraId="77EBA0F5" w14:textId="33384331" w:rsidR="0095682C" w:rsidRPr="000A3414" w:rsidRDefault="00892F15" w:rsidP="00876FF2">
      <w:pPr>
        <w:pStyle w:val="Heading2"/>
        <w:tabs>
          <w:tab w:val="clear" w:pos="9360"/>
        </w:tabs>
        <w:spacing w:before="60" w:after="0"/>
        <w:rPr>
          <w:rFonts w:ascii="Merriweather" w:hAnsi="Merriweather"/>
          <w:color w:val="000000" w:themeColor="text1"/>
          <w:sz w:val="14"/>
          <w:szCs w:val="14"/>
        </w:rPr>
      </w:pPr>
      <w:bookmarkStart w:id="17" w:name="_Hlk170532756"/>
      <w:r w:rsidRPr="000A3414">
        <w:rPr>
          <w:rFonts w:ascii="Merriweather" w:hAnsi="Merriweather"/>
          <w:color w:val="000000" w:themeColor="text1"/>
          <w:sz w:val="14"/>
          <w:szCs w:val="14"/>
        </w:rPr>
        <w:t>A</w:t>
      </w:r>
      <w:hyperlink r:id="rId29" w:history="1">
        <w:r w:rsidRPr="000A3414">
          <w:rPr>
            <w:rStyle w:val="Hyperlink"/>
            <w:rFonts w:ascii="Merriweather" w:hAnsi="Merriweather"/>
            <w:color w:val="000000" w:themeColor="text1"/>
            <w:sz w:val="14"/>
            <w:szCs w:val="14"/>
            <w:u w:val="none"/>
          </w:rPr>
          <w:t>ndroid-based application for shading analysis and assessment of actual solar energy potential</w:t>
        </w:r>
        <w:r w:rsidRPr="000A3414">
          <w:rPr>
            <w:rStyle w:val="Hyperlink"/>
            <w:rFonts w:ascii="Merriweather" w:hAnsi="Merriweather"/>
            <w:color w:val="000000" w:themeColor="text1"/>
            <w:sz w:val="14"/>
            <w:szCs w:val="14"/>
            <w:u w:val="none"/>
          </w:rPr>
          <w:t xml:space="preserve"> </w:t>
        </w:r>
        <w:r w:rsidRPr="000A3414">
          <w:rPr>
            <w:rStyle w:val="Hyperlink"/>
            <w:rFonts w:ascii="Merriweather" w:hAnsi="Merriweather"/>
            <w:color w:val="000000" w:themeColor="text1"/>
            <w:sz w:val="16"/>
            <w:szCs w:val="16"/>
            <w:u w:val="none"/>
            <w:bdr w:val="none" w:sz="0" w:space="0" w:color="auto" w:frame="1"/>
          </w:rPr>
          <w:fldChar w:fldCharType="begin"/>
        </w:r>
        <w:r w:rsidRPr="000A3414">
          <w:rPr>
            <w:rStyle w:val="Hyperlink"/>
            <w:rFonts w:ascii="Merriweather" w:hAnsi="Merriweather"/>
            <w:color w:val="000000" w:themeColor="text1"/>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Pr="000A3414">
          <w:rPr>
            <w:rStyle w:val="Hyperlink"/>
            <w:rFonts w:ascii="Merriweather" w:hAnsi="Merriweather"/>
            <w:color w:val="000000" w:themeColor="text1"/>
            <w:sz w:val="16"/>
            <w:szCs w:val="16"/>
            <w:u w:val="none"/>
            <w:bdr w:val="none" w:sz="0" w:space="0" w:color="auto" w:frame="1"/>
          </w:rPr>
          <w:fldChar w:fldCharType="separate"/>
        </w:r>
        <w:r w:rsidRPr="000A3414">
          <w:rPr>
            <w:rStyle w:val="Hyperlink"/>
            <w:rFonts w:ascii="Merriweather" w:hAnsi="Merriweather"/>
            <w:noProof/>
            <w:color w:val="000000" w:themeColor="text1"/>
            <w:sz w:val="16"/>
            <w:szCs w:val="16"/>
            <w:u w:val="none"/>
            <w:bdr w:val="none" w:sz="0" w:space="0" w:color="auto" w:frame="1"/>
          </w:rPr>
          <w:drawing>
            <wp:inline distT="0" distB="0" distL="0" distR="0" wp14:anchorId="3532370A" wp14:editId="1F6DEB54">
              <wp:extent cx="72000" cy="72000"/>
              <wp:effectExtent l="0" t="0" r="4445" b="4445"/>
              <wp:docPr id="1486357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0A3414">
          <w:rPr>
            <w:rStyle w:val="Hyperlink"/>
            <w:rFonts w:ascii="Merriweather" w:hAnsi="Merriweather"/>
            <w:color w:val="000000" w:themeColor="text1"/>
            <w:sz w:val="16"/>
            <w:szCs w:val="16"/>
            <w:u w:val="none"/>
            <w:bdr w:val="none" w:sz="0" w:space="0" w:color="auto" w:frame="1"/>
          </w:rPr>
          <w:fldChar w:fldCharType="end"/>
        </w:r>
      </w:hyperlink>
    </w:p>
    <w:p w14:paraId="258ADB8E" w14:textId="34A1DBD8" w:rsidR="0095682C" w:rsidRDefault="0095682C" w:rsidP="00876FF2">
      <w:pPr>
        <w:spacing w:after="0"/>
        <w:rPr>
          <w:rFonts w:ascii="Merriweather" w:hAnsi="Merriweather"/>
          <w:sz w:val="14"/>
          <w:szCs w:val="14"/>
        </w:rPr>
      </w:pPr>
      <w:r w:rsidRPr="00876FF2">
        <w:rPr>
          <w:rFonts w:ascii="Merriweather" w:hAnsi="Merriweather"/>
          <w:sz w:val="14"/>
          <w:szCs w:val="14"/>
        </w:rPr>
        <w:t>Proc. SPIE 11496, New Concepts in Solar and Thermal Radiation Conversion III, 114960G (2020) A. Garg, P. Sharma, V. Verma, and T. Kaur</w:t>
      </w:r>
    </w:p>
    <w:p w14:paraId="3C03AA07" w14:textId="239F98BA" w:rsidR="00876FF2" w:rsidRPr="000A3414" w:rsidRDefault="000A3414" w:rsidP="00876FF2">
      <w:pPr>
        <w:pStyle w:val="Heading2"/>
        <w:tabs>
          <w:tab w:val="clear" w:pos="9360"/>
        </w:tabs>
        <w:spacing w:before="60" w:after="0"/>
        <w:rPr>
          <w:rFonts w:ascii="Merriweather" w:hAnsi="Merriweather"/>
          <w:color w:val="000000" w:themeColor="text1"/>
          <w:sz w:val="14"/>
          <w:szCs w:val="14"/>
        </w:rPr>
      </w:pPr>
      <w:hyperlink r:id="rId31" w:history="1">
        <w:r w:rsidR="00892F15" w:rsidRPr="000A3414">
          <w:rPr>
            <w:rStyle w:val="Hyperlink"/>
            <w:rFonts w:ascii="Merriweather" w:hAnsi="Merriweather"/>
            <w:color w:val="000000" w:themeColor="text1"/>
            <w:sz w:val="14"/>
            <w:szCs w:val="14"/>
            <w:u w:val="none"/>
          </w:rPr>
          <w:t>Artificial Intelligence assisted Smart Mirror</w:t>
        </w:r>
        <w:r w:rsidR="00892F15" w:rsidRPr="000A3414">
          <w:rPr>
            <w:rStyle w:val="Hyperlink"/>
            <w:rFonts w:ascii="Merriweather" w:hAnsi="Merriweather"/>
            <w:color w:val="000000" w:themeColor="text1"/>
            <w:sz w:val="14"/>
            <w:szCs w:val="14"/>
            <w:u w:val="none"/>
          </w:rPr>
          <w:t xml:space="preserve"> </w:t>
        </w:r>
        <w:r w:rsidR="00892F15" w:rsidRPr="000A3414">
          <w:rPr>
            <w:rStyle w:val="Hyperlink"/>
            <w:rFonts w:ascii="Merriweather" w:hAnsi="Merriweather"/>
            <w:color w:val="000000" w:themeColor="text1"/>
            <w:sz w:val="16"/>
            <w:szCs w:val="16"/>
            <w:u w:val="none"/>
            <w:bdr w:val="none" w:sz="0" w:space="0" w:color="auto" w:frame="1"/>
          </w:rPr>
          <w:fldChar w:fldCharType="begin"/>
        </w:r>
        <w:r w:rsidR="00892F15" w:rsidRPr="000A3414">
          <w:rPr>
            <w:rStyle w:val="Hyperlink"/>
            <w:rFonts w:ascii="Merriweather" w:hAnsi="Merriweather"/>
            <w:color w:val="000000" w:themeColor="text1"/>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892F15" w:rsidRPr="000A3414">
          <w:rPr>
            <w:rStyle w:val="Hyperlink"/>
            <w:rFonts w:ascii="Merriweather" w:hAnsi="Merriweather"/>
            <w:color w:val="000000" w:themeColor="text1"/>
            <w:sz w:val="16"/>
            <w:szCs w:val="16"/>
            <w:u w:val="none"/>
            <w:bdr w:val="none" w:sz="0" w:space="0" w:color="auto" w:frame="1"/>
          </w:rPr>
          <w:fldChar w:fldCharType="separate"/>
        </w:r>
        <w:r w:rsidR="00892F15" w:rsidRPr="000A3414">
          <w:rPr>
            <w:rStyle w:val="Hyperlink"/>
            <w:rFonts w:ascii="Merriweather" w:hAnsi="Merriweather"/>
            <w:noProof/>
            <w:color w:val="000000" w:themeColor="text1"/>
            <w:sz w:val="16"/>
            <w:szCs w:val="16"/>
            <w:u w:val="none"/>
            <w:bdr w:val="none" w:sz="0" w:space="0" w:color="auto" w:frame="1"/>
          </w:rPr>
          <w:drawing>
            <wp:inline distT="0" distB="0" distL="0" distR="0" wp14:anchorId="34FB5BEA" wp14:editId="2A8A871B">
              <wp:extent cx="72000" cy="72000"/>
              <wp:effectExtent l="0" t="0" r="4445" b="4445"/>
              <wp:docPr id="8820223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892F15" w:rsidRPr="000A3414">
          <w:rPr>
            <w:rStyle w:val="Hyperlink"/>
            <w:rFonts w:ascii="Merriweather" w:hAnsi="Merriweather"/>
            <w:color w:val="000000" w:themeColor="text1"/>
            <w:sz w:val="16"/>
            <w:szCs w:val="16"/>
            <w:u w:val="none"/>
            <w:bdr w:val="none" w:sz="0" w:space="0" w:color="auto" w:frame="1"/>
          </w:rPr>
          <w:fldChar w:fldCharType="end"/>
        </w:r>
      </w:hyperlink>
    </w:p>
    <w:p w14:paraId="3EA2604E" w14:textId="2FE9D93F" w:rsidR="00876FF2" w:rsidRPr="00876FF2" w:rsidRDefault="00892F15" w:rsidP="00876FF2">
      <w:pPr>
        <w:spacing w:after="0"/>
        <w:rPr>
          <w:rFonts w:ascii="Merriweather" w:hAnsi="Merriweather"/>
          <w:sz w:val="14"/>
          <w:szCs w:val="14"/>
        </w:rPr>
      </w:pPr>
      <w:r>
        <w:rPr>
          <w:rFonts w:ascii="Merriweather" w:hAnsi="Merriweather"/>
          <w:sz w:val="14"/>
          <w:szCs w:val="14"/>
        </w:rPr>
        <w:t>I</w:t>
      </w:r>
      <w:r w:rsidRPr="00892F15">
        <w:rPr>
          <w:rFonts w:ascii="Merriweather" w:hAnsi="Merriweather"/>
          <w:sz w:val="14"/>
          <w:szCs w:val="14"/>
        </w:rPr>
        <w:t>nternational Journal of Scientific and Technical Advancements, Volume 6, Issue 4, pp. 33-38 (2020) A. Garg, P. Sharma, V. Verma, and S. Yadav, A. Tyagi</w:t>
      </w:r>
      <w:r>
        <w:rPr>
          <w:rFonts w:ascii="Merriweather" w:hAnsi="Merriweather"/>
          <w:sz w:val="14"/>
          <w:szCs w:val="14"/>
        </w:rPr>
        <w:t xml:space="preserve"> and </w:t>
      </w:r>
      <w:r w:rsidR="00876FF2" w:rsidRPr="00876FF2">
        <w:rPr>
          <w:rFonts w:ascii="Merriweather" w:hAnsi="Merriweather"/>
          <w:sz w:val="14"/>
          <w:szCs w:val="14"/>
        </w:rPr>
        <w:t>T. Kaur</w:t>
      </w:r>
    </w:p>
    <w:bookmarkEnd w:id="17"/>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DB3D" w14:textId="77777777" w:rsidR="00234F97" w:rsidRDefault="00234F97">
      <w:pPr>
        <w:spacing w:after="0"/>
      </w:pPr>
      <w:r>
        <w:separator/>
      </w:r>
    </w:p>
  </w:endnote>
  <w:endnote w:type="continuationSeparator" w:id="0">
    <w:p w14:paraId="47B95C85" w14:textId="77777777" w:rsidR="00234F97" w:rsidRDefault="00234F97">
      <w:pPr>
        <w:spacing w:after="0"/>
      </w:pPr>
      <w:r>
        <w:continuationSeparator/>
      </w:r>
    </w:p>
  </w:endnote>
  <w:endnote w:type="continuationNotice" w:id="1">
    <w:p w14:paraId="200CC09F" w14:textId="77777777" w:rsidR="00234F97" w:rsidRDefault="00234F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0A57" w14:textId="77777777" w:rsidR="00234F97" w:rsidRDefault="00234F97">
      <w:pPr>
        <w:spacing w:after="0"/>
      </w:pPr>
      <w:r>
        <w:separator/>
      </w:r>
    </w:p>
  </w:footnote>
  <w:footnote w:type="continuationSeparator" w:id="0">
    <w:p w14:paraId="12E95E5F" w14:textId="77777777" w:rsidR="00234F97" w:rsidRDefault="00234F97">
      <w:pPr>
        <w:spacing w:after="0"/>
      </w:pPr>
      <w:r>
        <w:continuationSeparator/>
      </w:r>
    </w:p>
  </w:footnote>
  <w:footnote w:type="continuationNotice" w:id="1">
    <w:p w14:paraId="37DA2ACF" w14:textId="77777777" w:rsidR="00234F97" w:rsidRDefault="00234F9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3414"/>
    <w:rsid w:val="000D2B32"/>
    <w:rsid w:val="000D355D"/>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4F97"/>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76FF2"/>
    <w:rsid w:val="008847DE"/>
    <w:rsid w:val="00886378"/>
    <w:rsid w:val="00886E4A"/>
    <w:rsid w:val="008916B6"/>
    <w:rsid w:val="00892F15"/>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82C"/>
    <w:rsid w:val="00956C3B"/>
    <w:rsid w:val="00971892"/>
    <w:rsid w:val="0097323F"/>
    <w:rsid w:val="009757B2"/>
    <w:rsid w:val="009763C8"/>
    <w:rsid w:val="0098194D"/>
    <w:rsid w:val="00982EDE"/>
    <w:rsid w:val="009858B8"/>
    <w:rsid w:val="00996428"/>
    <w:rsid w:val="009973C3"/>
    <w:rsid w:val="009A4CE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63E2E"/>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doi.org/10.1117/12.25709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2024-06-29T00:29:00Z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