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5A3F5F" w14:paraId="45B4EE96" w14:textId="77777777">
        <w:trPr>
          <w:jc w:val="center"/>
        </w:trPr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shd w:val="clear" w:color="auto" w:fill="17365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ABAAD9" w14:textId="77777777" w:rsidR="005A3F5F" w:rsidRDefault="00000000">
            <w:r>
              <w:rPr>
                <w:rFonts w:ascii="Aptos Display" w:hAnsi="Aptos Display"/>
                <w:b/>
                <w:color w:val="FFFFFF"/>
                <w:sz w:val="34"/>
              </w:rPr>
              <w:t>MEDTECH CAPSTONE PROJECT</w:t>
            </w:r>
            <w:r>
              <w:rPr>
                <w:rFonts w:ascii="Aptos" w:hAnsi="Aptos"/>
                <w:color w:val="DCEBF8"/>
                <w:sz w:val="19"/>
              </w:rPr>
              <w:br/>
              <w:t>Medicine Supply Chain Demand &amp; Inventory Performance</w:t>
            </w:r>
          </w:p>
        </w:tc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shd w:val="clear" w:color="auto" w:fill="17365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62637" w14:textId="77777777" w:rsidR="005A3F5F" w:rsidRPr="007F3235" w:rsidRDefault="00000000">
            <w:pPr>
              <w:jc w:val="center"/>
              <w:rPr>
                <w:sz w:val="36"/>
                <w:szCs w:val="36"/>
                <w:u w:val="single"/>
              </w:rPr>
            </w:pPr>
            <w:r w:rsidRPr="007F3235">
              <w:rPr>
                <w:b/>
                <w:color w:val="FFFFFF"/>
                <w:sz w:val="36"/>
                <w:szCs w:val="36"/>
                <w:u w:val="single"/>
              </w:rPr>
              <w:t>NIIT</w:t>
            </w:r>
          </w:p>
        </w:tc>
      </w:tr>
    </w:tbl>
    <w:p w14:paraId="4931CBD4" w14:textId="77777777" w:rsidR="005A3F5F" w:rsidRDefault="00000000">
      <w:pPr>
        <w:spacing w:before="120" w:after="80" w:line="240" w:lineRule="auto"/>
      </w:pPr>
      <w:r>
        <w:rPr>
          <w:b/>
          <w:color w:val="17365D"/>
          <w:sz w:val="19"/>
        </w:rPr>
        <w:t>PROJECT OVERVIEW</w:t>
      </w:r>
      <w:r>
        <w:t xml:space="preserve">  A data-driven analysis of medicine availability, supplier performance, patient consumption and procurement KPIs across multiple facilities.</w:t>
      </w:r>
    </w:p>
    <w:p w14:paraId="16656DF8" w14:textId="77777777" w:rsidR="005A3F5F" w:rsidRDefault="00000000">
      <w:pPr>
        <w:spacing w:before="80" w:after="40" w:line="240" w:lineRule="auto"/>
      </w:pPr>
      <w:r>
        <w:rPr>
          <w:rFonts w:ascii="Aptos" w:hAnsi="Aptos"/>
          <w:b/>
          <w:color w:val="17365D"/>
          <w:sz w:val="19"/>
        </w:rPr>
        <w:t>1. BUSINESS PROBLEM &amp; OBJECTIVES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24"/>
        <w:gridCol w:w="4824"/>
      </w:tblGrid>
      <w:tr w:rsidR="005A3F5F" w14:paraId="3DDCDDA3" w14:textId="77777777">
        <w:trPr>
          <w:jc w:val="center"/>
        </w:trPr>
        <w:tc>
          <w:tcPr>
            <w:tcW w:w="4824" w:type="dxa"/>
            <w:tcBorders>
              <w:top w:val="single" w:sz="5" w:space="0" w:color="2F75B5"/>
              <w:left w:val="single" w:sz="5" w:space="0" w:color="D9E5EF"/>
              <w:bottom w:val="single" w:sz="5" w:space="0" w:color="D9E5EF"/>
              <w:right w:val="single" w:sz="5" w:space="0" w:color="D9E5EF"/>
            </w:tcBorders>
            <w:shd w:val="clear" w:color="auto" w:fill="EAF3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38706D" w14:textId="77777777" w:rsidR="005A3F5F" w:rsidRDefault="00000000">
            <w:pPr>
              <w:spacing w:after="20"/>
            </w:pPr>
            <w:r>
              <w:rPr>
                <w:b/>
                <w:color w:val="2F75B5"/>
                <w:sz w:val="17"/>
              </w:rPr>
              <w:t>01  INVENTORY AVAILABILITY</w:t>
            </w:r>
          </w:p>
          <w:p w14:paraId="2C3DDB51" w14:textId="77777777" w:rsidR="005A3F5F" w:rsidRDefault="00000000">
            <w:pPr>
              <w:spacing w:after="0"/>
            </w:pPr>
            <w:r>
              <w:rPr>
                <w:color w:val="222222"/>
                <w:sz w:val="16"/>
              </w:rPr>
              <w:t>Minimize stockouts and wastage while balancing inventory levels.</w:t>
            </w:r>
          </w:p>
        </w:tc>
        <w:tc>
          <w:tcPr>
            <w:tcW w:w="4824" w:type="dxa"/>
            <w:tcBorders>
              <w:top w:val="single" w:sz="5" w:space="0" w:color="2F75B5"/>
              <w:left w:val="single" w:sz="5" w:space="0" w:color="D9E5EF"/>
              <w:bottom w:val="single" w:sz="5" w:space="0" w:color="D9E5EF"/>
              <w:right w:val="single" w:sz="5" w:space="0" w:color="D9E5EF"/>
            </w:tcBorders>
            <w:shd w:val="clear" w:color="auto" w:fill="EAF3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138479" w14:textId="77777777" w:rsidR="005A3F5F" w:rsidRDefault="00000000">
            <w:pPr>
              <w:spacing w:after="20"/>
            </w:pPr>
            <w:r>
              <w:rPr>
                <w:b/>
                <w:color w:val="2F75B5"/>
                <w:sz w:val="17"/>
              </w:rPr>
              <w:t>02  SUPPLY RELIABILITY</w:t>
            </w:r>
          </w:p>
          <w:p w14:paraId="73CDEBD2" w14:textId="77777777" w:rsidR="005A3F5F" w:rsidRDefault="00000000">
            <w:pPr>
              <w:spacing w:after="0"/>
            </w:pPr>
            <w:r>
              <w:rPr>
                <w:color w:val="222222"/>
                <w:sz w:val="16"/>
              </w:rPr>
              <w:t>Improve lead times, delivery consistency and supplier accountability.</w:t>
            </w:r>
          </w:p>
        </w:tc>
      </w:tr>
      <w:tr w:rsidR="005A3F5F" w14:paraId="7E16595A" w14:textId="77777777">
        <w:trPr>
          <w:jc w:val="center"/>
        </w:trPr>
        <w:tc>
          <w:tcPr>
            <w:tcW w:w="4824" w:type="dxa"/>
            <w:tcBorders>
              <w:top w:val="single" w:sz="5" w:space="0" w:color="2F75B5"/>
              <w:left w:val="single" w:sz="5" w:space="0" w:color="D9E5EF"/>
              <w:bottom w:val="single" w:sz="5" w:space="0" w:color="D9E5EF"/>
              <w:right w:val="single" w:sz="5" w:space="0" w:color="D9E5EF"/>
            </w:tcBorders>
            <w:shd w:val="clear" w:color="auto" w:fill="EAF3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2F83EA" w14:textId="77777777" w:rsidR="005A3F5F" w:rsidRDefault="00000000">
            <w:pPr>
              <w:spacing w:after="20"/>
            </w:pPr>
            <w:r>
              <w:rPr>
                <w:b/>
                <w:color w:val="2F75B5"/>
                <w:sz w:val="17"/>
              </w:rPr>
              <w:t>03  DEMAND PLANNING</w:t>
            </w:r>
          </w:p>
          <w:p w14:paraId="02E48FB6" w14:textId="77777777" w:rsidR="005A3F5F" w:rsidRDefault="00000000">
            <w:pPr>
              <w:spacing w:after="0"/>
            </w:pPr>
            <w:r>
              <w:rPr>
                <w:color w:val="222222"/>
                <w:sz w:val="16"/>
              </w:rPr>
              <w:t>Understand demand trends across regions, facilities and medicine categories.</w:t>
            </w:r>
          </w:p>
        </w:tc>
        <w:tc>
          <w:tcPr>
            <w:tcW w:w="4824" w:type="dxa"/>
            <w:tcBorders>
              <w:top w:val="single" w:sz="5" w:space="0" w:color="2F75B5"/>
              <w:left w:val="single" w:sz="5" w:space="0" w:color="D9E5EF"/>
              <w:bottom w:val="single" w:sz="5" w:space="0" w:color="D9E5EF"/>
              <w:right w:val="single" w:sz="5" w:space="0" w:color="D9E5EF"/>
            </w:tcBorders>
            <w:shd w:val="clear" w:color="auto" w:fill="EAF3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69FB95" w14:textId="77777777" w:rsidR="005A3F5F" w:rsidRDefault="00000000">
            <w:pPr>
              <w:spacing w:after="20"/>
            </w:pPr>
            <w:r>
              <w:rPr>
                <w:b/>
                <w:color w:val="2F75B5"/>
                <w:sz w:val="17"/>
              </w:rPr>
              <w:t>04  PROCUREMENT EFFICIENCY</w:t>
            </w:r>
          </w:p>
          <w:p w14:paraId="1DE53B08" w14:textId="77777777" w:rsidR="005A3F5F" w:rsidRDefault="00000000">
            <w:pPr>
              <w:spacing w:after="0"/>
            </w:pPr>
            <w:r>
              <w:rPr>
                <w:color w:val="222222"/>
                <w:sz w:val="16"/>
              </w:rPr>
              <w:t>Improve turnover, control unit costs and align procurement with critical needs.</w:t>
            </w:r>
          </w:p>
        </w:tc>
      </w:tr>
    </w:tbl>
    <w:p w14:paraId="3A6EBB6B" w14:textId="77777777" w:rsidR="005A3F5F" w:rsidRDefault="00000000">
      <w:pPr>
        <w:spacing w:before="80" w:after="40" w:line="240" w:lineRule="auto"/>
      </w:pPr>
      <w:r>
        <w:rPr>
          <w:rFonts w:ascii="Aptos" w:hAnsi="Aptos"/>
          <w:b/>
          <w:color w:val="17365D"/>
          <w:sz w:val="19"/>
        </w:rPr>
        <w:t>2. KEY CHALLENGES &amp; MITIGATION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5A3F5F" w14:paraId="4BC37C47" w14:textId="77777777">
        <w:trPr>
          <w:jc w:val="center"/>
        </w:trPr>
        <w:tc>
          <w:tcPr>
            <w:tcW w:w="53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F6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18DD19" w14:textId="77777777" w:rsidR="005A3F5F" w:rsidRDefault="00000000">
            <w:pPr>
              <w:spacing w:after="20"/>
            </w:pPr>
            <w:r>
              <w:rPr>
                <w:b/>
                <w:color w:val="17365D"/>
                <w:sz w:val="16"/>
              </w:rPr>
              <w:t xml:space="preserve">• Stockouts / overstocking: </w:t>
            </w:r>
            <w:r>
              <w:rPr>
                <w:sz w:val="16"/>
              </w:rPr>
              <w:t>Identify reorder-level issues and category-level inventory patterns.</w:t>
            </w:r>
          </w:p>
          <w:p w14:paraId="65E6F121" w14:textId="77777777" w:rsidR="005A3F5F" w:rsidRDefault="00000000">
            <w:pPr>
              <w:spacing w:after="20"/>
            </w:pPr>
            <w:r>
              <w:rPr>
                <w:b/>
                <w:color w:val="17365D"/>
                <w:sz w:val="16"/>
              </w:rPr>
              <w:t xml:space="preserve">• Supplier delays: </w:t>
            </w:r>
            <w:r>
              <w:rPr>
                <w:sz w:val="16"/>
              </w:rPr>
              <w:t>Compare lead time, on-time rate and reliability to flag weak performance.</w:t>
            </w:r>
          </w:p>
          <w:p w14:paraId="67BD7227" w14:textId="77777777" w:rsidR="005A3F5F" w:rsidRDefault="00000000">
            <w:pPr>
              <w:spacing w:after="20"/>
            </w:pPr>
            <w:r>
              <w:rPr>
                <w:b/>
                <w:color w:val="17365D"/>
                <w:sz w:val="16"/>
              </w:rPr>
              <w:t xml:space="preserve">• Demand fluctuations: </w:t>
            </w:r>
            <w:r>
              <w:rPr>
                <w:sz w:val="16"/>
              </w:rPr>
              <w:t>Track monthly, regional and facility-level demand trends.</w:t>
            </w:r>
          </w:p>
          <w:p w14:paraId="69D122F9" w14:textId="77777777" w:rsidR="005A3F5F" w:rsidRDefault="00000000">
            <w:pPr>
              <w:spacing w:after="20"/>
            </w:pPr>
            <w:r>
              <w:rPr>
                <w:b/>
                <w:color w:val="17365D"/>
                <w:sz w:val="16"/>
              </w:rPr>
              <w:t xml:space="preserve">• Data quality: </w:t>
            </w:r>
            <w:r>
              <w:rPr>
                <w:sz w:val="16"/>
              </w:rPr>
              <w:t>Clean, validate and prepare records before analysis to improve reliability.</w:t>
            </w:r>
          </w:p>
        </w:tc>
        <w:tc>
          <w:tcPr>
            <w:tcW w:w="53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379E60" w14:textId="77777777" w:rsidR="005A3F5F" w:rsidRDefault="005A3F5F"/>
        </w:tc>
      </w:tr>
    </w:tbl>
    <w:p w14:paraId="25837A80" w14:textId="77777777" w:rsidR="005A3F5F" w:rsidRDefault="00000000">
      <w:pPr>
        <w:spacing w:before="80" w:after="40" w:line="240" w:lineRule="auto"/>
      </w:pPr>
      <w:r>
        <w:rPr>
          <w:rFonts w:ascii="Aptos" w:hAnsi="Aptos"/>
          <w:b/>
          <w:color w:val="17365D"/>
          <w:sz w:val="19"/>
        </w:rPr>
        <w:t>3. ANALYTICAL WORKFLOW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98"/>
        <w:gridCol w:w="1598"/>
        <w:gridCol w:w="1598"/>
        <w:gridCol w:w="1598"/>
        <w:gridCol w:w="1598"/>
        <w:gridCol w:w="1598"/>
      </w:tblGrid>
      <w:tr w:rsidR="005A3F5F" w14:paraId="53652EB3" w14:textId="77777777">
        <w:trPr>
          <w:jc w:val="center"/>
        </w:trPr>
        <w:tc>
          <w:tcPr>
            <w:tcW w:w="1598" w:type="dxa"/>
            <w:tcBorders>
              <w:top w:val="single" w:sz="4" w:space="0" w:color="D7E4EF"/>
              <w:left w:val="single" w:sz="4" w:space="0" w:color="D7E4EF"/>
              <w:bottom w:val="single" w:sz="4" w:space="0" w:color="D7E4EF"/>
              <w:right w:val="single" w:sz="4" w:space="0" w:color="D7E4EF"/>
            </w:tcBorders>
            <w:shd w:val="clear" w:color="auto" w:fill="EAF3F8"/>
            <w:tcMar>
              <w:top w:w="65" w:type="dxa"/>
              <w:left w:w="50" w:type="dxa"/>
              <w:bottom w:w="65" w:type="dxa"/>
              <w:right w:w="50" w:type="dxa"/>
            </w:tcMar>
            <w:vAlign w:val="center"/>
          </w:tcPr>
          <w:p w14:paraId="3FFF37A6" w14:textId="77777777" w:rsidR="005A3F5F" w:rsidRDefault="00000000">
            <w:pPr>
              <w:jc w:val="center"/>
            </w:pPr>
            <w:r>
              <w:rPr>
                <w:b/>
                <w:color w:val="2F75B5"/>
                <w:sz w:val="22"/>
              </w:rPr>
              <w:t>1</w:t>
            </w:r>
          </w:p>
          <w:p w14:paraId="3D06A928" w14:textId="77777777" w:rsidR="005A3F5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5"/>
              </w:rPr>
              <w:t>Kick-off</w:t>
            </w:r>
          </w:p>
          <w:p w14:paraId="439432CE" w14:textId="77777777" w:rsidR="005A3F5F" w:rsidRDefault="00000000">
            <w:pPr>
              <w:spacing w:after="0"/>
              <w:jc w:val="center"/>
            </w:pPr>
            <w:r>
              <w:rPr>
                <w:color w:val="5B6573"/>
                <w:sz w:val="13"/>
              </w:rPr>
              <w:t>Project setup</w:t>
            </w:r>
          </w:p>
        </w:tc>
        <w:tc>
          <w:tcPr>
            <w:tcW w:w="1598" w:type="dxa"/>
            <w:tcBorders>
              <w:top w:val="single" w:sz="4" w:space="0" w:color="D7E4EF"/>
              <w:left w:val="single" w:sz="4" w:space="0" w:color="D7E4EF"/>
              <w:bottom w:val="single" w:sz="4" w:space="0" w:color="D7E4EF"/>
              <w:right w:val="single" w:sz="4" w:space="0" w:color="D7E4EF"/>
            </w:tcBorders>
            <w:shd w:val="clear" w:color="auto" w:fill="F7F9FB"/>
            <w:tcMar>
              <w:top w:w="65" w:type="dxa"/>
              <w:left w:w="50" w:type="dxa"/>
              <w:bottom w:w="65" w:type="dxa"/>
              <w:right w:w="50" w:type="dxa"/>
            </w:tcMar>
            <w:vAlign w:val="center"/>
          </w:tcPr>
          <w:p w14:paraId="276DE96C" w14:textId="77777777" w:rsidR="005A3F5F" w:rsidRDefault="00000000">
            <w:pPr>
              <w:jc w:val="center"/>
            </w:pPr>
            <w:r>
              <w:rPr>
                <w:b/>
                <w:color w:val="2F75B5"/>
                <w:sz w:val="22"/>
              </w:rPr>
              <w:t>2</w:t>
            </w:r>
          </w:p>
          <w:p w14:paraId="3EA08CE1" w14:textId="77777777" w:rsidR="005A3F5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5"/>
              </w:rPr>
              <w:t>Data</w:t>
            </w:r>
          </w:p>
          <w:p w14:paraId="304979DE" w14:textId="77777777" w:rsidR="005A3F5F" w:rsidRDefault="00000000">
            <w:pPr>
              <w:spacing w:after="0"/>
              <w:jc w:val="center"/>
            </w:pPr>
            <w:r>
              <w:rPr>
                <w:color w:val="5B6573"/>
                <w:sz w:val="13"/>
              </w:rPr>
              <w:t>Understand &amp; clean</w:t>
            </w:r>
          </w:p>
        </w:tc>
        <w:tc>
          <w:tcPr>
            <w:tcW w:w="1598" w:type="dxa"/>
            <w:tcBorders>
              <w:top w:val="single" w:sz="4" w:space="0" w:color="D7E4EF"/>
              <w:left w:val="single" w:sz="4" w:space="0" w:color="D7E4EF"/>
              <w:bottom w:val="single" w:sz="4" w:space="0" w:color="D7E4EF"/>
              <w:right w:val="single" w:sz="4" w:space="0" w:color="D7E4EF"/>
            </w:tcBorders>
            <w:shd w:val="clear" w:color="auto" w:fill="EAF3F8"/>
            <w:tcMar>
              <w:top w:w="65" w:type="dxa"/>
              <w:left w:w="50" w:type="dxa"/>
              <w:bottom w:w="65" w:type="dxa"/>
              <w:right w:w="50" w:type="dxa"/>
            </w:tcMar>
            <w:vAlign w:val="center"/>
          </w:tcPr>
          <w:p w14:paraId="0DD5033B" w14:textId="77777777" w:rsidR="005A3F5F" w:rsidRDefault="00000000">
            <w:pPr>
              <w:jc w:val="center"/>
            </w:pPr>
            <w:r>
              <w:rPr>
                <w:b/>
                <w:color w:val="2F75B5"/>
                <w:sz w:val="22"/>
              </w:rPr>
              <w:t>3</w:t>
            </w:r>
          </w:p>
          <w:p w14:paraId="3FE9B025" w14:textId="77777777" w:rsidR="005A3F5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5"/>
              </w:rPr>
              <w:t>Problem</w:t>
            </w:r>
          </w:p>
          <w:p w14:paraId="031760C0" w14:textId="77777777" w:rsidR="005A3F5F" w:rsidRDefault="00000000">
            <w:pPr>
              <w:spacing w:after="0"/>
              <w:jc w:val="center"/>
            </w:pPr>
            <w:r>
              <w:rPr>
                <w:color w:val="5B6573"/>
                <w:sz w:val="13"/>
              </w:rPr>
              <w:t>Questions &amp; hypotheses</w:t>
            </w:r>
          </w:p>
        </w:tc>
        <w:tc>
          <w:tcPr>
            <w:tcW w:w="1598" w:type="dxa"/>
            <w:tcBorders>
              <w:top w:val="single" w:sz="4" w:space="0" w:color="D7E4EF"/>
              <w:left w:val="single" w:sz="4" w:space="0" w:color="D7E4EF"/>
              <w:bottom w:val="single" w:sz="4" w:space="0" w:color="D7E4EF"/>
              <w:right w:val="single" w:sz="4" w:space="0" w:color="D7E4EF"/>
            </w:tcBorders>
            <w:shd w:val="clear" w:color="auto" w:fill="F7F9FB"/>
            <w:tcMar>
              <w:top w:w="65" w:type="dxa"/>
              <w:left w:w="50" w:type="dxa"/>
              <w:bottom w:w="65" w:type="dxa"/>
              <w:right w:w="50" w:type="dxa"/>
            </w:tcMar>
            <w:vAlign w:val="center"/>
          </w:tcPr>
          <w:p w14:paraId="32E7490B" w14:textId="77777777" w:rsidR="005A3F5F" w:rsidRDefault="00000000">
            <w:pPr>
              <w:jc w:val="center"/>
            </w:pPr>
            <w:r>
              <w:rPr>
                <w:b/>
                <w:color w:val="2F75B5"/>
                <w:sz w:val="22"/>
              </w:rPr>
              <w:t>4</w:t>
            </w:r>
          </w:p>
          <w:p w14:paraId="6DE9F3AD" w14:textId="77777777" w:rsidR="005A3F5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5"/>
              </w:rPr>
              <w:t>Excel</w:t>
            </w:r>
          </w:p>
          <w:p w14:paraId="43362C08" w14:textId="77777777" w:rsidR="005A3F5F" w:rsidRDefault="00000000">
            <w:pPr>
              <w:spacing w:after="0"/>
              <w:jc w:val="center"/>
            </w:pPr>
            <w:r>
              <w:rPr>
                <w:color w:val="5B6573"/>
                <w:sz w:val="13"/>
              </w:rPr>
              <w:t>Analysis &amp; dashboard</w:t>
            </w:r>
          </w:p>
        </w:tc>
        <w:tc>
          <w:tcPr>
            <w:tcW w:w="1598" w:type="dxa"/>
            <w:tcBorders>
              <w:top w:val="single" w:sz="4" w:space="0" w:color="D7E4EF"/>
              <w:left w:val="single" w:sz="4" w:space="0" w:color="D7E4EF"/>
              <w:bottom w:val="single" w:sz="4" w:space="0" w:color="D7E4EF"/>
              <w:right w:val="single" w:sz="4" w:space="0" w:color="D7E4EF"/>
            </w:tcBorders>
            <w:shd w:val="clear" w:color="auto" w:fill="EAF3F8"/>
            <w:tcMar>
              <w:top w:w="65" w:type="dxa"/>
              <w:left w:w="50" w:type="dxa"/>
              <w:bottom w:w="65" w:type="dxa"/>
              <w:right w:w="50" w:type="dxa"/>
            </w:tcMar>
            <w:vAlign w:val="center"/>
          </w:tcPr>
          <w:p w14:paraId="1044163C" w14:textId="77777777" w:rsidR="005A3F5F" w:rsidRDefault="00000000">
            <w:pPr>
              <w:jc w:val="center"/>
            </w:pPr>
            <w:r>
              <w:rPr>
                <w:b/>
                <w:color w:val="2F75B5"/>
                <w:sz w:val="22"/>
              </w:rPr>
              <w:t>5</w:t>
            </w:r>
          </w:p>
          <w:p w14:paraId="1F15C1C8" w14:textId="77777777" w:rsidR="005A3F5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5"/>
              </w:rPr>
              <w:t>Python</w:t>
            </w:r>
          </w:p>
          <w:p w14:paraId="20B7E229" w14:textId="77777777" w:rsidR="005A3F5F" w:rsidRDefault="00000000">
            <w:pPr>
              <w:spacing w:after="0"/>
              <w:jc w:val="center"/>
            </w:pPr>
            <w:r>
              <w:rPr>
                <w:color w:val="5B6573"/>
                <w:sz w:val="13"/>
              </w:rPr>
              <w:t>EDA &amp; visualization</w:t>
            </w:r>
          </w:p>
        </w:tc>
        <w:tc>
          <w:tcPr>
            <w:tcW w:w="1598" w:type="dxa"/>
            <w:tcBorders>
              <w:top w:val="single" w:sz="4" w:space="0" w:color="D7E4EF"/>
              <w:left w:val="single" w:sz="4" w:space="0" w:color="D7E4EF"/>
              <w:bottom w:val="single" w:sz="4" w:space="0" w:color="D7E4EF"/>
              <w:right w:val="single" w:sz="4" w:space="0" w:color="D7E4EF"/>
            </w:tcBorders>
            <w:shd w:val="clear" w:color="auto" w:fill="F7F9FB"/>
            <w:tcMar>
              <w:top w:w="65" w:type="dxa"/>
              <w:left w:w="50" w:type="dxa"/>
              <w:bottom w:w="65" w:type="dxa"/>
              <w:right w:w="50" w:type="dxa"/>
            </w:tcMar>
            <w:vAlign w:val="center"/>
          </w:tcPr>
          <w:p w14:paraId="496C03D4" w14:textId="77777777" w:rsidR="005A3F5F" w:rsidRDefault="00000000">
            <w:pPr>
              <w:jc w:val="center"/>
            </w:pPr>
            <w:r>
              <w:rPr>
                <w:b/>
                <w:color w:val="2F75B5"/>
                <w:sz w:val="22"/>
              </w:rPr>
              <w:t>6</w:t>
            </w:r>
          </w:p>
          <w:p w14:paraId="4FDBBA0D" w14:textId="77777777" w:rsidR="005A3F5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5"/>
              </w:rPr>
              <w:t>SQL</w:t>
            </w:r>
          </w:p>
          <w:p w14:paraId="3B7D5CFD" w14:textId="77777777" w:rsidR="005A3F5F" w:rsidRDefault="00000000">
            <w:pPr>
              <w:spacing w:after="0"/>
              <w:jc w:val="center"/>
            </w:pPr>
            <w:r>
              <w:rPr>
                <w:color w:val="5B6573"/>
                <w:sz w:val="13"/>
              </w:rPr>
              <w:t>Insight generation</w:t>
            </w:r>
          </w:p>
        </w:tc>
      </w:tr>
    </w:tbl>
    <w:p w14:paraId="6BBD6C3B" w14:textId="77777777" w:rsidR="005A3F5F" w:rsidRDefault="00000000">
      <w:pPr>
        <w:spacing w:before="80" w:after="40" w:line="240" w:lineRule="auto"/>
      </w:pPr>
      <w:r>
        <w:rPr>
          <w:rFonts w:ascii="Aptos" w:hAnsi="Aptos"/>
          <w:b/>
          <w:color w:val="17365D"/>
          <w:sz w:val="19"/>
        </w:rPr>
        <w:t>4. TOOLS &amp; THEIR PURPOSE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05"/>
        <w:gridCol w:w="2405"/>
        <w:gridCol w:w="2405"/>
        <w:gridCol w:w="2405"/>
      </w:tblGrid>
      <w:tr w:rsidR="005A3F5F" w14:paraId="5DC694E6" w14:textId="77777777">
        <w:trPr>
          <w:jc w:val="center"/>
        </w:trPr>
        <w:tc>
          <w:tcPr>
            <w:tcW w:w="2405" w:type="dxa"/>
            <w:tcBorders>
              <w:top w:val="single" w:sz="5" w:space="0" w:color="2F75B5"/>
              <w:left w:val="single" w:sz="5" w:space="0" w:color="D9E5EF"/>
              <w:bottom w:val="single" w:sz="5" w:space="0" w:color="D9E5EF"/>
              <w:right w:val="single" w:sz="5" w:space="0" w:color="D9E5EF"/>
            </w:tcBorders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5CEE0027" w14:textId="77777777" w:rsidR="005A3F5F" w:rsidRDefault="00000000">
            <w:pPr>
              <w:jc w:val="center"/>
            </w:pPr>
            <w:r>
              <w:rPr>
                <w:b/>
                <w:color w:val="2F75B5"/>
              </w:rPr>
              <w:t>EXCEL</w:t>
            </w:r>
          </w:p>
          <w:p w14:paraId="3188C796" w14:textId="77777777" w:rsidR="005A3F5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5"/>
              </w:rPr>
              <w:t>Dashboard</w:t>
            </w:r>
          </w:p>
          <w:p w14:paraId="675DA327" w14:textId="77777777" w:rsidR="005A3F5F" w:rsidRDefault="00000000">
            <w:pPr>
              <w:spacing w:after="0"/>
              <w:jc w:val="center"/>
            </w:pPr>
            <w:r>
              <w:rPr>
                <w:color w:val="5B6573"/>
                <w:sz w:val="13"/>
              </w:rPr>
              <w:t>Quick analysis, summaries &amp; business reporting</w:t>
            </w:r>
          </w:p>
        </w:tc>
        <w:tc>
          <w:tcPr>
            <w:tcW w:w="2405" w:type="dxa"/>
            <w:tcBorders>
              <w:top w:val="single" w:sz="5" w:space="0" w:color="2F75B5"/>
              <w:left w:val="single" w:sz="5" w:space="0" w:color="D9E5EF"/>
              <w:bottom w:val="single" w:sz="5" w:space="0" w:color="D9E5EF"/>
              <w:right w:val="single" w:sz="5" w:space="0" w:color="D9E5EF"/>
            </w:tcBorders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0E48EAF5" w14:textId="77777777" w:rsidR="005A3F5F" w:rsidRDefault="00000000">
            <w:pPr>
              <w:jc w:val="center"/>
            </w:pPr>
            <w:r>
              <w:rPr>
                <w:b/>
                <w:color w:val="2F75B5"/>
              </w:rPr>
              <w:t>PYTHON</w:t>
            </w:r>
          </w:p>
          <w:p w14:paraId="1E6A800A" w14:textId="77777777" w:rsidR="005A3F5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5"/>
              </w:rPr>
              <w:t>EDA</w:t>
            </w:r>
          </w:p>
          <w:p w14:paraId="76BEBA99" w14:textId="77777777" w:rsidR="005A3F5F" w:rsidRDefault="00000000">
            <w:pPr>
              <w:spacing w:after="0"/>
              <w:jc w:val="center"/>
            </w:pPr>
            <w:r>
              <w:rPr>
                <w:color w:val="5B6573"/>
                <w:sz w:val="13"/>
              </w:rPr>
              <w:t>Statistical exploration, patterns &amp; visualizations</w:t>
            </w:r>
          </w:p>
        </w:tc>
        <w:tc>
          <w:tcPr>
            <w:tcW w:w="2405" w:type="dxa"/>
            <w:tcBorders>
              <w:top w:val="single" w:sz="5" w:space="0" w:color="2F75B5"/>
              <w:left w:val="single" w:sz="5" w:space="0" w:color="D9E5EF"/>
              <w:bottom w:val="single" w:sz="5" w:space="0" w:color="D9E5EF"/>
              <w:right w:val="single" w:sz="5" w:space="0" w:color="D9E5EF"/>
            </w:tcBorders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0E097DEA" w14:textId="77777777" w:rsidR="005A3F5F" w:rsidRDefault="00000000">
            <w:pPr>
              <w:jc w:val="center"/>
            </w:pPr>
            <w:r>
              <w:rPr>
                <w:b/>
                <w:color w:val="2F75B5"/>
              </w:rPr>
              <w:t>SQL</w:t>
            </w:r>
          </w:p>
          <w:p w14:paraId="1D303714" w14:textId="77777777" w:rsidR="005A3F5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5"/>
              </w:rPr>
              <w:t>Insights</w:t>
            </w:r>
          </w:p>
          <w:p w14:paraId="5DBDAF2A" w14:textId="77777777" w:rsidR="005A3F5F" w:rsidRDefault="00000000">
            <w:pPr>
              <w:spacing w:after="0"/>
              <w:jc w:val="center"/>
            </w:pPr>
            <w:r>
              <w:rPr>
                <w:color w:val="5B6573"/>
                <w:sz w:val="13"/>
              </w:rPr>
              <w:t>Structured queries and business insight extraction</w:t>
            </w:r>
          </w:p>
        </w:tc>
        <w:tc>
          <w:tcPr>
            <w:tcW w:w="2405" w:type="dxa"/>
            <w:tcBorders>
              <w:top w:val="single" w:sz="5" w:space="0" w:color="2F75B5"/>
              <w:left w:val="single" w:sz="5" w:space="0" w:color="D9E5EF"/>
              <w:bottom w:val="single" w:sz="5" w:space="0" w:color="D9E5EF"/>
              <w:right w:val="single" w:sz="5" w:space="0" w:color="D9E5EF"/>
            </w:tcBorders>
            <w:shd w:val="clear" w:color="auto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50F5C13D" w14:textId="77777777" w:rsidR="005A3F5F" w:rsidRDefault="00000000">
            <w:pPr>
              <w:jc w:val="center"/>
            </w:pPr>
            <w:r>
              <w:rPr>
                <w:b/>
                <w:color w:val="2F75B5"/>
              </w:rPr>
              <w:t>WORD</w:t>
            </w:r>
          </w:p>
          <w:p w14:paraId="7F0318F9" w14:textId="77777777" w:rsidR="005A3F5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5"/>
              </w:rPr>
              <w:t>Documentation</w:t>
            </w:r>
          </w:p>
          <w:p w14:paraId="34E2042A" w14:textId="77777777" w:rsidR="005A3F5F" w:rsidRDefault="00000000">
            <w:pPr>
              <w:spacing w:after="0"/>
              <w:jc w:val="center"/>
            </w:pPr>
            <w:r>
              <w:rPr>
                <w:color w:val="5B6573"/>
                <w:sz w:val="13"/>
              </w:rPr>
              <w:t>Project problem, workflow, challenges &amp; findings</w:t>
            </w:r>
          </w:p>
        </w:tc>
      </w:tr>
    </w:tbl>
    <w:p w14:paraId="264B2CFF" w14:textId="77777777" w:rsidR="005A3F5F" w:rsidRDefault="00000000">
      <w:pPr>
        <w:spacing w:before="100" w:after="0" w:line="240" w:lineRule="auto"/>
        <w:ind w:left="72"/>
      </w:pPr>
      <w:r>
        <w:rPr>
          <w:b/>
          <w:color w:val="17365D"/>
          <w:sz w:val="17"/>
        </w:rPr>
        <w:t xml:space="preserve">EXPECTED OUTCOME  </w:t>
      </w:r>
      <w:r>
        <w:rPr>
          <w:color w:val="222222"/>
          <w:sz w:val="16"/>
        </w:rPr>
        <w:t>Actionable insights to improve medicine availability, supplier reliability, demand planning and procurement efficiency across facilities.</w:t>
      </w:r>
    </w:p>
    <w:sectPr w:rsidR="005A3F5F" w:rsidSect="00034616">
      <w:footerReference w:type="default" r:id="rId8"/>
      <w:pgSz w:w="12240" w:h="15840"/>
      <w:pgMar w:top="605" w:right="792" w:bottom="605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332DC" w14:textId="77777777" w:rsidR="00191A79" w:rsidRDefault="00191A79">
      <w:pPr>
        <w:spacing w:after="0" w:line="240" w:lineRule="auto"/>
      </w:pPr>
      <w:r>
        <w:separator/>
      </w:r>
    </w:p>
  </w:endnote>
  <w:endnote w:type="continuationSeparator" w:id="0">
    <w:p w14:paraId="1D4C99CA" w14:textId="77777777" w:rsidR="00191A79" w:rsidRDefault="00191A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7706A" w14:textId="77777777" w:rsidR="005A3F5F" w:rsidRDefault="00000000">
    <w:pPr>
      <w:pStyle w:val="Footer"/>
      <w:jc w:val="center"/>
    </w:pPr>
    <w:r>
      <w:rPr>
        <w:color w:val="5B6573"/>
        <w:sz w:val="14"/>
      </w:rPr>
      <w:t xml:space="preserve">NIIT Data Science </w:t>
    </w:r>
    <w:proofErr w:type="gramStart"/>
    <w:r>
      <w:rPr>
        <w:color w:val="5B6573"/>
        <w:sz w:val="14"/>
      </w:rPr>
      <w:t>Capstone  |</w:t>
    </w:r>
    <w:proofErr w:type="gramEnd"/>
    <w:r>
      <w:rPr>
        <w:color w:val="5B6573"/>
        <w:sz w:val="14"/>
      </w:rPr>
      <w:t xml:space="preserve">  </w:t>
    </w:r>
    <w:proofErr w:type="gramStart"/>
    <w:r>
      <w:rPr>
        <w:color w:val="5B6573"/>
        <w:sz w:val="14"/>
      </w:rPr>
      <w:t>MedTech  |</w:t>
    </w:r>
    <w:proofErr w:type="gramEnd"/>
    <w:r>
      <w:rPr>
        <w:color w:val="5B6573"/>
        <w:sz w:val="14"/>
      </w:rPr>
      <w:t xml:space="preserve">  Business Analysis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79F5F" w14:textId="77777777" w:rsidR="00191A79" w:rsidRDefault="00191A79">
      <w:pPr>
        <w:spacing w:after="0" w:line="240" w:lineRule="auto"/>
      </w:pPr>
      <w:r>
        <w:separator/>
      </w:r>
    </w:p>
  </w:footnote>
  <w:footnote w:type="continuationSeparator" w:id="0">
    <w:p w14:paraId="2849C827" w14:textId="77777777" w:rsidR="00191A79" w:rsidRDefault="00191A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5998469">
    <w:abstractNumId w:val="8"/>
  </w:num>
  <w:num w:numId="2" w16cid:durableId="372660366">
    <w:abstractNumId w:val="6"/>
  </w:num>
  <w:num w:numId="3" w16cid:durableId="1537428358">
    <w:abstractNumId w:val="5"/>
  </w:num>
  <w:num w:numId="4" w16cid:durableId="1906646315">
    <w:abstractNumId w:val="4"/>
  </w:num>
  <w:num w:numId="5" w16cid:durableId="685837604">
    <w:abstractNumId w:val="7"/>
  </w:num>
  <w:num w:numId="6" w16cid:durableId="852837411">
    <w:abstractNumId w:val="3"/>
  </w:num>
  <w:num w:numId="7" w16cid:durableId="591622165">
    <w:abstractNumId w:val="2"/>
  </w:num>
  <w:num w:numId="8" w16cid:durableId="1982225717">
    <w:abstractNumId w:val="1"/>
  </w:num>
  <w:num w:numId="9" w16cid:durableId="1637030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1A79"/>
    <w:rsid w:val="0029639D"/>
    <w:rsid w:val="00326F90"/>
    <w:rsid w:val="00565E02"/>
    <w:rsid w:val="005A3F5F"/>
    <w:rsid w:val="007F323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B62156C-CB2D-4393-B534-41FDC5328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prince singh</cp:lastModifiedBy>
  <cp:revision>2</cp:revision>
  <dcterms:created xsi:type="dcterms:W3CDTF">2013-12-23T23:15:00Z</dcterms:created>
  <dcterms:modified xsi:type="dcterms:W3CDTF">2026-09-21T03:54:00Z</dcterms:modified>
  <cp:category/>
</cp:coreProperties>
</file>