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body>
    <w:p w14:paraId="0000000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b/>
          <w:bCs/>
          <w:color w:val="000000"/>
          <w:sz w:val="22"/>
          <w:szCs w:val="22"/>
          <w:u w:val="single"/>
          <w:lang w:val="en-US"/>
        </w:rPr>
      </w:pPr>
      <w:r>
        <w:rPr>
          <w:rFonts w:ascii="Segoe UI"/>
          <w:b/>
          <w:bCs/>
          <w:color w:val="000000"/>
          <w:sz w:val="22"/>
          <w:szCs w:val="22"/>
          <w:u w:val="single"/>
          <w:rtl w:val="off"/>
          <w:lang w:val="en-US"/>
        </w:rPr>
        <w:t>Customer Churn Analysis – Insights &amp; Recommendations</w:t>
      </w:r>
    </w:p>
    <w:p w14:paraId="0000000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b/>
          <w:bCs/>
          <w:color w:val="000000"/>
          <w:sz w:val="22"/>
          <w:szCs w:val="22"/>
          <w:u w:val="single"/>
          <w:lang w:val="en-US"/>
        </w:rPr>
      </w:pPr>
    </w:p>
    <w:p w14:paraId="0000000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Overview</w:t>
      </w:r>
    </w:p>
    <w:p w14:paraId="0000000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This analysis evaluates customer churn by identifying customers who have been inactive for an extended period. Churn was defined as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180 days or more without a purchase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</w:p>
    <w:p w14:paraId="0000000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0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b/>
          <w:bCs/>
          <w:color w:val="000000"/>
          <w:sz w:val="22"/>
          <w:szCs w:val="22"/>
          <w:lang w:val="en-US"/>
        </w:rPr>
      </w:pPr>
      <w:r>
        <w:rPr>
          <w:rFonts w:ascii="Segoe UI"/>
          <w:b/>
          <w:bCs/>
          <w:color w:val="000000"/>
          <w:sz w:val="22"/>
          <w:szCs w:val="22"/>
          <w:rtl w:val="off"/>
          <w:lang w:val="en-US"/>
        </w:rPr>
        <w:t>Key Insights</w:t>
      </w:r>
    </w:p>
    <w:p w14:paraId="0000000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1. Churn is driven by prolonged inactivity</w:t>
      </w:r>
    </w:p>
    <w:p w14:paraId="0000000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Customers inactive for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180+ days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represent a significant share of the customer base and are classified as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churned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  <w:r>
        <w:rPr>
          <w:rFonts w:ascii="Segoe UI"/>
          <w:color w:val="000000"/>
          <w:sz w:val="22"/>
          <w:szCs w:val="22"/>
          <w:lang w:val="en-US"/>
        </w:rPr>
        <w:br w:type="textWrapping"/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This confirms that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purchase recency is the strongest indicator of churn risk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</w:p>
    <w:p w14:paraId="0000000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0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2. Clear lifecycle stages emerge from inactivity behaviour</w:t>
      </w:r>
    </w:p>
    <w:p w14:paraId="0000000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Using inactivity buckets and lifecycle classification, customers naturally fall into four behavioural stages:</w:t>
      </w:r>
    </w:p>
    <w:p w14:paraId="0000000C">
      <w:pPr>
        <w:framePr w:w="0" w:h="0" w:vAnchor="margin" w:hAnchor="text" w:x="0" w:y="0"/>
        <w:numPr>
          <w:ilvl w:val="0"/>
          <w:numId w:val="2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Active (≤ 60 days)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– recently engaged and low churn risk</w:t>
      </w:r>
    </w:p>
    <w:p w14:paraId="0000000D">
      <w:pPr>
        <w:framePr w:w="0" w:h="0" w:vAnchor="margin" w:hAnchor="text" w:x="0" w:y="0"/>
        <w:numPr>
          <w:ilvl w:val="0"/>
          <w:numId w:val="2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Warm (61–120 days)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– engagement declining, early warning stage</w:t>
      </w:r>
    </w:p>
    <w:p w14:paraId="0000000E">
      <w:pPr>
        <w:framePr w:w="0" w:h="0" w:vAnchor="margin" w:hAnchor="text" w:x="0" w:y="0"/>
        <w:numPr>
          <w:ilvl w:val="0"/>
          <w:numId w:val="2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At Risk (121–180 days)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– high probability of churn</w:t>
      </w:r>
    </w:p>
    <w:p w14:paraId="0000000F">
      <w:pPr>
        <w:framePr w:w="0" w:h="0" w:vAnchor="margin" w:hAnchor="text" w:x="0" w:y="0"/>
        <w:numPr>
          <w:ilvl w:val="0"/>
          <w:numId w:val="2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Churned (180+ days)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– lost customers without intervention</w:t>
      </w:r>
    </w:p>
    <w:p w14:paraId="0000001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This lifecycle view provides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far more insight than a simple Active vs Churned split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</w:p>
    <w:p w14:paraId="0000001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1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3. At-risk customers represent the highest retention opportunity</w:t>
      </w:r>
    </w:p>
    <w:p w14:paraId="0000001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Customers in the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121–180 days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inactivity bucket are still technically active but show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strong churn signals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  <w:r>
        <w:rPr>
          <w:rFonts w:ascii="Segoe UI"/>
          <w:color w:val="000000"/>
          <w:sz w:val="22"/>
          <w:szCs w:val="22"/>
          <w:lang w:val="en-US"/>
        </w:rPr>
        <w:br w:type="textWrapping"/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These customers are the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most cost-effective group to target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, as they are easier to re-engage than fully churned users.</w:t>
      </w:r>
    </w:p>
    <w:p w14:paraId="0000001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1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4. Retention declines as inactivity increases</w:t>
      </w:r>
    </w:p>
    <w:p w14:paraId="0000001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Retention rate decreases steadily as customers move into higher inactivity buckets.</w:t>
      </w:r>
      <w:r>
        <w:rPr>
          <w:rFonts w:ascii="Segoe UI"/>
          <w:color w:val="000000"/>
          <w:sz w:val="22"/>
          <w:szCs w:val="22"/>
          <w:lang w:val="en-US"/>
        </w:rPr>
        <w:br w:type="textWrapping"/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This confirms a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direct relationship between inactivity duration and churn probability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</w:p>
    <w:p w14:paraId="0000001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1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5. One-time customers are more vulnerable to churn</w:t>
      </w:r>
    </w:p>
    <w:p w14:paraId="0000001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Customers with only a single purchase show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significantly higher inactivity and churn risk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compared to repeat customers, highlighting the importance of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early repeat-purchase strategies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.</w:t>
      </w:r>
    </w:p>
    <w:p w14:paraId="0000001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1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1C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1D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1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1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rtl w:val="off"/>
          <w:lang w:val="en-US"/>
        </w:rPr>
      </w:pPr>
    </w:p>
    <w:p w14:paraId="0000002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6. Actionable insights were embedded directly into the dashboard</w:t>
      </w:r>
    </w:p>
    <w:p w14:paraId="0000002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A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Recommended Action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column was implemented using DAX, translating analytics into clear business actions:</w:t>
      </w:r>
    </w:p>
    <w:tbl>
      <w:tblPr>
        <w:tblStyle w:val="TableGrid"/>
        <w:tblpPr w:leftFromText="187" w:rightFromText="187" w:topFromText="0" w:bottomFromText="0" w:vertAnchor="page" w:horzAnchor="page" w:tblpX="1378" w:tblpY="2563"/>
        <w:tblOverlap w:val="never"/>
        <w:tblInd w:w="0" w:type="dxa"/>
      </w:tblPr>
      <w:tblGrid>
        <w:gridCol w:w="4621"/>
        <w:gridCol w:w="4621"/>
      </w:tblGrid>
      <w:tr>
        <w:trPr>
          <w:trHeight w:val="413" w:hRule="atLeast"/>
        </w:trPr>
        <w:tc>
          <w:tcPr>
            <w:cnfStyle w:val="100010000000"/>
            <w:tcW w:w="4621" w:type="dxa"/>
          </w:tcPr>
          <w:p w14:paraId="00000028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b/>
                <w:bCs/>
                <w:color w:val="000000"/>
                <w:sz w:val="22"/>
                <w:szCs w:val="22"/>
                <w:rtl w:val="off"/>
                <w:lang w:val="en-US"/>
              </w:rPr>
              <w:t>Inactivity Level</w:t>
            </w:r>
          </w:p>
          <w:p w14:paraId="00000029">
            <w:pPr>
              <w:framePr w:w="0" w:h="0" w:vAnchor="margin" w:hAnchor="text" w:x="0" w:y="0"/>
              <w:shd w:val="clear" w:fill="auto"/>
              <w:bidi w:val="off"/>
              <w:spacing w:before="0" w:after="0" w:line="240" w:lineRule="auto"/>
              <w:ind w:right="0"/>
              <w:jc w:val="left"/>
              <w:rPr>
                <w:rFonts w:ascii="Segoe U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cnfStyle w:val="100001000000"/>
            <w:tcW w:w="4621" w:type="dxa"/>
          </w:tcPr>
          <w:p w14:paraId="0000002A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b/>
                <w:bCs/>
                <w:color w:val="000000"/>
                <w:sz w:val="22"/>
                <w:szCs w:val="22"/>
                <w:rtl w:val="off"/>
                <w:lang w:val="en-US"/>
              </w:rPr>
              <w:t>Recommended Action</w:t>
            </w:r>
            <w:r>
              <w:rPr>
                <w:rFonts w:ascii="Segoe UI"/>
                <w:b/>
                <w:bCs/>
                <w:color w:val="000000"/>
                <w:sz w:val="22"/>
                <w:szCs w:val="22"/>
                <w:rtl w:val="off"/>
                <w:lang w:val="en-US"/>
              </w:rPr>
              <w:t xml:space="preserve"> </w:t>
            </w:r>
          </w:p>
        </w:tc>
      </w:tr>
      <w:tr>
        <w:trPr/>
        <w:tc>
          <w:tcPr>
            <w:cnfStyle w:val="000010000000"/>
            <w:tcW w:w="4621" w:type="dxa"/>
          </w:tcPr>
          <w:p w14:paraId="0000002B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≤ 60 days </w:t>
            </w:r>
          </w:p>
        </w:tc>
        <w:tc>
          <w:tcPr>
            <w:cnfStyle w:val="000001000000"/>
            <w:tcW w:w="4621" w:type="dxa"/>
          </w:tcPr>
          <w:p w14:paraId="0000002C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Monitor </w:t>
            </w:r>
          </w:p>
        </w:tc>
      </w:tr>
      <w:tr>
        <w:trPr/>
        <w:tc>
          <w:tcPr>
            <w:cnfStyle w:val="000010000000"/>
            <w:tcW w:w="4621" w:type="dxa"/>
          </w:tcPr>
          <w:p w14:paraId="0000002D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61–120 days </w:t>
            </w:r>
          </w:p>
        </w:tc>
        <w:tc>
          <w:tcPr>
            <w:cnfStyle w:val="000001000000"/>
            <w:tcW w:w="4621" w:type="dxa"/>
          </w:tcPr>
          <w:p w14:paraId="0000002E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Reminder / offer </w:t>
            </w:r>
          </w:p>
        </w:tc>
      </w:tr>
      <w:tr>
        <w:trPr/>
        <w:tc>
          <w:tcPr>
            <w:cnfStyle w:val="000010000000"/>
            <w:tcW w:w="4621" w:type="dxa"/>
          </w:tcPr>
          <w:p w14:paraId="0000002F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121–180 days </w:t>
            </w:r>
          </w:p>
        </w:tc>
        <w:tc>
          <w:tcPr>
            <w:cnfStyle w:val="000001000000"/>
            <w:tcW w:w="4621" w:type="dxa"/>
          </w:tcPr>
          <w:p w14:paraId="00000030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Reactivation campaign </w:t>
            </w:r>
          </w:p>
        </w:tc>
      </w:tr>
      <w:tr>
        <w:trPr/>
        <w:tc>
          <w:tcPr>
            <w:cnfStyle w:val="000010000000"/>
            <w:tcW w:w="4621" w:type="dxa"/>
          </w:tcPr>
          <w:p w14:paraId="00000031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180+ days </w:t>
            </w:r>
          </w:p>
        </w:tc>
        <w:tc>
          <w:tcPr>
            <w:cnfStyle w:val="000001000000"/>
            <w:tcW w:w="4621" w:type="dxa"/>
          </w:tcPr>
          <w:p w14:paraId="00000032">
            <w:pPr>
              <w:framePr w:w="0" w:h="0" w:vAnchor="margin" w:hAnchor="text" w:x="0" w:y="0"/>
              <w:pBdr>
                <w:top w:val="none" w:sz="4" w:space="0"/>
                <w:left w:val="none" w:sz="4" w:space="0"/>
                <w:bottom w:val="none" w:sz="4" w:space="0"/>
                <w:right w:val="none" w:sz="4" w:space="0"/>
                <w:between w:val="none" w:sz="4" w:space="0"/>
                <w:bar w:val="none" w:sz="4" w:space="0"/>
              </w:pBdr>
              <w:shd w:val="clear" w:fill="auto"/>
              <w:bidi w:val="off"/>
              <w:spacing w:before="0" w:after="0" w:line="240" w:lineRule="auto"/>
              <w:ind w:left="0" w:right="0" w:firstLine="0"/>
              <w:jc w:val="left"/>
              <w:rPr>
                <w:rFonts w:ascii="Segoe UI"/>
                <w:color w:val="000000"/>
                <w:sz w:val="22"/>
                <w:szCs w:val="22"/>
                <w:lang w:val="en-US"/>
              </w:rPr>
            </w:pPr>
            <w:r>
              <w:rPr>
                <w:rFonts w:ascii="Segoe UI"/>
                <w:color w:val="000000"/>
                <w:sz w:val="22"/>
                <w:szCs w:val="22"/>
                <w:rtl w:val="off"/>
                <w:lang w:val="en-US"/>
              </w:rPr>
              <w:t xml:space="preserve">Immediate outreach </w:t>
            </w:r>
          </w:p>
        </w:tc>
      </w:tr>
    </w:tbl>
    <w:p w14:paraId="0000003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This bridges the gap between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analysis and execution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,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making the dashboard decision-ready. </w:t>
      </w:r>
    </w:p>
    <w:p w14:paraId="0000003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3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💡 Business Recommendations</w:t>
      </w:r>
    </w:p>
    <w:p w14:paraId="0000003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1. Prioritise re-engagement of at-risk customers</w:t>
      </w:r>
    </w:p>
    <w:p w14:paraId="0000003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Launch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reactivation campaigns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for customers inactive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121–180 days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, using personalised offers, reminders, or loyalty incentives.</w:t>
      </w:r>
    </w:p>
    <w:p w14:paraId="0000003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3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2. Implement immediate outreach for churned customers</w:t>
      </w:r>
    </w:p>
    <w:p w14:paraId="0000003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For customers inactive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180+ days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, apply stronger recovery tactics such as:</w:t>
      </w:r>
    </w:p>
    <w:p w14:paraId="0000003B">
      <w:pPr>
        <w:framePr w:w="0" w:h="0" w:vAnchor="margin" w:hAnchor="text" w:x="0" w:y="0"/>
        <w:numPr>
          <w:ilvl w:val="0"/>
          <w:numId w:val="3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Win-back discounts</w:t>
      </w:r>
    </w:p>
    <w:p w14:paraId="0000003C">
      <w:pPr>
        <w:framePr w:w="0" w:h="0" w:vAnchor="margin" w:hAnchor="text" w:x="0" w:y="0"/>
        <w:numPr>
          <w:ilvl w:val="0"/>
          <w:numId w:val="3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Personalised email or SMS outreach</w:t>
      </w:r>
    </w:p>
    <w:p w14:paraId="0000003D">
      <w:pPr>
        <w:framePr w:w="0" w:h="0" w:vAnchor="margin" w:hAnchor="text" w:x="0" w:y="0"/>
        <w:numPr>
          <w:ilvl w:val="0"/>
          <w:numId w:val="3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Time-limited reactivation offers</w:t>
      </w:r>
    </w:p>
    <w:p w14:paraId="0000003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3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3. Strengthen early-stage retention</w:t>
      </w:r>
    </w:p>
    <w:p w14:paraId="0000004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Introduce strategies to convert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one-time buyers into repeat customers</w:t>
      </w:r>
      <w:r>
        <w:rPr>
          <w:rFonts w:ascii="Segoe UI"/>
          <w:color w:val="000000"/>
          <w:sz w:val="22"/>
          <w:szCs w:val="22"/>
          <w:rtl w:val="off"/>
          <w:lang w:val="en-US"/>
        </w:rPr>
        <w:t>, such as:</w:t>
      </w:r>
    </w:p>
    <w:p w14:paraId="00000041">
      <w:pPr>
        <w:framePr w:w="0" w:h="0" w:vAnchor="margin" w:hAnchor="text" w:x="0" w:y="0"/>
        <w:numPr>
          <w:ilvl w:val="0"/>
          <w:numId w:val="4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Post-purchase follow-ups</w:t>
      </w:r>
    </w:p>
    <w:p w14:paraId="00000042">
      <w:pPr>
        <w:framePr w:w="0" w:h="0" w:vAnchor="margin" w:hAnchor="text" w:x="0" w:y="0"/>
        <w:numPr>
          <w:ilvl w:val="0"/>
          <w:numId w:val="4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Loyalty programmes</w:t>
      </w:r>
    </w:p>
    <w:p w14:paraId="00000043">
      <w:pPr>
        <w:framePr w:w="0" w:h="0" w:vAnchor="margin" w:hAnchor="text" w:x="0" w:y="0"/>
        <w:numPr>
          <w:ilvl w:val="0"/>
          <w:numId w:val="4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First-repeat incentives</w:t>
      </w:r>
    </w:p>
    <w:p w14:paraId="0000004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4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4. Monitor inactivity trends proactively</w:t>
      </w:r>
    </w:p>
    <w:p w14:paraId="0000004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Track movement between inactivity buckets over time to:</w:t>
      </w:r>
    </w:p>
    <w:p w14:paraId="00000047">
      <w:pPr>
        <w:framePr w:w="0" w:h="0" w:vAnchor="margin" w:hAnchor="text" w:x="0" w:y="0"/>
        <w:numPr>
          <w:ilvl w:val="0"/>
          <w:numId w:val="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Detect churn risk earlier</w:t>
      </w:r>
    </w:p>
    <w:p w14:paraId="00000048">
      <w:pPr>
        <w:framePr w:w="0" w:h="0" w:vAnchor="margin" w:hAnchor="text" w:x="0" w:y="0"/>
        <w:numPr>
          <w:ilvl w:val="0"/>
          <w:numId w:val="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Intervene before customers reach the churn threshold</w:t>
      </w:r>
    </w:p>
    <w:p w14:paraId="0000004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4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5. Integrate churn insights into CRM and marketing workflows</w:t>
      </w:r>
    </w:p>
    <w:p w14:paraId="0000004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Embedding lifecycle status and recommended actions into CRM systems allows marketing and operations teams to:</w:t>
      </w:r>
    </w:p>
    <w:p w14:paraId="0000004C">
      <w:pPr>
        <w:framePr w:w="0" w:h="0" w:vAnchor="margin" w:hAnchor="text" w:x="0" w:y="0"/>
        <w:numPr>
          <w:ilvl w:val="0"/>
          <w:numId w:val="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Target the right customers</w:t>
      </w:r>
    </w:p>
    <w:p w14:paraId="0000004D">
      <w:pPr>
        <w:framePr w:w="0" w:h="0" w:vAnchor="margin" w:hAnchor="text" w:x="0" w:y="0"/>
        <w:numPr>
          <w:ilvl w:val="0"/>
          <w:numId w:val="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Optimise campaign spend</w:t>
      </w:r>
    </w:p>
    <w:p w14:paraId="0000004E">
      <w:pPr>
        <w:framePr w:w="0" w:h="0" w:vAnchor="margin" w:hAnchor="text" w:x="0" w:y="0"/>
        <w:numPr>
          <w:ilvl w:val="0"/>
          <w:numId w:val="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Improve long-term retention performance</w:t>
      </w:r>
    </w:p>
    <w:p w14:paraId="0000004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</w:p>
    <w:p w14:paraId="0000005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>📈 Business Value</w:t>
      </w:r>
    </w:p>
    <w:p w14:paraId="00000051">
      <w:pPr>
        <w:framePr w:w="0" w:h="0" w:vAnchor="margin" w:hAnchor="text" w:x="0" w:y="0"/>
        <w:numPr>
          <w:ilvl w:val="0"/>
          <w:numId w:val="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Provides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clear visibility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into customer retention health</w:t>
      </w:r>
    </w:p>
    <w:p w14:paraId="00000052">
      <w:pPr>
        <w:framePr w:w="0" w:h="0" w:vAnchor="margin" w:hAnchor="text" w:x="0" w:y="0"/>
        <w:numPr>
          <w:ilvl w:val="0"/>
          <w:numId w:val="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Enables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proactive churn prevention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instead of reactive analysis</w:t>
      </w:r>
    </w:p>
    <w:p w14:paraId="00000053">
      <w:pPr>
        <w:framePr w:w="0" w:h="0" w:vAnchor="margin" w:hAnchor="text" w:x="0" w:y="0"/>
        <w:numPr>
          <w:ilvl w:val="0"/>
          <w:numId w:val="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>
          <w:rFonts w:ascii="Segoe UI"/>
          <w:color w:val="000000"/>
          <w:sz w:val="22"/>
          <w:szCs w:val="22"/>
          <w:lang w:val="en-US"/>
        </w:rPr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Converts data into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actionable retention strategies</w:t>
      </w:r>
    </w:p>
    <w:p w14:paraId="00000054">
      <w:pPr>
        <w:framePr w:w="0" w:h="0" w:vAnchor="margin" w:hAnchor="text" w:x="0" w:y="0"/>
        <w:numPr>
          <w:ilvl w:val="0"/>
          <w:numId w:val="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tabs>
          <w:tab w:val="left" w:pos="720"/>
        </w:tabs>
        <w:bidi w:val="off"/>
        <w:spacing w:before="0" w:after="0" w:line="240" w:lineRule="auto"/>
        <w:ind w:left="720" w:right="0" w:hanging="360"/>
        <w:jc w:val="left"/>
        <w:rPr/>
      </w:pP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Supports </w:t>
      </w:r>
      <w:r>
        <w:rPr>
          <w:rFonts w:ascii="Segoe UI"/>
          <w:b/>
          <w:color w:val="000000"/>
          <w:sz w:val="22"/>
          <w:szCs w:val="22"/>
          <w:rtl w:val="off"/>
          <w:lang w:val="en-US"/>
        </w:rPr>
        <w:t>data-driven decision-making</w:t>
      </w:r>
      <w:r>
        <w:rPr>
          <w:rFonts w:ascii="Segoe UI"/>
          <w:color w:val="000000"/>
          <w:sz w:val="22"/>
          <w:szCs w:val="22"/>
          <w:rtl w:val="off"/>
          <w:lang w:val="en-US"/>
        </w:rPr>
        <w:t xml:space="preserve"> across marketing and operations</w:t>
      </w:r>
    </w:p>
    <w:sectPr>
      <w:footnotePr/>
      <w:type w:val="nextPage"/>
      <w:pgSz w:w="11906" w:h="16838" w:orient="portrait"/>
      <w:pgMar w:top="1440" w:right="1440" w:bottom="1440" w:left="1440" w:header="708" w:footer="708" w:gutter="0"/>
      <w:paperSrc w:first="1" w:other="1"/>
      <w:cols w:equalWidth="1" w:space="720" w:num="1" w:sep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  <w:font w:name="Segoe UI">
    <w:charset w:val="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/>
  <w:abstractNum w:abstractNumId="1"/>
  <w:abstractNum w:abstractNumId="2"/>
  <w:abstractNum w:abstractNumId="3"/>
  <w:abstractNum w:abstractNumId="4"/>
  <w:abstractNum w:abstractNumId="5"/>
  <w:num w:numId="1">
    <w:abstractNumId w:val="0"/>
    <w:lvlOverride w:ilvl="0">
      <w:lvl w:ilvl="0" w:tentative="1">
        <w:numFmt w:val="bullet"/>
        <w:suff w:val="tab"/>
        <w:lvlText w:val="·"/>
        <w:rPr/>
      </w:lvl>
    </w:lvlOverride>
  </w:num>
  <w:num w:numId="2">
    <w:abstractNumId w:val="1"/>
    <w:lvlOverride w:ilvl="0">
      <w:lvl w:ilvl="0" w:tentative="1">
        <w:numFmt w:val="bullet"/>
        <w:suff w:val="tab"/>
        <w:lvlText w:val="·"/>
        <w:rPr/>
      </w:lvl>
    </w:lvlOverride>
  </w:num>
  <w:num w:numId="3">
    <w:abstractNumId w:val="2"/>
    <w:lvlOverride w:ilvl="0">
      <w:lvl w:ilvl="0" w:tentative="1">
        <w:numFmt w:val="bullet"/>
        <w:suff w:val="tab"/>
        <w:lvlText w:val="·"/>
        <w:rPr/>
      </w:lvl>
    </w:lvlOverride>
  </w:num>
  <w:num w:numId="4">
    <w:abstractNumId w:val="3"/>
    <w:lvlOverride w:ilvl="0">
      <w:lvl w:ilvl="0" w:tentative="1">
        <w:numFmt w:val="bullet"/>
        <w:suff w:val="tab"/>
        <w:lvlText w:val="·"/>
        <w:rPr/>
      </w:lvl>
    </w:lvlOverride>
  </w:num>
  <w:num w:numId="5">
    <w:abstractNumId w:val="4"/>
    <w:lvlOverride w:ilvl="0">
      <w:lvl w:ilvl="0" w:tentative="1">
        <w:numFmt w:val="bullet"/>
        <w:suff w:val="tab"/>
        <w:lvlText w:val="·"/>
        <w:rPr/>
      </w:lvl>
    </w:lvlOverride>
  </w:num>
  <w:num w:numId="6">
    <w:abstractNumId w:val="5"/>
    <w:lvlOverride w:ilvl="0">
      <w:lvl w:ilvl="0" w:tentative="1">
        <w:numFmt w:val="bullet"/>
        <w:suff w:val="tab"/>
        <w:lvlText w:val="·"/>
        <w:rPr/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en-GB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  <w:footnotePr/>
  <w:endnotePr/>
  <w:trackRevisions w:val="off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numbering" Target="numbering.xml"/><Relationship Id="rId5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Defaul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innocent precious</dc:creator>
  <cp:lastModifiedBy>innocent precious</cp:lastModifiedBy>
</cp:coreProperties>
</file>