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BIOS vs UEFI Comparison</w:t>
      </w:r>
    </w:p>
    <w:p>
      <w:pPr>
        <w:spacing w:after="400"/>
        <w:jc w:val="center"/>
      </w:pPr>
      <w:r>
        <w:rPr>
          <w:i/>
          <w:iCs/>
          <w:color w:val="555555"/>
          <w:sz w:val="20"/>
          <w:szCs w:val="20"/>
        </w:rPr>
        <w:t xml:space="preserve">ITEP 414 – System Administration and Maintenance | Week 3 Portfolio Project</w:t>
      </w:r>
    </w:p>
    <w:p>
      <w:pPr>
        <w:pStyle w:val="Heading1"/>
        <w:spacing w:after="150" w:before="300"/>
      </w:pPr>
      <w:r>
        <w:t xml:space="preserve">Comparison Table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780"/>
      </w:tblGrid>
      <w:tr>
        <w:tc>
          <w:tcPr>
            <w:tcW w:type="dxa" w:w="2400"/>
            <w:shd w:fill="2C5F8A" w:val="clear"/>
          </w:tcPr>
          <w:p>
            <w:r>
              <w:rPr>
                <w:b/>
                <w:bCs/>
                <w:color w:val="FFFFFF"/>
                <w:sz w:val="20"/>
                <w:szCs w:val="20"/>
              </w:rPr>
              <w:t xml:space="preserve">Criteria</w:t>
            </w:r>
          </w:p>
        </w:tc>
        <w:tc>
          <w:tcPr>
            <w:tcW w:type="dxa" w:w="3560"/>
            <w:shd w:fill="2C5F8A" w:val="clear"/>
          </w:tcPr>
          <w:p>
            <w:r>
              <w:rPr>
                <w:b/>
                <w:bCs/>
                <w:color w:val="FFFFFF"/>
                <w:sz w:val="20"/>
                <w:szCs w:val="20"/>
              </w:rPr>
              <w:t xml:space="preserve">BIOS</w:t>
            </w:r>
          </w:p>
        </w:tc>
        <w:tc>
          <w:tcPr>
            <w:tcW w:type="dxa" w:w="3560"/>
            <w:shd w:fill="2C5F8A" w:val="clear"/>
          </w:tcPr>
          <w:p>
            <w:r>
              <w:rPr>
                <w:b/>
                <w:bCs/>
                <w:color w:val="FFFFFF"/>
                <w:sz w:val="20"/>
                <w:szCs w:val="20"/>
              </w:rPr>
              <w:t xml:space="preserve">UEFI</w:t>
            </w:r>
          </w:p>
        </w:tc>
      </w:tr>
      <w:tr>
        <w:tc>
          <w:tcPr>
            <w:tcW w:type="dxa" w:w="2400"/>
          </w:tcPr>
          <w:p>
            <w:r>
              <w:rPr>
                <w:b w:val="false"/>
                <w:bCs w:val="false"/>
                <w:color w:val="000000"/>
                <w:sz w:val="20"/>
                <w:szCs w:val="20"/>
              </w:rPr>
              <w:t xml:space="preserve">Definition</w:t>
            </w:r>
          </w:p>
        </w:tc>
        <w:tc>
          <w:tcPr>
            <w:tcW w:type="dxa" w:w="3560"/>
          </w:tcPr>
          <w:p>
            <w:r>
              <w:rPr>
                <w:b w:val="false"/>
                <w:bCs w:val="false"/>
                <w:color w:val="000000"/>
                <w:sz w:val="20"/>
                <w:szCs w:val="20"/>
              </w:rPr>
              <w:t xml:space="preserve">Basic Input/Output System — legacy firmware standard from the 1980s that initializes hardware and hands control to the bootloader.</w:t>
            </w:r>
          </w:p>
        </w:tc>
        <w:tc>
          <w:tcPr>
            <w:tcW w:type="dxa" w:w="3560"/>
          </w:tcPr>
          <w:p>
            <w:r>
              <w:rPr>
                <w:b w:val="false"/>
                <w:bCs w:val="false"/>
                <w:color w:val="000000"/>
                <w:sz w:val="20"/>
                <w:szCs w:val="20"/>
              </w:rPr>
              <w:t xml:space="preserve">Unified Extensible Firmware Interface — a modern firmware specification designed to replace BIOS, with a richer feature set and standardized interface.</w:t>
            </w:r>
          </w:p>
        </w:tc>
      </w:tr>
      <w:tr>
        <w:tc>
          <w:tcPr>
            <w:tcW w:type="dxa" w:w="2400"/>
          </w:tcPr>
          <w:p>
            <w:r>
              <w:rPr>
                <w:b w:val="false"/>
                <w:bCs w:val="false"/>
                <w:color w:val="000000"/>
                <w:sz w:val="20"/>
                <w:szCs w:val="20"/>
              </w:rPr>
              <w:t xml:space="preserve">Boot Process</w:t>
            </w:r>
          </w:p>
        </w:tc>
        <w:tc>
          <w:tcPr>
            <w:tcW w:type="dxa" w:w="3560"/>
          </w:tcPr>
          <w:p>
            <w:r>
              <w:rPr>
                <w:b w:val="false"/>
                <w:bCs w:val="false"/>
                <w:color w:val="000000"/>
                <w:sz w:val="20"/>
                <w:szCs w:val="20"/>
              </w:rPr>
              <w:t xml:space="preserve">Reads the Master Boot Record (MBR), a 512-byte sector, and executes 16-bit real-mode code sequentially.</w:t>
            </w:r>
          </w:p>
        </w:tc>
        <w:tc>
          <w:tcPr>
            <w:tcW w:type="dxa" w:w="3560"/>
          </w:tcPr>
          <w:p>
            <w:r>
              <w:rPr>
                <w:b w:val="false"/>
                <w:bCs w:val="false"/>
                <w:color w:val="000000"/>
                <w:sz w:val="20"/>
                <w:szCs w:val="20"/>
              </w:rPr>
              <w:t xml:space="preserve">Reads the GUID Partition Table (GPT) and executes boot loaders directly as EFI applications; supports 32/64-bit mode.</w:t>
            </w:r>
          </w:p>
        </w:tc>
      </w:tr>
      <w:tr>
        <w:tc>
          <w:tcPr>
            <w:tcW w:type="dxa" w:w="2400"/>
          </w:tcPr>
          <w:p>
            <w:r>
              <w:rPr>
                <w:b w:val="false"/>
                <w:bCs w:val="false"/>
                <w:color w:val="000000"/>
                <w:sz w:val="20"/>
                <w:szCs w:val="20"/>
              </w:rPr>
              <w:t xml:space="preserve">Maximum Disk Support</w:t>
            </w:r>
          </w:p>
        </w:tc>
        <w:tc>
          <w:tcPr>
            <w:tcW w:type="dxa" w:w="3560"/>
          </w:tcPr>
          <w:p>
            <w:r>
              <w:rPr>
                <w:b w:val="false"/>
                <w:bCs w:val="false"/>
                <w:color w:val="000000"/>
                <w:sz w:val="20"/>
                <w:szCs w:val="20"/>
              </w:rPr>
              <w:t xml:space="preserve">Limited to 2 TB (due to MBR's 32-bit sector addressing).</w:t>
            </w:r>
          </w:p>
        </w:tc>
        <w:tc>
          <w:tcPr>
            <w:tcW w:type="dxa" w:w="3560"/>
          </w:tcPr>
          <w:p>
            <w:r>
              <w:rPr>
                <w:b w:val="false"/>
                <w:bCs w:val="false"/>
                <w:color w:val="000000"/>
                <w:sz w:val="20"/>
                <w:szCs w:val="20"/>
              </w:rPr>
              <w:t xml:space="preserve">Supports drives larger than 2 TB (up to 9.4 ZB theoretically) using GPT's 64-bit addressing.</w:t>
            </w:r>
          </w:p>
        </w:tc>
      </w:tr>
      <w:tr>
        <w:tc>
          <w:tcPr>
            <w:tcW w:type="dxa" w:w="2400"/>
          </w:tcPr>
          <w:p>
            <w:r>
              <w:rPr>
                <w:b w:val="false"/>
                <w:bCs w:val="false"/>
                <w:color w:val="000000"/>
                <w:sz w:val="20"/>
                <w:szCs w:val="20"/>
              </w:rPr>
              <w:t xml:space="preserve">Partition Style</w:t>
            </w:r>
          </w:p>
        </w:tc>
        <w:tc>
          <w:tcPr>
            <w:tcW w:type="dxa" w:w="3560"/>
          </w:tcPr>
          <w:p>
            <w:r>
              <w:rPr>
                <w:b w:val="false"/>
                <w:bCs w:val="false"/>
                <w:color w:val="000000"/>
                <w:sz w:val="20"/>
                <w:szCs w:val="20"/>
              </w:rPr>
              <w:t xml:space="preserve">MBR (Master Boot Record) — max 4 primary partitions.</w:t>
            </w:r>
          </w:p>
        </w:tc>
        <w:tc>
          <w:tcPr>
            <w:tcW w:type="dxa" w:w="3560"/>
          </w:tcPr>
          <w:p>
            <w:r>
              <w:rPr>
                <w:b w:val="false"/>
                <w:bCs w:val="false"/>
                <w:color w:val="000000"/>
                <w:sz w:val="20"/>
                <w:szCs w:val="20"/>
              </w:rPr>
              <w:t xml:space="preserve">GPT (GUID Partition Table) — supports up to 128 partitions.</w:t>
            </w:r>
          </w:p>
        </w:tc>
      </w:tr>
      <w:tr>
        <w:tc>
          <w:tcPr>
            <w:tcW w:type="dxa" w:w="2400"/>
          </w:tcPr>
          <w:p>
            <w:r>
              <w:rPr>
                <w:b w:val="false"/>
                <w:bCs w:val="false"/>
                <w:color w:val="000000"/>
                <w:sz w:val="20"/>
                <w:szCs w:val="20"/>
              </w:rPr>
              <w:t xml:space="preserve">Security Features</w:t>
            </w:r>
          </w:p>
        </w:tc>
        <w:tc>
          <w:tcPr>
            <w:tcW w:type="dxa" w:w="3560"/>
          </w:tcPr>
          <w:p>
            <w:r>
              <w:rPr>
                <w:b w:val="false"/>
                <w:bCs w:val="false"/>
                <w:color w:val="000000"/>
                <w:sz w:val="20"/>
                <w:szCs w:val="20"/>
              </w:rPr>
              <w:t xml:space="preserve">Minimal; no native secure boot or malware protection at firmware level.</w:t>
            </w:r>
          </w:p>
        </w:tc>
        <w:tc>
          <w:tcPr>
            <w:tcW w:type="dxa" w:w="3560"/>
          </w:tcPr>
          <w:p>
            <w:r>
              <w:rPr>
                <w:b w:val="false"/>
                <w:bCs w:val="false"/>
                <w:color w:val="000000"/>
                <w:sz w:val="20"/>
                <w:szCs w:val="20"/>
              </w:rPr>
              <w:t xml:space="preserve">Secure Boot verifies digital signatures of the OS loader before execution, blocking unsigned/malicious boot code.</w:t>
            </w:r>
          </w:p>
        </w:tc>
      </w:tr>
      <w:tr>
        <w:tc>
          <w:tcPr>
            <w:tcW w:type="dxa" w:w="2400"/>
          </w:tcPr>
          <w:p>
            <w:r>
              <w:rPr>
                <w:b w:val="false"/>
                <w:bCs w:val="false"/>
                <w:color w:val="000000"/>
                <w:sz w:val="20"/>
                <w:szCs w:val="20"/>
              </w:rPr>
              <w:t xml:space="preserve">Speed</w:t>
            </w:r>
          </w:p>
        </w:tc>
        <w:tc>
          <w:tcPr>
            <w:tcW w:type="dxa" w:w="3560"/>
          </w:tcPr>
          <w:p>
            <w:r>
              <w:rPr>
                <w:b w:val="false"/>
                <w:bCs w:val="false"/>
                <w:color w:val="000000"/>
                <w:sz w:val="20"/>
                <w:szCs w:val="20"/>
              </w:rPr>
              <w:t xml:space="preserve">Slower boot; sequential 16-bit initialization and legacy hardware checks.</w:t>
            </w:r>
          </w:p>
        </w:tc>
        <w:tc>
          <w:tcPr>
            <w:tcW w:type="dxa" w:w="3560"/>
          </w:tcPr>
          <w:p>
            <w:r>
              <w:rPr>
                <w:b w:val="false"/>
                <w:bCs w:val="false"/>
                <w:color w:val="000000"/>
                <w:sz w:val="20"/>
                <w:szCs w:val="20"/>
              </w:rPr>
              <w:t xml:space="preserve">Faster boot; supports parallel device initialization and 'Fast Boot' modes.</w:t>
            </w:r>
          </w:p>
        </w:tc>
      </w:tr>
      <w:tr>
        <w:tc>
          <w:tcPr>
            <w:tcW w:type="dxa" w:w="2400"/>
          </w:tcPr>
          <w:p>
            <w:r>
              <w:rPr>
                <w:b w:val="false"/>
                <w:bCs w:val="false"/>
                <w:color w:val="000000"/>
                <w:sz w:val="20"/>
                <w:szCs w:val="20"/>
              </w:rPr>
              <w:t xml:space="preserve">Advantages</w:t>
            </w:r>
          </w:p>
        </w:tc>
        <w:tc>
          <w:tcPr>
            <w:tcW w:type="dxa" w:w="3560"/>
          </w:tcPr>
          <w:p>
            <w:r>
              <w:rPr>
                <w:b w:val="false"/>
                <w:bCs w:val="false"/>
                <w:color w:val="000000"/>
                <w:sz w:val="20"/>
                <w:szCs w:val="20"/>
              </w:rPr>
              <w:t xml:space="preserve">Simple, well understood, broadly compatible with very old hardware/OSes.</w:t>
            </w:r>
          </w:p>
        </w:tc>
        <w:tc>
          <w:tcPr>
            <w:tcW w:type="dxa" w:w="3560"/>
          </w:tcPr>
          <w:p>
            <w:r>
              <w:rPr>
                <w:b w:val="false"/>
                <w:bCs w:val="false"/>
                <w:color w:val="000000"/>
                <w:sz w:val="20"/>
                <w:szCs w:val="20"/>
              </w:rPr>
              <w:t xml:space="preserve">Faster boot, larger disk/partition support, Secure Boot, GUI-capable setup, network boot support, driver support at firmware level.</w:t>
            </w:r>
          </w:p>
        </w:tc>
      </w:tr>
      <w:tr>
        <w:tc>
          <w:tcPr>
            <w:tcW w:type="dxa" w:w="2400"/>
          </w:tcPr>
          <w:p>
            <w:r>
              <w:rPr>
                <w:b w:val="false"/>
                <w:bCs w:val="false"/>
                <w:color w:val="000000"/>
                <w:sz w:val="20"/>
                <w:szCs w:val="20"/>
              </w:rPr>
              <w:t xml:space="preserve">Disadvantages</w:t>
            </w:r>
          </w:p>
        </w:tc>
        <w:tc>
          <w:tcPr>
            <w:tcW w:type="dxa" w:w="3560"/>
          </w:tcPr>
          <w:p>
            <w:r>
              <w:rPr>
                <w:b w:val="false"/>
                <w:bCs w:val="false"/>
                <w:color w:val="000000"/>
                <w:sz w:val="20"/>
                <w:szCs w:val="20"/>
              </w:rPr>
              <w:t xml:space="preserve">2 TB disk limit, 4-partition limit, no secure boot, slow, 16-bit only.</w:t>
            </w:r>
          </w:p>
        </w:tc>
        <w:tc>
          <w:tcPr>
            <w:tcW w:type="dxa" w:w="3560"/>
          </w:tcPr>
          <w:p>
            <w:r>
              <w:rPr>
                <w:b w:val="false"/>
                <w:bCs w:val="false"/>
                <w:color w:val="000000"/>
                <w:sz w:val="20"/>
                <w:szCs w:val="20"/>
              </w:rPr>
              <w:t xml:space="preserve">More complex, can be less compatible with very old OSes, misconfiguration can complicate dual-boot setups.</w:t>
            </w:r>
          </w:p>
        </w:tc>
      </w:tr>
      <w:tr>
        <w:tc>
          <w:tcPr>
            <w:tcW w:type="dxa" w:w="2400"/>
          </w:tcPr>
          <w:p>
            <w:r>
              <w:rPr>
                <w:b w:val="false"/>
                <w:bCs w:val="false"/>
                <w:color w:val="000000"/>
                <w:sz w:val="20"/>
                <w:szCs w:val="20"/>
              </w:rPr>
              <w:t xml:space="preserve">Modern Usage</w:t>
            </w:r>
          </w:p>
        </w:tc>
        <w:tc>
          <w:tcPr>
            <w:tcW w:type="dxa" w:w="3560"/>
          </w:tcPr>
          <w:p>
            <w:r>
              <w:rPr>
                <w:b w:val="false"/>
                <w:bCs w:val="false"/>
                <w:color w:val="000000"/>
                <w:sz w:val="20"/>
                <w:szCs w:val="20"/>
              </w:rPr>
              <w:t xml:space="preserve">Rare in new systems; found mainly in legacy or embedded devices.</w:t>
            </w:r>
          </w:p>
        </w:tc>
        <w:tc>
          <w:tcPr>
            <w:tcW w:type="dxa" w:w="3560"/>
          </w:tcPr>
          <w:p>
            <w:r>
              <w:rPr>
                <w:b w:val="false"/>
                <w:bCs w:val="false"/>
                <w:color w:val="000000"/>
                <w:sz w:val="20"/>
                <w:szCs w:val="20"/>
              </w:rPr>
              <w:t xml:space="preserve">Standard on virtually all modern PCs, servers, and virtual machines since ~2012–2020.</w:t>
            </w:r>
          </w:p>
        </w:tc>
      </w:tr>
    </w:tbl>
    <w:p>
      <w:pPr>
        <w:pStyle w:val="Heading1"/>
        <w:spacing w:after="150" w:before="300"/>
      </w:pPr>
      <w:r>
        <w:t xml:space="preserve">Why UEFI Has Largely Replaced BIOS</w:t>
      </w:r>
    </w:p>
    <w:p>
      <w:pPr>
        <w:spacing w:after="160"/>
      </w:pPr>
      <w:r>
        <w:rPr>
          <w:sz w:val="22"/>
          <w:szCs w:val="22"/>
        </w:rPr>
        <w:t xml:space="preserve">UEFI has become the dominant firmware standard on modern computers and enterprise servers because it directly addresses the structural limitations that BIOS could no longer support as hardware and security requirements grew.</w:t>
      </w:r>
    </w:p>
    <w:p>
      <w:pPr>
        <w:spacing w:after="160"/>
      </w:pPr>
      <w:r>
        <w:rPr>
          <w:sz w:val="22"/>
          <w:szCs w:val="22"/>
        </w:rPr>
        <w:t xml:space="preserve">The clearest driver is storage capacity. BIOS relies on the MBR partitioning scheme, which uses 32-bit sector addressing and caps usable disk space at 2 TB, with a hard limit of four primary partitions. As enterprise storage moved well past that threshold, MBR became a practical bottleneck. UEFI's GPT partitioning removes this ceiling, supporting drives far larger than any system will realistically need for the foreseeable future, along with up to 128 partitions.</w:t>
      </w:r>
    </w:p>
    <w:p>
      <w:pPr>
        <w:spacing w:after="160"/>
      </w:pPr>
      <w:r>
        <w:rPr>
          <w:sz w:val="22"/>
          <w:szCs w:val="22"/>
        </w:rPr>
        <w:t xml:space="preserve">Security is the second major factor. BIOS has no concept of verifying what it boots; it will execute whatever code sits in the boot sector, which makes it vulnerable to bootkits and firmware-level malware. UEFI's Secure Boot feature cryptographically verifies the digital signature of the OS bootloader before handing off control, blocking unsigned or tampered boot code. For enterprise and cloud environments — where a compromised boot chain can undermine every layer of security above it — this is a significant advantage.</w:t>
      </w:r>
    </w:p>
    <w:p>
      <w:pPr>
        <w:spacing w:after="160"/>
      </w:pPr>
      <w:r>
        <w:rPr>
          <w:sz w:val="22"/>
          <w:szCs w:val="22"/>
        </w:rPr>
        <w:t xml:space="preserve">Performance and usability also favor UEFI. Because UEFI can initialize devices in parallel rather than the strictly sequential 16-bit process BIOS uses, boot times are noticeably shorter. UEFI also supports a graphical, mouse-driven setup interface, network booting (PXE) out of the box, and can run 32-bit or 64-bit code, whereas BIOS is limited to 16-bit real mode regardless of the CPU's actual capabilities.</w:t>
      </w:r>
    </w:p>
    <w:p>
      <w:pPr>
        <w:spacing w:after="160"/>
      </w:pPr>
      <w:r>
        <w:rPr>
          <w:sz w:val="22"/>
          <w:szCs w:val="22"/>
        </w:rPr>
        <w:t xml:space="preserve">Finally, UEFI is simply better suited to how modern infrastructure is built and managed. Virtualization platforms, cloud providers, and hardware vendors have standardized on UEFI (often exclusively) because it supports remote management, firmware-level diagnostics, and the larger disks and RAID configurations common in enterprise deployments. BIOS survives mainly in legacy or embedded systems where backward compatibility matters more than modern features.</w:t>
      </w:r>
    </w:p>
    <w:p>
      <w:pPr>
        <w:spacing w:after="160"/>
      </w:pPr>
      <w:r>
        <w:rPr>
          <w:sz w:val="22"/>
          <w:szCs w:val="22"/>
        </w:rPr>
        <w:t xml:space="preserve">For a Junior System Administrator deploying servers today, understanding this distinction matters practically: it determines partitioning scheme, maximum disk size, whether Secure Boot can be enforced, and how the boot loader (e.g., GRUB) must be configured during installation.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2026-08-14T14:49:06.632Z</dcterms:created>
  <dcterms:modified xsi:type="dcterms:W3CDTF">2026-08-14T14:49:06.646Z</dcterms:modified>
</cp:coreProperties>
</file>

<file path=docProps/custom.xml><?xml version="1.0" encoding="utf-8"?>
<Properties xmlns="http://schemas.openxmlformats.org/officeDocument/2006/custom-properties" xmlns:vt="http://schemas.openxmlformats.org/officeDocument/2006/docPropsVTypes"/>
</file>