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Operating System Comparison Report</w:t>
      </w:r>
    </w:p>
    <w:p>
      <w:pPr>
        <w:spacing w:after="400"/>
        <w:jc w:val="center"/>
      </w:pPr>
      <w:r>
        <w:rPr>
          <w:i/>
          <w:iCs/>
          <w:color w:val="555555"/>
          <w:sz w:val="20"/>
          <w:szCs w:val="20"/>
        </w:rPr>
        <w:t xml:space="preserve">Windows Server vs Ubuntu Server vs Rocky Linux | ITEP 414 Week 3 Portfolio Project</w:t>
      </w:r>
    </w:p>
    <w:p>
      <w:pPr>
        <w:pStyle w:val="Heading1"/>
        <w:spacing w:after="150" w:before="300"/>
      </w:pPr>
      <w:r>
        <w:t xml:space="preserve">Comparison Table</w:t>
      </w:r>
    </w:p>
    <w:tbl>
      <w:tblPr>
        <w:tblW w:type="dxa" w:w="10174"/>
        <w:tblBorders>
          <w:top w:val="single" w:color="auto" w:sz="4"/>
          <w:left w:val="single" w:color="auto" w:sz="4"/>
          <w:bottom w:val="single" w:color="auto" w:sz="4"/>
          <w:right w:val="single" w:color="auto" w:sz="4"/>
          <w:insideH w:val="single" w:color="auto" w:sz="4"/>
          <w:insideV w:val="single" w:color="auto" w:sz="4"/>
        </w:tblBorders>
      </w:tblPr>
      <w:tblGrid>
        <w:gridCol w:w="1900"/>
        <w:gridCol w:w="2758"/>
        <w:gridCol w:w="2758"/>
        <w:gridCol w:w="2758"/>
      </w:tblGrid>
      <w:tr>
        <w:tc>
          <w:tcPr>
            <w:tcW w:type="dxa" w:w="1900"/>
            <w:shd w:fill="2C5F8A" w:val="clear"/>
          </w:tcPr>
          <w:p>
            <w:r>
              <w:rPr>
                <w:b/>
                <w:bCs/>
                <w:color w:val="FFFFFF"/>
                <w:sz w:val="19"/>
                <w:szCs w:val="19"/>
              </w:rPr>
              <w:t xml:space="preserve">Criteria</w:t>
            </w:r>
          </w:p>
        </w:tc>
        <w:tc>
          <w:tcPr>
            <w:tcW w:type="dxa" w:w="2687"/>
            <w:shd w:fill="2C5F8A" w:val="clear"/>
          </w:tcPr>
          <w:p>
            <w:r>
              <w:rPr>
                <w:b/>
                <w:bCs/>
                <w:color w:val="FFFFFF"/>
                <w:sz w:val="19"/>
                <w:szCs w:val="19"/>
              </w:rPr>
              <w:t xml:space="preserve">Windows Server</w:t>
            </w:r>
          </w:p>
        </w:tc>
        <w:tc>
          <w:tcPr>
            <w:tcW w:type="dxa" w:w="2687"/>
            <w:shd w:fill="2C5F8A" w:val="clear"/>
          </w:tcPr>
          <w:p>
            <w:r>
              <w:rPr>
                <w:b/>
                <w:bCs/>
                <w:color w:val="FFFFFF"/>
                <w:sz w:val="19"/>
                <w:szCs w:val="19"/>
              </w:rPr>
              <w:t xml:space="preserve">Ubuntu Server</w:t>
            </w:r>
          </w:p>
        </w:tc>
        <w:tc>
          <w:tcPr>
            <w:tcW w:type="dxa" w:w="2687"/>
            <w:shd w:fill="2C5F8A" w:val="clear"/>
          </w:tcPr>
          <w:p>
            <w:r>
              <w:rPr>
                <w:b/>
                <w:bCs/>
                <w:color w:val="FFFFFF"/>
                <w:sz w:val="19"/>
                <w:szCs w:val="19"/>
              </w:rPr>
              <w:t xml:space="preserve">Rocky Linux</w:t>
            </w:r>
          </w:p>
        </w:tc>
      </w:tr>
      <w:tr>
        <w:tc>
          <w:tcPr>
            <w:tcW w:type="dxa" w:w="1900"/>
          </w:tcPr>
          <w:p>
            <w:r>
              <w:rPr>
                <w:b w:val="false"/>
                <w:bCs w:val="false"/>
                <w:color w:val="000000"/>
                <w:sz w:val="19"/>
                <w:szCs w:val="19"/>
              </w:rPr>
              <w:t xml:space="preserve">Licensing</w:t>
            </w:r>
          </w:p>
        </w:tc>
        <w:tc>
          <w:tcPr>
            <w:tcW w:type="dxa" w:w="2687"/>
          </w:tcPr>
          <w:p>
            <w:r>
              <w:rPr>
                <w:b w:val="false"/>
                <w:bCs w:val="false"/>
                <w:color w:val="000000"/>
                <w:sz w:val="19"/>
                <w:szCs w:val="19"/>
              </w:rPr>
              <w:t xml:space="preserve">Proprietary; paid per-core/CAL licensing (Standard/Datacenter editions).</w:t>
            </w:r>
          </w:p>
        </w:tc>
        <w:tc>
          <w:tcPr>
            <w:tcW w:type="dxa" w:w="2687"/>
          </w:tcPr>
          <w:p>
            <w:r>
              <w:rPr>
                <w:b w:val="false"/>
                <w:bCs w:val="false"/>
                <w:color w:val="000000"/>
                <w:sz w:val="19"/>
                <w:szCs w:val="19"/>
              </w:rPr>
              <w:t xml:space="preserve">Free and open-source; optional paid Ubuntu Pro support subscription.</w:t>
            </w:r>
          </w:p>
        </w:tc>
        <w:tc>
          <w:tcPr>
            <w:tcW w:type="dxa" w:w="2687"/>
          </w:tcPr>
          <w:p>
            <w:r>
              <w:rPr>
                <w:b w:val="false"/>
                <w:bCs w:val="false"/>
                <w:color w:val="000000"/>
                <w:sz w:val="19"/>
                <w:szCs w:val="19"/>
              </w:rPr>
              <w:t xml:space="preserve">Free and open-source; community-driven RHEL rebuild, no license cost.</w:t>
            </w:r>
          </w:p>
        </w:tc>
      </w:tr>
      <w:tr>
        <w:tc>
          <w:tcPr>
            <w:tcW w:type="dxa" w:w="1900"/>
          </w:tcPr>
          <w:p>
            <w:r>
              <w:rPr>
                <w:b w:val="false"/>
                <w:bCs w:val="false"/>
                <w:color w:val="000000"/>
                <w:sz w:val="19"/>
                <w:szCs w:val="19"/>
              </w:rPr>
              <w:t xml:space="preserve">User Interface</w:t>
            </w:r>
          </w:p>
        </w:tc>
        <w:tc>
          <w:tcPr>
            <w:tcW w:type="dxa" w:w="2687"/>
          </w:tcPr>
          <w:p>
            <w:r>
              <w:rPr>
                <w:b w:val="false"/>
                <w:bCs w:val="false"/>
                <w:color w:val="000000"/>
                <w:sz w:val="19"/>
                <w:szCs w:val="19"/>
              </w:rPr>
              <w:t xml:space="preserve">GUI by default (Desktop Experience) or Server Core (CLI/PowerShell).</w:t>
            </w:r>
          </w:p>
        </w:tc>
        <w:tc>
          <w:tcPr>
            <w:tcW w:type="dxa" w:w="2687"/>
          </w:tcPr>
          <w:p>
            <w:r>
              <w:rPr>
                <w:b w:val="false"/>
                <w:bCs w:val="false"/>
                <w:color w:val="000000"/>
                <w:sz w:val="19"/>
                <w:szCs w:val="19"/>
              </w:rPr>
              <w:t xml:space="preserve">CLI-first (Server edition has no GUI by default); GUI installable.</w:t>
            </w:r>
          </w:p>
        </w:tc>
        <w:tc>
          <w:tcPr>
            <w:tcW w:type="dxa" w:w="2687"/>
          </w:tcPr>
          <w:p>
            <w:r>
              <w:rPr>
                <w:b w:val="false"/>
                <w:bCs w:val="false"/>
                <w:color w:val="000000"/>
                <w:sz w:val="19"/>
                <w:szCs w:val="19"/>
              </w:rPr>
              <w:t xml:space="preserve">CLI-first; GUI available via optional packages, rarely used on servers.</w:t>
            </w:r>
          </w:p>
        </w:tc>
      </w:tr>
      <w:tr>
        <w:tc>
          <w:tcPr>
            <w:tcW w:type="dxa" w:w="1900"/>
          </w:tcPr>
          <w:p>
            <w:r>
              <w:rPr>
                <w:b w:val="false"/>
                <w:bCs w:val="false"/>
                <w:color w:val="000000"/>
                <w:sz w:val="19"/>
                <w:szCs w:val="19"/>
              </w:rPr>
              <w:t xml:space="preserve">Package Management</w:t>
            </w:r>
          </w:p>
        </w:tc>
        <w:tc>
          <w:tcPr>
            <w:tcW w:type="dxa" w:w="2687"/>
          </w:tcPr>
          <w:p>
            <w:r>
              <w:rPr>
                <w:b w:val="false"/>
                <w:bCs w:val="false"/>
                <w:color w:val="000000"/>
                <w:sz w:val="19"/>
                <w:szCs w:val="19"/>
              </w:rPr>
              <w:t xml:space="preserve">MSI/EXE installers; Windows Update; PowerShell (Install-Package, DISM).</w:t>
            </w:r>
          </w:p>
        </w:tc>
        <w:tc>
          <w:tcPr>
            <w:tcW w:type="dxa" w:w="2687"/>
          </w:tcPr>
          <w:p>
            <w:r>
              <w:rPr>
                <w:b w:val="false"/>
                <w:bCs w:val="false"/>
                <w:color w:val="000000"/>
                <w:sz w:val="19"/>
                <w:szCs w:val="19"/>
              </w:rPr>
              <w:t xml:space="preserve">APT (apt/dpkg); large Debian/Ubuntu repositories; snap packages.</w:t>
            </w:r>
          </w:p>
        </w:tc>
        <w:tc>
          <w:tcPr>
            <w:tcW w:type="dxa" w:w="2687"/>
          </w:tcPr>
          <w:p>
            <w:r>
              <w:rPr>
                <w:b w:val="false"/>
                <w:bCs w:val="false"/>
                <w:color w:val="000000"/>
                <w:sz w:val="19"/>
                <w:szCs w:val="19"/>
              </w:rPr>
              <w:t xml:space="preserve">DNF/YUM (RPM-based); tied to RHEL-compatible repositories.</w:t>
            </w:r>
          </w:p>
        </w:tc>
      </w:tr>
      <w:tr>
        <w:tc>
          <w:tcPr>
            <w:tcW w:type="dxa" w:w="1900"/>
          </w:tcPr>
          <w:p>
            <w:r>
              <w:rPr>
                <w:b w:val="false"/>
                <w:bCs w:val="false"/>
                <w:color w:val="000000"/>
                <w:sz w:val="19"/>
                <w:szCs w:val="19"/>
              </w:rPr>
              <w:t xml:space="preserve">Security</w:t>
            </w:r>
          </w:p>
        </w:tc>
        <w:tc>
          <w:tcPr>
            <w:tcW w:type="dxa" w:w="2687"/>
          </w:tcPr>
          <w:p>
            <w:r>
              <w:rPr>
                <w:b w:val="false"/>
                <w:bCs w:val="false"/>
                <w:color w:val="000000"/>
                <w:sz w:val="19"/>
                <w:szCs w:val="19"/>
              </w:rPr>
              <w:t xml:space="preserve">Windows Defender, Group Policy, BitLocker; large attack surface due to GUI/services; frequent patch cycle.</w:t>
            </w:r>
          </w:p>
        </w:tc>
        <w:tc>
          <w:tcPr>
            <w:tcW w:type="dxa" w:w="2687"/>
          </w:tcPr>
          <w:p>
            <w:r>
              <w:rPr>
                <w:b w:val="false"/>
                <w:bCs w:val="false"/>
                <w:color w:val="000000"/>
                <w:sz w:val="19"/>
                <w:szCs w:val="19"/>
              </w:rPr>
              <w:t xml:space="preserve">AppArmor, UFW firewall, regular security patches via APT; smaller attack surface headless.</w:t>
            </w:r>
          </w:p>
        </w:tc>
        <w:tc>
          <w:tcPr>
            <w:tcW w:type="dxa" w:w="2687"/>
          </w:tcPr>
          <w:p>
            <w:r>
              <w:rPr>
                <w:b w:val="false"/>
                <w:bCs w:val="false"/>
                <w:color w:val="000000"/>
                <w:sz w:val="19"/>
                <w:szCs w:val="19"/>
              </w:rPr>
              <w:t xml:space="preserve">SELinux (enabled by default), strong RHEL-derived hardening standards; favored in regulated environments.</w:t>
            </w:r>
          </w:p>
        </w:tc>
      </w:tr>
      <w:tr>
        <w:tc>
          <w:tcPr>
            <w:tcW w:type="dxa" w:w="1900"/>
          </w:tcPr>
          <w:p>
            <w:r>
              <w:rPr>
                <w:b w:val="false"/>
                <w:bCs w:val="false"/>
                <w:color w:val="000000"/>
                <w:sz w:val="19"/>
                <w:szCs w:val="19"/>
              </w:rPr>
              <w:t xml:space="preserve">Performance</w:t>
            </w:r>
          </w:p>
        </w:tc>
        <w:tc>
          <w:tcPr>
            <w:tcW w:type="dxa" w:w="2687"/>
          </w:tcPr>
          <w:p>
            <w:r>
              <w:rPr>
                <w:b w:val="false"/>
                <w:bCs w:val="false"/>
                <w:color w:val="000000"/>
                <w:sz w:val="19"/>
                <w:szCs w:val="19"/>
              </w:rPr>
              <w:t xml:space="preserve">Higher resource overhead, especially with GUI; strong for .NET/SQL Server workloads.</w:t>
            </w:r>
          </w:p>
        </w:tc>
        <w:tc>
          <w:tcPr>
            <w:tcW w:type="dxa" w:w="2687"/>
          </w:tcPr>
          <w:p>
            <w:r>
              <w:rPr>
                <w:b w:val="false"/>
                <w:bCs w:val="false"/>
                <w:color w:val="000000"/>
                <w:sz w:val="19"/>
                <w:szCs w:val="19"/>
              </w:rPr>
              <w:t xml:space="preserve">Lightweight, efficient on modest hardware; strong for web/cloud workloads.</w:t>
            </w:r>
          </w:p>
        </w:tc>
        <w:tc>
          <w:tcPr>
            <w:tcW w:type="dxa" w:w="2687"/>
          </w:tcPr>
          <w:p>
            <w:r>
              <w:rPr>
                <w:b w:val="false"/>
                <w:bCs w:val="false"/>
                <w:color w:val="000000"/>
                <w:sz w:val="19"/>
                <w:szCs w:val="19"/>
              </w:rPr>
              <w:t xml:space="preserve">Lightweight, optimized for stability over bleeding-edge performance; strong for long-lived production systems.</w:t>
            </w:r>
          </w:p>
        </w:tc>
      </w:tr>
      <w:tr>
        <w:tc>
          <w:tcPr>
            <w:tcW w:type="dxa" w:w="1900"/>
          </w:tcPr>
          <w:p>
            <w:r>
              <w:rPr>
                <w:b w:val="false"/>
                <w:bCs w:val="false"/>
                <w:color w:val="000000"/>
                <w:sz w:val="19"/>
                <w:szCs w:val="19"/>
              </w:rPr>
              <w:t xml:space="preserve">Typical Enterprise Use Cases</w:t>
            </w:r>
          </w:p>
        </w:tc>
        <w:tc>
          <w:tcPr>
            <w:tcW w:type="dxa" w:w="2687"/>
          </w:tcPr>
          <w:p>
            <w:r>
              <w:rPr>
                <w:b w:val="false"/>
                <w:bCs w:val="false"/>
                <w:color w:val="000000"/>
                <w:sz w:val="19"/>
                <w:szCs w:val="19"/>
              </w:rPr>
              <w:t xml:space="preserve">Active Directory, Exchange, SQL Server, .NET applications, internal corporate IT.</w:t>
            </w:r>
          </w:p>
        </w:tc>
        <w:tc>
          <w:tcPr>
            <w:tcW w:type="dxa" w:w="2687"/>
          </w:tcPr>
          <w:p>
            <w:r>
              <w:rPr>
                <w:b w:val="false"/>
                <w:bCs w:val="false"/>
                <w:color w:val="000000"/>
                <w:sz w:val="19"/>
                <w:szCs w:val="19"/>
              </w:rPr>
              <w:t xml:space="preserve">Web hosting, containers/Kubernetes, cloud-native apps, DevOps pipelines.</w:t>
            </w:r>
          </w:p>
        </w:tc>
        <w:tc>
          <w:tcPr>
            <w:tcW w:type="dxa" w:w="2687"/>
          </w:tcPr>
          <w:p>
            <w:r>
              <w:rPr>
                <w:b w:val="false"/>
                <w:bCs w:val="false"/>
                <w:color w:val="000000"/>
                <w:sz w:val="19"/>
                <w:szCs w:val="19"/>
              </w:rPr>
              <w:t xml:space="preserve">Enterprise servers needing RHEL compatibility without licensing cost — banking, government, regulated industries.</w:t>
            </w:r>
          </w:p>
        </w:tc>
      </w:tr>
      <w:tr>
        <w:tc>
          <w:tcPr>
            <w:tcW w:type="dxa" w:w="1900"/>
          </w:tcPr>
          <w:p>
            <w:r>
              <w:rPr>
                <w:b w:val="false"/>
                <w:bCs w:val="false"/>
                <w:color w:val="000000"/>
                <w:sz w:val="19"/>
                <w:szCs w:val="19"/>
              </w:rPr>
              <w:t xml:space="preserve">Advantages</w:t>
            </w:r>
          </w:p>
        </w:tc>
        <w:tc>
          <w:tcPr>
            <w:tcW w:type="dxa" w:w="2687"/>
          </w:tcPr>
          <w:p>
            <w:r>
              <w:rPr>
                <w:b w:val="false"/>
                <w:bCs w:val="false"/>
                <w:color w:val="000000"/>
                <w:sz w:val="19"/>
                <w:szCs w:val="19"/>
              </w:rPr>
              <w:t xml:space="preserve">Deep Microsoft ecosystem integration, familiar GUI, strong enterprise support/SLAs.</w:t>
            </w:r>
          </w:p>
        </w:tc>
        <w:tc>
          <w:tcPr>
            <w:tcW w:type="dxa" w:w="2687"/>
          </w:tcPr>
          <w:p>
            <w:r>
              <w:rPr>
                <w:b w:val="false"/>
                <w:bCs w:val="false"/>
                <w:color w:val="000000"/>
                <w:sz w:val="19"/>
                <w:szCs w:val="19"/>
              </w:rPr>
              <w:t xml:space="preserve">Huge community, frequent updates, excellent cloud/container support, free.</w:t>
            </w:r>
          </w:p>
        </w:tc>
        <w:tc>
          <w:tcPr>
            <w:tcW w:type="dxa" w:w="2687"/>
          </w:tcPr>
          <w:p>
            <w:r>
              <w:rPr>
                <w:b w:val="false"/>
                <w:bCs w:val="false"/>
                <w:color w:val="000000"/>
                <w:sz w:val="19"/>
                <w:szCs w:val="19"/>
              </w:rPr>
              <w:t xml:space="preserve">Free RHEL-compatible stability, long support lifecycle, SELinux security posture.</w:t>
            </w:r>
          </w:p>
        </w:tc>
      </w:tr>
      <w:tr>
        <w:tc>
          <w:tcPr>
            <w:tcW w:type="dxa" w:w="1900"/>
          </w:tcPr>
          <w:p>
            <w:r>
              <w:rPr>
                <w:b w:val="false"/>
                <w:bCs w:val="false"/>
                <w:color w:val="000000"/>
                <w:sz w:val="19"/>
                <w:szCs w:val="19"/>
              </w:rPr>
              <w:t xml:space="preserve">Disadvantages</w:t>
            </w:r>
          </w:p>
        </w:tc>
        <w:tc>
          <w:tcPr>
            <w:tcW w:type="dxa" w:w="2687"/>
          </w:tcPr>
          <w:p>
            <w:r>
              <w:rPr>
                <w:b w:val="false"/>
                <w:bCs w:val="false"/>
                <w:color w:val="000000"/>
                <w:sz w:val="19"/>
                <w:szCs w:val="19"/>
              </w:rPr>
              <w:t xml:space="preserve">Costly licensing, larger patch/attack surface, higher hardware requirements.</w:t>
            </w:r>
          </w:p>
        </w:tc>
        <w:tc>
          <w:tcPr>
            <w:tcW w:type="dxa" w:w="2687"/>
          </w:tcPr>
          <w:p>
            <w:r>
              <w:rPr>
                <w:b w:val="false"/>
                <w:bCs w:val="false"/>
                <w:color w:val="000000"/>
                <w:sz w:val="19"/>
                <w:szCs w:val="19"/>
              </w:rPr>
              <w:t xml:space="preserve">Shorter LTS support window than RHEL-family (5 years standard), less enterprise support without Ubuntu Pro.</w:t>
            </w:r>
          </w:p>
        </w:tc>
        <w:tc>
          <w:tcPr>
            <w:tcW w:type="dxa" w:w="2687"/>
          </w:tcPr>
          <w:p>
            <w:r>
              <w:rPr>
                <w:b w:val="false"/>
                <w:bCs w:val="false"/>
                <w:color w:val="000000"/>
                <w:sz w:val="19"/>
                <w:szCs w:val="19"/>
              </w:rPr>
              <w:t xml:space="preserve">Smaller community than Ubuntu/Debian; fewer prebuilt packages/tutorials.</w:t>
            </w:r>
          </w:p>
        </w:tc>
      </w:tr>
    </w:tbl>
    <w:p>
      <w:pPr>
        <w:pStyle w:val="Heading1"/>
        <w:spacing w:after="150" w:before="300"/>
      </w:pPr>
      <w:r>
        <w:t xml:space="preserve">Discussion</w:t>
      </w:r>
    </w:p>
    <w:p>
      <w:pPr>
        <w:spacing w:after="160"/>
      </w:pPr>
      <w:r>
        <w:rPr>
          <w:sz w:val="22"/>
          <w:szCs w:val="22"/>
        </w:rPr>
        <w:t xml:space="preserve">These three operating systems represent the main choices a Junior System Administrator will encounter when deploying enterprise servers, and each fits a different set of priorities.</w:t>
      </w:r>
    </w:p>
    <w:p>
      <w:pPr>
        <w:spacing w:after="160"/>
      </w:pPr>
      <w:r>
        <w:rPr>
          <w:sz w:val="22"/>
          <w:szCs w:val="22"/>
        </w:rPr>
        <w:t xml:space="preserve">Windows Server is the natural choice when an organization is already built around Microsoft technologies — Active Directory for identity management, Exchange for email, SQL Server for databases, or .NET applications. Its GUI lowers the learning curve for administrators coming from desktop Windows, and Microsoft's enterprise support contracts appeal to organizations that want guaranteed SLAs. The trade-off is cost: per-core and CAL licensing adds up quickly at scale, and the larger default footprint (especially with Desktop Experience installed) means more services running, more patches, and a larger attack surface to manage.</w:t>
      </w:r>
    </w:p>
    <w:p>
      <w:pPr>
        <w:spacing w:after="160"/>
      </w:pPr>
      <w:r>
        <w:rPr>
          <w:sz w:val="22"/>
          <w:szCs w:val="22"/>
        </w:rPr>
        <w:t xml:space="preserve">Ubuntu Server has become the default choice for cloud-native and DevOps-oriented workloads. It is free, has an enormous community and package ecosystem via APT, and is the base image of choice on most major cloud providers, making it a natural fit for web hosting, containerized applications, and Kubernetes clusters — exactly the role described in this project's scenario for ABC Startup Solutions. Its main limitation relative to Rocky Linux is a shorter standard LTS support window (5 years, extendable via a paid Ubuntu Pro subscription) and less formal enterprise support unless that subscription is purchased.</w:t>
      </w:r>
    </w:p>
    <w:p>
      <w:pPr>
        <w:spacing w:after="160"/>
      </w:pPr>
      <w:r>
        <w:rPr>
          <w:sz w:val="22"/>
          <w:szCs w:val="22"/>
        </w:rPr>
        <w:t xml:space="preserve">Rocky Linux exists specifically to offer RHEL (Red Hat Enterprise Linux) compatibility without RHEL's licensing cost, following the same lineage as the now-restricted CentOS. It is popular in regulated industries — banking, healthcare, government — where SELinux's mandatory access controls and a long, stable support lifecycle matter more than having the newest packages. Its smaller community compared to Ubuntu/Debian means fewer tutorials and third-party packages, but its RPM/DNF tooling and RHEL compatibility make it straightforward to adopt in shops that already standardize on that ecosystem.</w:t>
      </w:r>
    </w:p>
    <w:p>
      <w:pPr>
        <w:spacing w:after="160"/>
      </w:pPr>
      <w:r>
        <w:rPr>
          <w:sz w:val="22"/>
          <w:szCs w:val="22"/>
        </w:rPr>
        <w:t xml:space="preserve">For a startup building its first Linux server for file sharing, remote administration, database hosting, web hosting, and internal services — as described in this project's scenario — Ubuntu Server is the pragmatic default: no licensing cost, strong documentation, and broad compatibility with modern DevOps tooling. Windows Server would only make sense if the company's applications specifically require the Microsoft stack, and Rocky Linux would be the stronger choice if long-term stability and RHEL compatibility outweighed community size and package freshness.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2026-08-14T14:49:38.145Z</dcterms:created>
  <dcterms:modified xsi:type="dcterms:W3CDTF">2026-08-14T14:49:38.145Z</dcterms:modified>
</cp:coreProperties>
</file>

<file path=docProps/custom.xml><?xml version="1.0" encoding="utf-8"?>
<Properties xmlns="http://schemas.openxmlformats.org/officeDocument/2006/custom-properties" xmlns:vt="http://schemas.openxmlformats.org/officeDocument/2006/docPropsVTypes"/>
</file>