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Credit Card Fraud Analysis</w:t>
      </w:r>
    </w:p>
    <w:p>
      <w:pPr>
        <w:jc w:val="center"/>
      </w:pPr>
      <w:r>
        <w:rPr>
          <w:b/>
          <w:sz w:val="32"/>
        </w:rPr>
        <w:t>Project Report</w:t>
      </w:r>
    </w:p>
    <w:p>
      <w:pPr>
        <w:jc w:val="center"/>
      </w:pPr>
      <w:r>
        <w:t>Exploratory analysis of transaction risk, card-not-present fraud, and fraud concentration using Python</w:t>
      </w:r>
    </w:p>
    <w:p/>
    <w:p>
      <w:pPr>
        <w:jc w:val="center"/>
      </w:pPr>
      <w:r>
        <w:rPr>
          <w:i/>
        </w:rPr>
        <w:t>Prepared for GitHub portfolio presentation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complete exploratory analysis of a realistic synthetic credit card transaction dataset containing 50,500 raw records. After cleaning, 50,000 records remained for analysis, with 500 duplicate rows removed and 7,284 missing cells imputed or resolved.</w:t>
      </w:r>
    </w:p>
    <w:p>
      <w:r>
        <w:t>The overall fraud rate is 3.12%, but fraud is not evenly distributed across the portfolio. Online transactions, card-not-present transactions, and high-velocity transactions are significantly more likely to be fraudulent. A targeted high-risk segment accounts for only 19.06% of all transactions but 52.72% of fraud cases.</w:t>
      </w:r>
    </w:p>
    <w:p>
      <w:r>
        <w:t>The main business conclusion is that fraud prevention should focus on transaction context, channel risk, merchant category, and velocity-based monitoring rather than relying only on transaction amount.</w:t>
      </w:r>
    </w:p>
    <w:p>
      <w:pPr>
        <w:pStyle w:val="Heading1"/>
      </w:pPr>
      <w:r>
        <w:t>2. Dataset Overview</w:t>
      </w:r>
    </w:p>
    <w:p>
      <w:r>
        <w:t>The dataset simulates common fraud-detection functions in a financial organization and includes transaction-level, customer-level, and channel-level attributes.</w:t>
      </w:r>
    </w:p>
    <w:p>
      <w:pPr>
        <w:pStyle w:val="ListBullet"/>
      </w:pPr>
      <w:r>
        <w:t>TransactionID, TransactionDate, TransactionHour</w:t>
      </w:r>
    </w:p>
    <w:p>
      <w:pPr>
        <w:pStyle w:val="ListBullet"/>
      </w:pPr>
      <w:r>
        <w:t>CardType, MerchantCategory, TransactionChannel, Country, DeviceType</w:t>
      </w:r>
    </w:p>
    <w:p>
      <w:pPr>
        <w:pStyle w:val="ListBullet"/>
      </w:pPr>
      <w:r>
        <w:t>Amount, CreditLimit, UtilizationRatio, AvgTxnAmount30d</w:t>
      </w:r>
    </w:p>
    <w:p>
      <w:pPr>
        <w:pStyle w:val="ListBullet"/>
      </w:pPr>
      <w:r>
        <w:t>CustomerAge, CustomerTenureMonths, TransactionsLast24h</w:t>
      </w:r>
    </w:p>
    <w:p>
      <w:pPr>
        <w:pStyle w:val="ListBullet"/>
      </w:pPr>
      <w:r>
        <w:t>IsInternational, IsWeekend, CardPresent, FraudFlag</w:t>
      </w:r>
    </w:p>
    <w:p>
      <w:r>
        <w:t>The analysis spans the years 2021–2024 and includes 4 transaction channels, 12 merchant categories, 10 transaction countries, and 4 card types.</w:t>
      </w:r>
    </w:p>
    <w:p>
      <w:pPr>
        <w:pStyle w:val="Heading1"/>
      </w:pPr>
      <w:r>
        <w:t>3. Methodology</w:t>
      </w:r>
    </w:p>
    <w:p>
      <w:pPr>
        <w:pStyle w:val="ListBullet"/>
      </w:pPr>
      <w:r>
        <w:t>Load the raw CSV dataset.</w:t>
      </w:r>
    </w:p>
    <w:p>
      <w:pPr>
        <w:pStyle w:val="ListBullet"/>
      </w:pPr>
      <w:r>
        <w:t>Inspect the structure, missing values, and duplicate rows.</w:t>
      </w:r>
    </w:p>
    <w:p>
      <w:pPr>
        <w:pStyle w:val="ListBullet"/>
      </w:pPr>
      <w:r>
        <w:t>Convert transaction dates to datetime format.</w:t>
      </w:r>
    </w:p>
    <w:p>
      <w:pPr>
        <w:pStyle w:val="ListBullet"/>
      </w:pPr>
      <w:r>
        <w:t>Impute missing categorical values with the mode and missing numeric values with the median.</w:t>
      </w:r>
    </w:p>
    <w:p>
      <w:pPr>
        <w:pStyle w:val="ListBullet"/>
      </w:pPr>
      <w:r>
        <w:t>Remove duplicate rows.</w:t>
      </w:r>
    </w:p>
    <w:p>
      <w:pPr>
        <w:pStyle w:val="ListBullet"/>
      </w:pPr>
      <w:r>
        <w:t>Create derived fields such as fraud labels, age bands, amount bands, and high-risk segment flags.</w:t>
      </w:r>
    </w:p>
    <w:p>
      <w:pPr>
        <w:pStyle w:val="ListBullet"/>
      </w:pPr>
      <w:r>
        <w:t>Perform exploratory analysis using tables and charts.</w:t>
      </w:r>
    </w:p>
    <w:p>
      <w:pPr>
        <w:pStyle w:val="ListBullet"/>
      </w:pPr>
      <w:r>
        <w:t>Interpret the results and develop practical recommendations.</w:t>
      </w:r>
    </w:p>
    <w:p>
      <w:pPr>
        <w:pStyle w:val="Heading1"/>
      </w:pPr>
      <w:r>
        <w:t>4. Data Cleaning</w:t>
      </w:r>
    </w:p>
    <w:p>
      <w:r>
        <w:t>The cleaning process improved data quality without changing the core business meaning of the dataset.</w:t>
      </w:r>
    </w:p>
    <w:p>
      <w:pPr>
        <w:pStyle w:val="ListBullet"/>
      </w:pPr>
      <w:r>
        <w:t>TransactionDate was converted to datetime.</w:t>
      </w:r>
    </w:p>
    <w:p>
      <w:pPr>
        <w:pStyle w:val="ListBullet"/>
      </w:pPr>
      <w:r>
        <w:t>Categorical missing values were filled with the most frequent category.</w:t>
      </w:r>
    </w:p>
    <w:p>
      <w:pPr>
        <w:pStyle w:val="ListBullet"/>
      </w:pPr>
      <w:r>
        <w:t>Numeric missing values were filled with the median value.</w:t>
      </w:r>
    </w:p>
    <w:p>
      <w:pPr>
        <w:pStyle w:val="ListBullet"/>
      </w:pPr>
      <w:r>
        <w:t>500 duplicate rows were removed.</w:t>
      </w:r>
    </w:p>
    <w:p>
      <w:pPr>
        <w:pStyle w:val="ListBullet"/>
      </w:pPr>
      <w:r>
        <w:t>Derived fields were created to support segmentation and interpretation.</w:t>
      </w:r>
    </w:p>
    <w:p>
      <w:r>
        <w:t>The final cleaned dataset contains 50,000 unique records and no duplicate rows.</w:t>
      </w:r>
    </w:p>
    <w:p>
      <w:pPr>
        <w:pStyle w:val="Heading1"/>
      </w:pPr>
      <w:r>
        <w:t>5. Key Project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Raw records</w:t>
            </w:r>
          </w:p>
        </w:tc>
        <w:tc>
          <w:tcPr>
            <w:tcW w:type="dxa" w:w="5040"/>
          </w:tcPr>
          <w:p>
            <w:r>
              <w:t>50,500</w:t>
            </w:r>
          </w:p>
        </w:tc>
      </w:tr>
      <w:tr>
        <w:tc>
          <w:tcPr>
            <w:tcW w:type="dxa" w:w="5040"/>
          </w:tcPr>
          <w:p>
            <w:r>
              <w:t>Cleaned records</w:t>
            </w:r>
          </w:p>
        </w:tc>
        <w:tc>
          <w:tcPr>
            <w:tcW w:type="dxa" w:w="5040"/>
          </w:tcPr>
          <w:p>
            <w:r>
              <w:t>50,000</w:t>
            </w:r>
          </w:p>
        </w:tc>
      </w:tr>
      <w:tr>
        <w:tc>
          <w:tcPr>
            <w:tcW w:type="dxa" w:w="5040"/>
          </w:tcPr>
          <w:p>
            <w:r>
              <w:t>Duplicates removed</w:t>
            </w:r>
          </w:p>
        </w:tc>
        <w:tc>
          <w:tcPr>
            <w:tcW w:type="dxa" w:w="5040"/>
          </w:tcPr>
          <w:p>
            <w:r>
              <w:t>500</w:t>
            </w:r>
          </w:p>
        </w:tc>
      </w:tr>
      <w:tr>
        <w:tc>
          <w:tcPr>
            <w:tcW w:type="dxa" w:w="5040"/>
          </w:tcPr>
          <w:p>
            <w:r>
              <w:t>Missing cells in raw data</w:t>
            </w:r>
          </w:p>
        </w:tc>
        <w:tc>
          <w:tcPr>
            <w:tcW w:type="dxa" w:w="5040"/>
          </w:tcPr>
          <w:p>
            <w:r>
              <w:t>7,284</w:t>
            </w:r>
          </w:p>
        </w:tc>
      </w:tr>
      <w:tr>
        <w:tc>
          <w:tcPr>
            <w:tcW w:type="dxa" w:w="5040"/>
          </w:tcPr>
          <w:p>
            <w:r>
              <w:t>Overall fraud rate</w:t>
            </w:r>
          </w:p>
        </w:tc>
        <w:tc>
          <w:tcPr>
            <w:tcW w:type="dxa" w:w="5040"/>
          </w:tcPr>
          <w:p>
            <w:r>
              <w:t>3.12%</w:t>
            </w:r>
          </w:p>
        </w:tc>
      </w:tr>
      <w:tr>
        <w:tc>
          <w:tcPr>
            <w:tcW w:type="dxa" w:w="5040"/>
          </w:tcPr>
          <w:p>
            <w:r>
              <w:t>Online fraud rate</w:t>
            </w:r>
          </w:p>
        </w:tc>
        <w:tc>
          <w:tcPr>
            <w:tcW w:type="dxa" w:w="5040"/>
          </w:tcPr>
          <w:p>
            <w:r>
              <w:t>7.31%</w:t>
            </w:r>
          </w:p>
        </w:tc>
      </w:tr>
      <w:tr>
        <w:tc>
          <w:tcPr>
            <w:tcW w:type="dxa" w:w="5040"/>
          </w:tcPr>
          <w:p>
            <w:r>
              <w:t>Card-not-present fraud rate</w:t>
            </w:r>
          </w:p>
        </w:tc>
        <w:tc>
          <w:tcPr>
            <w:tcW w:type="dxa" w:w="5040"/>
          </w:tcPr>
          <w:p>
            <w:r>
              <w:t>5.36%</w:t>
            </w:r>
          </w:p>
        </w:tc>
      </w:tr>
      <w:tr>
        <w:tc>
          <w:tcPr>
            <w:tcW w:type="dxa" w:w="5040"/>
          </w:tcPr>
          <w:p>
            <w:r>
              <w:t>High-risk share of transactions</w:t>
            </w:r>
          </w:p>
        </w:tc>
        <w:tc>
          <w:tcPr>
            <w:tcW w:type="dxa" w:w="5040"/>
          </w:tcPr>
          <w:p>
            <w:r>
              <w:t>19.06%</w:t>
            </w:r>
          </w:p>
        </w:tc>
      </w:tr>
      <w:tr>
        <w:tc>
          <w:tcPr>
            <w:tcW w:type="dxa" w:w="5040"/>
          </w:tcPr>
          <w:p>
            <w:r>
              <w:t>High-risk share of fraud</w:t>
            </w:r>
          </w:p>
        </w:tc>
        <w:tc>
          <w:tcPr>
            <w:tcW w:type="dxa" w:w="5040"/>
          </w:tcPr>
          <w:p>
            <w:r>
              <w:t>52.72%</w:t>
            </w:r>
          </w:p>
        </w:tc>
      </w:tr>
      <w:tr>
        <w:tc>
          <w:tcPr>
            <w:tcW w:type="dxa" w:w="5040"/>
          </w:tcPr>
          <w:p>
            <w:r>
              <w:t>Average amount</w:t>
            </w:r>
          </w:p>
        </w:tc>
        <w:tc>
          <w:tcPr>
            <w:tcW w:type="dxa" w:w="5040"/>
          </w:tcPr>
          <w:p>
            <w:r>
              <w:t>$38.06</w:t>
            </w:r>
          </w:p>
        </w:tc>
      </w:tr>
      <w:tr>
        <w:tc>
          <w:tcPr>
            <w:tcW w:type="dxa" w:w="5040"/>
          </w:tcPr>
          <w:p>
            <w:r>
              <w:t>Average credit limit</w:t>
            </w:r>
          </w:p>
        </w:tc>
        <w:tc>
          <w:tcPr>
            <w:tcW w:type="dxa" w:w="5040"/>
          </w:tcPr>
          <w:p>
            <w:r>
              <w:t>$9,193.69</w:t>
            </w:r>
          </w:p>
        </w:tc>
      </w:tr>
      <w:tr>
        <w:tc>
          <w:tcPr>
            <w:tcW w:type="dxa" w:w="5040"/>
          </w:tcPr>
          <w:p>
            <w:r>
              <w:t>Average tenure</w:t>
            </w:r>
          </w:p>
        </w:tc>
        <w:tc>
          <w:tcPr>
            <w:tcW w:type="dxa" w:w="5040"/>
          </w:tcPr>
          <w:p>
            <w:r>
              <w:t>47.38 months</w:t>
            </w:r>
          </w:p>
        </w:tc>
      </w:tr>
      <w:tr>
        <w:tc>
          <w:tcPr>
            <w:tcW w:type="dxa" w:w="5040"/>
          </w:tcPr>
          <w:p>
            <w:r>
              <w:t>Average age</w:t>
            </w:r>
          </w:p>
        </w:tc>
        <w:tc>
          <w:tcPr>
            <w:tcW w:type="dxa" w:w="5040"/>
          </w:tcPr>
          <w:p>
            <w:r>
              <w:t>48.94 years</w:t>
            </w:r>
          </w:p>
        </w:tc>
      </w:tr>
    </w:tbl>
    <w:p>
      <w:pPr>
        <w:pStyle w:val="Heading1"/>
      </w:pPr>
      <w:r>
        <w:t>6. Exploratory Data Analysis</w:t>
      </w:r>
    </w:p>
    <w:p>
      <w:r>
        <w:t>The EDA focused on understanding how fraud varies by channel, merchant category, card presence, transaction velocity, amount, and time of day.</w:t>
      </w:r>
    </w:p>
    <w:p>
      <w:r>
        <w:rPr>
          <w:b/>
        </w:rPr>
        <w:t>Transaction outcome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663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Fraud rate by transaction channel</w:t>
      </w:r>
    </w:p>
    <w:p>
      <w:r>
        <w:drawing>
          <wp:inline xmlns:a="http://schemas.openxmlformats.org/drawingml/2006/main" xmlns:pic="http://schemas.openxmlformats.org/drawingml/2006/picture">
            <wp:extent cx="5943600" cy="343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_by_cha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Fraud rate by merchant category</w:t>
      </w:r>
    </w:p>
    <w:p>
      <w:r>
        <w:drawing>
          <wp:inline xmlns:a="http://schemas.openxmlformats.org/drawingml/2006/main" xmlns:pic="http://schemas.openxmlformats.org/drawingml/2006/picture">
            <wp:extent cx="5943600" cy="3713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_by_merchant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2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Fraud rate by card presence</w:t>
      </w:r>
    </w:p>
    <w:p>
      <w:r>
        <w:drawing>
          <wp:inline xmlns:a="http://schemas.openxmlformats.org/drawingml/2006/main" xmlns:pic="http://schemas.openxmlformats.org/drawingml/2006/picture">
            <wp:extent cx="5943600" cy="3665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_by_card_pres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Fraud rate by transaction velocity</w:t>
      </w:r>
    </w:p>
    <w:p>
      <w:r>
        <w:drawing>
          <wp:inline xmlns:a="http://schemas.openxmlformats.org/drawingml/2006/main" xmlns:pic="http://schemas.openxmlformats.org/drawingml/2006/picture">
            <wp:extent cx="5943600" cy="3346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_by_velocity_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7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Fraud rate by amount band</w:t>
      </w:r>
    </w:p>
    <w:p>
      <w:r>
        <w:drawing>
          <wp:inline xmlns:a="http://schemas.openxmlformats.org/drawingml/2006/main" xmlns:pic="http://schemas.openxmlformats.org/drawingml/2006/picture">
            <wp:extent cx="5943600" cy="33485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_by_amount_b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Correlation heatmap</w:t>
      </w:r>
    </w:p>
    <w:p>
      <w:r>
        <w:drawing>
          <wp:inline xmlns:a="http://schemas.openxmlformats.org/drawingml/2006/main" xmlns:pic="http://schemas.openxmlformats.org/drawingml/2006/picture">
            <wp:extent cx="5943600" cy="49911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Monthly fraud rate trend</w:t>
      </w:r>
    </w:p>
    <w:p>
      <w:r>
        <w:drawing>
          <wp:inline xmlns:a="http://schemas.openxmlformats.org/drawingml/2006/main" xmlns:pic="http://schemas.openxmlformats.org/drawingml/2006/picture">
            <wp:extent cx="5943600" cy="26773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fraud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Top fraud drivers</w:t>
      </w:r>
    </w:p>
    <w:p>
      <w:r>
        <w:drawing>
          <wp:inline xmlns:a="http://schemas.openxmlformats.org/drawingml/2006/main" xmlns:pic="http://schemas.openxmlformats.org/drawingml/2006/picture">
            <wp:extent cx="5943600" cy="35065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fraud_driv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Key Findings</w:t>
      </w:r>
    </w:p>
    <w:p>
      <w:pPr>
        <w:pStyle w:val="ListBullet"/>
      </w:pPr>
      <w:r>
        <w:t>Overall fraud rate is 3.12%.</w:t>
      </w:r>
    </w:p>
    <w:p>
      <w:pPr>
        <w:pStyle w:val="ListBullet"/>
      </w:pPr>
      <w:r>
        <w:t>Online transactions have a fraud rate of 7.31%.</w:t>
      </w:r>
    </w:p>
    <w:p>
      <w:pPr>
        <w:pStyle w:val="ListBullet"/>
      </w:pPr>
      <w:r>
        <w:t>Card-not-present transactions have a fraud rate of 5.36%.</w:t>
      </w:r>
    </w:p>
    <w:p>
      <w:pPr>
        <w:pStyle w:val="ListBullet"/>
      </w:pPr>
      <w:r>
        <w:t>High-risk transactions account for 19.06% of transactions but 52.72% of fraud.</w:t>
      </w:r>
    </w:p>
    <w:p>
      <w:pPr>
        <w:pStyle w:val="ListBullet"/>
      </w:pPr>
      <w:r>
        <w:t>Fraud rises sharply with transaction velocity.</w:t>
      </w:r>
    </w:p>
    <w:p>
      <w:pPr>
        <w:pStyle w:val="ListBullet"/>
      </w:pPr>
      <w:r>
        <w:t>High-risk merchant categories include electronics, travel, gaming, and luxury.</w:t>
      </w:r>
    </w:p>
    <w:p>
      <w:pPr>
        <w:pStyle w:val="Heading1"/>
      </w:pPr>
      <w:r>
        <w:t>8. Problem Identification</w:t>
      </w:r>
    </w:p>
    <w:p>
      <w:r>
        <w:t>Fraud is concentrated in online, card-not-present, international, and high-velocity transactions. This indicates that the organization is exposed to a concentrated risk segment that requires stronger real-time monitoring and step-up controls.</w:t>
      </w:r>
    </w:p>
    <w:p>
      <w:pPr>
        <w:pStyle w:val="Heading1"/>
      </w:pPr>
      <w:r>
        <w:t>9. Root Cause Analysis</w:t>
      </w:r>
    </w:p>
    <w:p>
      <w:pPr>
        <w:pStyle w:val="ListBullet"/>
      </w:pPr>
      <w:r>
        <w:t>Online and mobile channels are more exposed to fraud than in-store transactions.</w:t>
      </w:r>
    </w:p>
    <w:p>
      <w:pPr>
        <w:pStyle w:val="ListBullet"/>
      </w:pPr>
      <w:r>
        <w:t>Card-not-present transactions have substantially higher fraud rates.</w:t>
      </w:r>
    </w:p>
    <w:p>
      <w:pPr>
        <w:pStyle w:val="ListBullet"/>
      </w:pPr>
      <w:r>
        <w:t>International transactions increase fraud risk.</w:t>
      </w:r>
    </w:p>
    <w:p>
      <w:pPr>
        <w:pStyle w:val="ListBullet"/>
      </w:pPr>
      <w:r>
        <w:t>Multiple transactions in a short window are a strong warning sign.</w:t>
      </w:r>
    </w:p>
    <w:p>
      <w:pPr>
        <w:pStyle w:val="ListBullet"/>
      </w:pPr>
      <w:r>
        <w:t>High-risk merchant categories such as travel, gaming, electronics, and luxury contribute disproportionately to fraud.</w:t>
      </w:r>
    </w:p>
    <w:p>
      <w:pPr>
        <w:pStyle w:val="Heading1"/>
      </w:pPr>
      <w:r>
        <w:t>10. Recommendations</w:t>
      </w:r>
    </w:p>
    <w:p>
      <w:pPr>
        <w:pStyle w:val="ListBullet"/>
      </w:pPr>
      <w:r>
        <w:t>Tighten controls for card-not-present and international transactions.</w:t>
      </w:r>
    </w:p>
    <w:p>
      <w:pPr>
        <w:pStyle w:val="ListBullet"/>
      </w:pPr>
      <w:r>
        <w:t>Add step-up authentication for high-risk online and mobile purchases.</w:t>
      </w:r>
    </w:p>
    <w:p>
      <w:pPr>
        <w:pStyle w:val="ListBullet"/>
      </w:pPr>
      <w:r>
        <w:t>Monitor velocity spikes and repeated attempts in short time windows.</w:t>
      </w:r>
    </w:p>
    <w:p>
      <w:pPr>
        <w:pStyle w:val="ListBullet"/>
      </w:pPr>
      <w:r>
        <w:t>Apply stricter rules for high-risk merchant categories.</w:t>
      </w:r>
    </w:p>
    <w:p>
      <w:pPr>
        <w:pStyle w:val="ListBullet"/>
      </w:pPr>
      <w:r>
        <w:t>Increase alerts for night-time and foreign card activity.</w:t>
      </w:r>
    </w:p>
    <w:p>
      <w:pPr>
        <w:pStyle w:val="Heading1"/>
      </w:pPr>
      <w:r>
        <w:t>11. Conclusion</w:t>
      </w:r>
    </w:p>
    <w:p>
      <w:r>
        <w:t>This project shows that credit card fraud is not evenly distributed across the portfolio. The most effective response is a targeted fraud strategy focused on transaction context, channel risk, merchant category, and transaction velocity.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