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2410C"/>
          <w:sz w:val="18"/>
          <w:szCs w:val="18"/>
        </w:rPr>
        <w:t xml:space="preserve">BITS Pilani WILP  |  AIMLCZG523 Machine Learning Operations  |  Assignment 01</w:t>
      </w:r>
    </w:p>
    <w:p>
      <w:pPr>
        <w:spacing w:after="60"/>
      </w:pPr>
      <w:r>
        <w:rPr>
          <w:rFonts w:ascii="Arial" w:cs="Arial" w:eastAsia="Arial" w:hAnsi="Arial"/>
          <w:b/>
          <w:bCs/>
          <w:color w:val="1F2933"/>
          <w:sz w:val="40"/>
          <w:szCs w:val="40"/>
        </w:rPr>
        <w:t xml:space="preserve">Heart Disease Risk Prediction: an End-to-End MLOps Pipeline</w:t>
      </w:r>
    </w:p>
    <w:p>
      <w:pPr>
        <w:spacing w:after="120"/>
      </w:pPr>
      <w:r>
        <w:rPr>
          <w:rFonts w:ascii="Arial" w:cs="Arial" w:eastAsia="Arial" w:hAnsi="Arial"/>
          <w:color w:val="64748B"/>
          <w:sz w:val="22"/>
          <w:szCs w:val="22"/>
        </w:rPr>
        <w:t xml:space="preserve">From UCI data to a monitored, containerised API on Kubernetes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138"/>
        <w:gridCol w:w="2200"/>
      </w:tblGrid>
      <w:tr>
        <w:trPr>
          <w:cantSplit/>
          <w:tblHeader/>
        </w:trPr>
        <w:tc>
          <w:tcPr>
            <w:tcW w:type="dxa" w:w="3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Student</w:t>
            </w:r>
          </w:p>
        </w:tc>
        <w:tc>
          <w:tcPr>
            <w:tcW w:type="dxa" w:w="41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Repository</w:t>
            </w:r>
          </w:p>
        </w:tc>
        <w:tc>
          <w:tcPr>
            <w:tcW w:type="dxa" w:w="22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Submission</w:t>
            </w:r>
          </w:p>
        </w:tc>
      </w:tr>
      <w:tr>
        <w:trPr>
          <w:cantSplit/>
          <w:tblHeader w:val="off"/>
        </w:trPr>
        <w:tc>
          <w:tcPr>
            <w:tcW w:type="dxa" w:w="3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Prince Sharma  |  BITS ID: 2025AE05605</w:t>
            </w:r>
          </w:p>
        </w:tc>
        <w:tc>
          <w:tcPr>
            <w:tcW w:type="dxa" w:w="41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https://github.com/princevashist1988/ML-Ops-Heart-Disease</w:t>
            </w:r>
          </w:p>
        </w:tc>
        <w:tc>
          <w:tcPr>
            <w:tcW w:type="dxa" w:w="22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20 October 2026</w:t>
            </w:r>
          </w:p>
        </w:tc>
      </w:tr>
    </w:tbl>
    <w:p>
      <w:pPr>
        <w:spacing w:after="60"/>
      </w:pPr>
    </w:p>
    <w:p>
      <w:pPr>
        <w:pStyle w:val="Heading1"/>
        <w:spacing w:after="90" w:before="200"/>
      </w:pPr>
      <w:r>
        <w:rPr>
          <w:rFonts w:ascii="Arial" w:cs="Arial" w:eastAsia="Arial" w:hAnsi="Arial"/>
        </w:rPr>
        <w:t xml:space="preserve">Summary</w:t>
      </w:r>
    </w:p>
    <w:p>
      <w:pPr>
        <w:spacing w:after="90" w:line="264"/>
        <w:jc w:val="both"/>
      </w:pPr>
      <w:r>
        <w:rPr>
          <w:rFonts w:ascii="Arial" w:cs="Arial" w:eastAsia="Arial" w:hAnsi="Arial"/>
        </w:rPr>
        <w:t xml:space="preserve">A binary classifier predicts the presence of heart disease (more than 50% narrowing of a major vessel) from 13 routine clinical attributes in the UCI Cleveland dataset, and is delivered as a production-style service. The pipeline covers checksum-verified data acquisition, exploratory analysis, a single leakage-free scikit-learn pipeline, a tracked hyper-parameter search over three model families (88 candidates, all logged to MLflow), a registered and packaged champion model, a quality-gated GitHub Actions workflow, a hardened Docker image, Kubernetes manifests plus a Helm chart, and Prometheus/Grafana monitoring with request logging and an input-drift signal. Every stage was executed end to end; the screenshots in this report are from those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cantSplit/>
          <w:tblHeader/>
        </w:trPr>
        <w:tc>
          <w:tcPr>
            <w:tcW w:type="dxa" w:w="3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Result</w:t>
            </w:r>
          </w:p>
        </w:tc>
        <w:tc>
          <w:tcPr>
            <w:tcW w:type="dxa" w:w="57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Value</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Champion model</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Logistic regression (L2, C = 0.1, balanced class weights)</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Cross-validated ROC-AUC (5-fold x 3 repeats)</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0.899 +/- 0.039</w:t>
            </w:r>
            <w:r>
              <w:rPr>
                <w:rFonts w:ascii="Arial" w:cs="Arial" w:eastAsia="Arial" w:hAnsi="Arial"/>
                <w:b w:val="false"/>
                <w:bCs w:val="false"/>
                <w:color w:val="1F2933"/>
                <w:sz w:val="17"/>
                <w:szCs w:val="17"/>
              </w:rPr>
              <w:t xml:space="preserve">  (random forest 0.894, gradient boosting 0.877)</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Hold-out, 61 patients, threshold 0.31</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0.961 | recall 1.00 | precision 0.72 | accuracy 0.82</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External validation, Hungarian site (293)</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0.894 | recall 0.80 | precision 0.75</w:t>
            </w:r>
          </w:p>
        </w:tc>
      </w:tr>
      <w:tr>
        <w:trPr>
          <w:cantSplit/>
          <w:tblHeader w:val="off"/>
        </w:trPr>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Engineering quality</w:t>
            </w:r>
          </w:p>
        </w:tc>
        <w:tc>
          <w:tcPr>
            <w:tcW w:type="dxa" w:w="5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57 unit tests, 91% coverage, lint-clean; GitHub Actions 5/5 jobs green; reproducible from a clean checkout</w:t>
            </w:r>
          </w:p>
        </w:tc>
      </w:tr>
      <w:tr>
        <w:trPr>
          <w:cantSplit/>
          <w:tblHeader w:val="off"/>
        </w:trPr>
        <w:tc>
          <w:tcPr>
            <w:tcW w:type="dxa" w:w="3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Serving (Kubernetes, live traffic)</w:t>
            </w:r>
          </w:p>
        </w:tc>
        <w:tc>
          <w:tcPr>
            <w:tcW w:type="dxa" w:w="5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p50 ~15 ms, p95 ~40 ms; rolling update with 500 requests, 0 failed</w:t>
            </w:r>
          </w:p>
        </w:tc>
      </w:tr>
    </w:tbl>
    <w:p>
      <w:pPr>
        <w:pStyle w:val="Heading2"/>
        <w:spacing w:after="60" w:before="130"/>
      </w:pPr>
      <w:r>
        <w:rPr>
          <w:rFonts w:ascii="Arial" w:cs="Arial" w:eastAsia="Arial" w:hAnsi="Arial"/>
        </w:rPr>
        <w:t xml:space="preserve">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4038"/>
      </w:tblGrid>
      <w:tr>
        <w:trPr>
          <w:cantSplit/>
          <w:tblHeader/>
        </w:trPr>
        <w:tc>
          <w:tcPr>
            <w:tcW w:type="dxa" w:w="1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Decision</w:t>
            </w:r>
          </w:p>
        </w:tc>
        <w:tc>
          <w:tcPr>
            <w:tcW w:type="dxa" w:w="37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Choice</w:t>
            </w:r>
          </w:p>
        </w:tc>
        <w:tc>
          <w:tcPr>
            <w:tcW w:type="dxa" w:w="40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Reason</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Missing values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Imputed inside the pipeline, fitted on training folds only</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No leakage; identical logic at inference; API accepts missing ca/thal</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ranking</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under repeated stratified 5-fold CV (x3)</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Threshold-free; one split of 242 rows varies by several AUC points</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Hold-out set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Used for reporting only, never for selection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Selecting on the test set inflates the reported estimate</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Decision threshold</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Max F2 on out-of-fold training predictions (0.31)</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Screening: a missed case costs more than a follow-up test</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Engineered features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Toggled as a grid parameter (ablation)</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Kept only if CV improves - it did not for the champion</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Data integrity</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Fallback sources accepted only with matching SHA-256</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Training data can never change silently</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files</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skops with a type allow-list; joblib for the API</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Loading a tampered artefact cannot execute code</w:t>
            </w:r>
          </w:p>
        </w:tc>
      </w:tr>
      <w:tr>
        <w:trPr>
          <w:cantSplit/>
          <w:tblHeader w:val="off"/>
        </w:trPr>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Serving scale-out</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One uvicorn worker per pod; replicas + HPA</w:t>
            </w:r>
          </w:p>
        </w:tc>
        <w:tc>
          <w:tcPr>
            <w:tcW w:type="dxa" w:w="4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Exact per-process metrics; Kubernetes-native scaling</w:t>
            </w:r>
          </w:p>
        </w:tc>
      </w:tr>
      <w:tr>
        <w:trPr>
          <w:cantSplit/>
          <w:tblHeader w:val="off"/>
        </w:trPr>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Logging and drift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JSON request logs without clinical inputs; live vs training means</w:t>
            </w:r>
          </w:p>
        </w:tc>
        <w:tc>
          <w:tcPr>
            <w:tcW w:type="dxa" w:w="4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Traceability and early drift warning without storing patient data</w:t>
            </w:r>
          </w:p>
        </w:tc>
      </w:tr>
    </w:tbl>
    <w:p>
      <w:pPr>
        <w:sectPr>
          <w:headerReference w:type="default" r:id="rId6"/>
          <w:footerReference w:type="default" r:id="rId7"/>
          <w:pgSz w:w="11906" w:h="16838" w:orient="portrait"/>
          <w:pgMar w:top="1000" w:right="1134" w:bottom="1000" w:left="1134" w:header="500" w:footer="500" w:gutter="0"/>
          <w:pgNumType/>
          <w:docGrid w:linePitch="360"/>
        </w:sectPr>
      </w:pPr>
    </w:p>
    <w:p>
      <w:pPr>
        <w:pStyle w:val="Heading1"/>
        <w:spacing w:after="90" w:before="200"/>
      </w:pPr>
      <w:r>
        <w:rPr>
          <w:rFonts w:ascii="Arial" w:cs="Arial" w:eastAsia="Arial" w:hAnsi="Arial"/>
        </w:rPr>
        <w:t xml:space="preserve">1. Architecture</w:t>
      </w:r>
    </w:p>
    <w:p>
      <w:pPr>
        <w:spacing w:after="90" w:line="264"/>
        <w:jc w:val="both"/>
      </w:pPr>
      <w:r>
        <w:rPr>
          <w:rFonts w:ascii="Arial" w:cs="Arial" w:eastAsia="Arial" w:hAnsi="Arial"/>
        </w:rPr>
        <w:t xml:space="preserve">Five stages share one repository and one model contract. Data are acquired and validated once; a single scikit-learn pipeline is tuned, tracked and packaged; GitHub Actions gates every change; the packaged model is served by a FastAPI container on Kubernetes; Prometheus, Grafana and structured logs observe it. Solid arrows are data/control flow, dashed arrows fallback or optional paths.</w:t>
      </w:r>
    </w:p>
    <w:p>
      <w:pPr>
        <w:spacing w:after="30" w:before="40"/>
        <w:jc w:val="center"/>
      </w:pPr>
      <w:r>
        <w:drawing>
          <wp:inline distT="0" distB="0" distL="0" distR="0">
            <wp:extent cx="8782050" cy="52673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52673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 End-to-end architecture.</w:t>
      </w:r>
    </w:p>
    <w:p>
      <w:pPr>
        <w:sectPr>
          <w:headerReference w:type="default" r:id="rId8"/>
          <w:footerReference w:type="default" r:id="rId9"/>
          <w:pgSz w:w="16838" w:h="11906" w:orient="landscape"/>
          <w:pgMar w:top="900" w:right="1000" w:bottom="900" w:left="1000" w:header="450" w:footer="450" w:gutter="0"/>
          <w:pgNumType/>
          <w:docGrid w:linePitch="360"/>
        </w:sectPr>
      </w:pPr>
    </w:p>
    <w:p>
      <w:pPr>
        <w:pStyle w:val="Heading1"/>
        <w:spacing w:after="90" w:before="200"/>
      </w:pPr>
      <w:r>
        <w:rPr>
          <w:rFonts w:ascii="Arial" w:cs="Arial" w:eastAsia="Arial" w:hAnsi="Arial"/>
        </w:rPr>
        <w:t xml:space="preserve">2. Setup and installation</w:t>
      </w:r>
    </w:p>
    <w:p>
      <w:pPr>
        <w:spacing w:after="90" w:line="264"/>
        <w:jc w:val="both"/>
      </w:pPr>
      <w:r>
        <w:rPr>
          <w:rFonts w:ascii="Arial" w:cs="Arial" w:eastAsia="Arial" w:hAnsi="Arial"/>
        </w:rPr>
        <w:t xml:space="preserve">Requirements: Python 3.11-3.13, Docker, and for deployment a local Kubernetes (Minikube, Docker Desktop or kind). All dependencies are pinned in </w:t>
      </w:r>
      <w:r>
        <w:rPr>
          <w:rFonts w:ascii="Consolas" w:cs="Consolas" w:eastAsia="Consolas" w:hAnsi="Consolas"/>
          <w:color w:val="334155"/>
          <w:sz w:val="18"/>
          <w:szCs w:val="18"/>
        </w:rPr>
        <w:t xml:space="preserve">requirements.txt</w:t>
      </w:r>
      <w:r>
        <w:rPr>
          <w:rFonts w:ascii="Arial" w:cs="Arial" w:eastAsia="Arial" w:hAnsi="Arial"/>
        </w:rPr>
        <w:t xml:space="preserve"> (full environment, which also installs the project as an editable package), </w:t>
      </w:r>
      <w:r>
        <w:rPr>
          <w:rFonts w:ascii="Consolas" w:cs="Consolas" w:eastAsia="Consolas" w:hAnsi="Consolas"/>
          <w:color w:val="334155"/>
          <w:sz w:val="18"/>
          <w:szCs w:val="18"/>
        </w:rPr>
        <w:t xml:space="preserve">requirements-serve.txt</w:t>
      </w:r>
      <w:r>
        <w:rPr>
          <w:rFonts w:ascii="Arial" w:cs="Arial" w:eastAsia="Arial" w:hAnsi="Arial"/>
        </w:rPr>
        <w:t xml:space="preserve"> (minimal runtime used in the container) and </w:t>
      </w:r>
      <w:r>
        <w:rPr>
          <w:rFonts w:ascii="Consolas" w:cs="Consolas" w:eastAsia="Consolas" w:hAnsi="Consolas"/>
          <w:color w:val="334155"/>
          <w:sz w:val="18"/>
          <w:szCs w:val="18"/>
        </w:rPr>
        <w:t xml:space="preserve">environment.yml</w:t>
      </w:r>
      <w:r>
        <w:rPr>
          <w:rFonts w:ascii="Arial" w:cs="Arial" w:eastAsia="Arial" w:hAnsi="Arial"/>
        </w:rPr>
        <w:t xml:space="preserve"> (Conda).</w:t>
      </w:r>
    </w:p>
    <w:p>
      <w:pPr>
        <w:shd w:fill="F1F5F9" w:color="auto" w:val="clear"/>
        <w:spacing w:after="0" w:line="228"/>
        <w:ind w:left="120" w:right="120"/>
      </w:pPr>
      <w:r>
        <w:rPr>
          <w:rFonts w:ascii="Consolas" w:cs="Consolas" w:eastAsia="Consolas" w:hAnsi="Consolas"/>
          <w:color w:val="1E293B"/>
          <w:sz w:val="16"/>
          <w:szCs w:val="16"/>
        </w:rPr>
        <w:t xml:space="preserve">git clone https://github.com/princevashist1988/ML-Ops-Heart-Disease.git heart-risk-mlops &amp;&amp; cd heart-risk-mlops</w:t>
      </w:r>
    </w:p>
    <w:p>
      <w:pPr>
        <w:shd w:fill="F1F5F9" w:color="auto" w:val="clear"/>
        <w:spacing w:after="0" w:line="228"/>
        <w:ind w:left="120" w:right="120"/>
      </w:pPr>
      <w:r>
        <w:rPr>
          <w:rFonts w:ascii="Consolas" w:cs="Consolas" w:eastAsia="Consolas" w:hAnsi="Consolas"/>
          <w:color w:val="1E293B"/>
          <w:sz w:val="16"/>
          <w:szCs w:val="16"/>
        </w:rPr>
        <w:t xml:space="preserve">python3.12 -m venv .venv &amp;&amp; source .venv/bin/activate &amp;&amp; pip install -r requirements.txt</w:t>
      </w:r>
    </w:p>
    <w:p>
      <w:pPr>
        <w:shd w:fill="F1F5F9" w:color="auto" w:val="clear"/>
        <w:spacing w:after="0" w:line="228"/>
        <w:ind w:left="120" w:right="120"/>
      </w:pPr>
      <w:r>
        <w:rPr>
          <w:rFonts w:ascii="Consolas" w:cs="Consolas" w:eastAsia="Consolas" w:hAnsi="Consolas"/>
          <w:color w:val="1E293B"/>
          <w:sz w:val="16"/>
          <w:szCs w:val="16"/>
        </w:rPr>
        <w:t xml:space="preserve">make data &amp;&amp; make eda &amp;&amp; make train &amp;&amp; make test      # or: python -m heartrisk.&lt;stage&gt;</w:t>
      </w:r>
    </w:p>
    <w:p>
      <w:pPr>
        <w:shd w:fill="F1F5F9" w:color="auto" w:val="clear"/>
        <w:spacing w:after="0" w:line="228"/>
        <w:ind w:left="120" w:right="120"/>
      </w:pPr>
      <w:r>
        <w:rPr>
          <w:rFonts w:ascii="Consolas" w:cs="Consolas" w:eastAsia="Consolas" w:hAnsi="Consolas"/>
          <w:color w:val="1E293B"/>
          <w:sz w:val="16"/>
          <w:szCs w:val="16"/>
        </w:rPr>
        <w:t xml:space="preserve">docker build -t heart-risk-api:1.0.0 . &amp;&amp; docker run -p 8000:8000 heart-risk-api:1.0.0</w:t>
      </w:r>
    </w:p>
    <w:p>
      <w:pPr>
        <w:shd w:fill="F1F5F9" w:color="auto" w:val="clear"/>
        <w:spacing w:after="0" w:line="228"/>
        <w:ind w:left="120" w:right="120"/>
      </w:pPr>
      <w:r>
        <w:rPr>
          <w:rFonts w:ascii="Consolas" w:cs="Consolas" w:eastAsia="Consolas" w:hAnsi="Consolas"/>
          <w:color w:val="1E293B"/>
          <w:sz w:val="16"/>
          <w:szCs w:val="16"/>
        </w:rPr>
        <w:t xml:space="preserve">kubectl apply -k deploy/k8s &amp;&amp; kubectl apply -k deploy/monitoring   # or: helm install ... deploy/helm/heart-risk-api</w:t>
      </w:r>
    </w:p>
    <w:p>
      <w:pPr>
        <w:shd w:fill="F1F5F9" w:color="auto" w:val="clear"/>
        <w:spacing w:after="100" w:line="228"/>
        <w:ind w:left="120" w:right="120"/>
      </w:pPr>
      <w:r>
        <w:rPr>
          <w:rFonts w:ascii="Consolas" w:cs="Consolas" w:eastAsia="Consolas" w:hAnsi="Consolas"/>
          <w:color w:val="1E293B"/>
          <w:sz w:val="16"/>
          <w:szCs w:val="16"/>
        </w:rPr>
        <w:t xml:space="preserve">scripts/ci_local.sh        # the CI stages locally: lint -&gt; test -&gt; data -&gt; train -&gt; docker -&gt; smoke test</w:t>
      </w:r>
    </w:p>
    <w:p>
      <w:pPr>
        <w:spacing w:after="90" w:line="264"/>
        <w:jc w:val="both"/>
      </w:pPr>
      <w:r>
        <w:rPr>
          <w:rFonts w:ascii="Arial" w:cs="Arial" w:eastAsia="Arial" w:hAnsi="Arial"/>
        </w:rPr>
        <w:t xml:space="preserve">Reproducibility was verified by copying the repository without any generated state (no virtual environment, raw data, MLflow store or logs), installing from </w:t>
      </w:r>
      <w:r>
        <w:rPr>
          <w:rFonts w:ascii="Consolas" w:cs="Consolas" w:eastAsia="Consolas" w:hAnsi="Consolas"/>
          <w:color w:val="334155"/>
          <w:sz w:val="18"/>
          <w:szCs w:val="18"/>
        </w:rPr>
        <w:t xml:space="preserve">requirements.txt</w:t>
      </w:r>
      <w:r>
        <w:rPr>
          <w:rFonts w:ascii="Arial" w:cs="Arial" w:eastAsia="Arial" w:hAnsi="Arial"/>
        </w:rPr>
        <w:t xml:space="preserve"> and running </w:t>
      </w:r>
      <w:r>
        <w:rPr>
          <w:rFonts w:ascii="Consolas" w:cs="Consolas" w:eastAsia="Consolas" w:hAnsi="Consolas"/>
          <w:color w:val="334155"/>
          <w:sz w:val="18"/>
          <w:szCs w:val="18"/>
        </w:rPr>
        <w:t xml:space="preserve">scripts/ci_local.sh</w:t>
      </w:r>
      <w:r>
        <w:rPr>
          <w:rFonts w:ascii="Arial" w:cs="Arial" w:eastAsia="Arial" w:hAnsi="Arial"/>
        </w:rPr>
        <w:t xml:space="preserve">: all six stages passed and the training run reproduced the original cross-validation scores to four decimals (Figure 11).</w:t>
      </w:r>
    </w:p>
    <w:p>
      <w:pPr>
        <w:pStyle w:val="Heading1"/>
        <w:spacing w:after="90" w:before="200"/>
      </w:pPr>
      <w:r>
        <w:rPr>
          <w:rFonts w:ascii="Arial" w:cs="Arial" w:eastAsia="Arial" w:hAnsi="Arial"/>
        </w:rPr>
        <w:t xml:space="preserve">3. Data acquisition and exploratory analysis</w:t>
      </w:r>
    </w:p>
    <w:p>
      <w:pPr>
        <w:pStyle w:val="Heading2"/>
        <w:spacing w:after="60" w:before="130"/>
      </w:pPr>
      <w:r>
        <w:rPr>
          <w:rFonts w:ascii="Arial" w:cs="Arial" w:eastAsia="Arial" w:hAnsi="Arial"/>
        </w:rPr>
        <w:t xml:space="preserve">3.1 Acquisition and cleaning</w:t>
      </w:r>
    </w:p>
    <w:p>
      <w:pPr>
        <w:pStyle w:val="ListParagraph"/>
        <w:numPr>
          <w:ilvl w:val="0"/>
          <w:numId w:val="2"/>
        </w:numPr>
        <w:spacing w:after="40" w:line="252"/>
      </w:pPr>
      <w:r>
        <w:rPr>
          <w:rFonts w:ascii="Consolas" w:cs="Consolas" w:eastAsia="Consolas" w:hAnsi="Consolas"/>
          <w:color w:val="334155"/>
          <w:sz w:val="18"/>
          <w:szCs w:val="18"/>
        </w:rPr>
        <w:t xml:space="preserve">python -m heartrisk.data download</w:t>
      </w:r>
      <w:r>
        <w:rPr>
          <w:rFonts w:ascii="Arial" w:cs="Arial" w:eastAsia="Arial" w:hAnsi="Arial"/>
        </w:rPr>
        <w:t xml:space="preserve"> tries the UCI archive (zip, then legacy file URL). If unreachable it falls back to public copies of </w:t>
      </w:r>
      <w:r>
        <w:rPr>
          <w:rFonts w:ascii="Consolas" w:cs="Consolas" w:eastAsia="Consolas" w:hAnsi="Consolas"/>
          <w:color w:val="334155"/>
          <w:sz w:val="18"/>
          <w:szCs w:val="18"/>
        </w:rPr>
        <w:t xml:space="preserve">processed.cleveland.data</w:t>
      </w:r>
      <w:r>
        <w:rPr>
          <w:rFonts w:ascii="Arial" w:cs="Arial" w:eastAsia="Arial" w:hAnsi="Arial"/>
        </w:rPr>
        <w:t xml:space="preserve">, accepted </w:t>
      </w:r>
      <w:r>
        <w:rPr>
          <w:rFonts w:ascii="Arial" w:cs="Arial" w:eastAsia="Arial" w:hAnsi="Arial"/>
          <w:b/>
          <w:bCs/>
        </w:rPr>
        <w:t xml:space="preserve">only if the SHA-256 matches a pinned hash</w:t>
      </w:r>
      <w:r>
        <w:rPr>
          <w:rFonts w:ascii="Arial" w:cs="Arial" w:eastAsia="Arial" w:hAnsi="Arial"/>
        </w:rPr>
        <w:t xml:space="preserve"> (three independent copies agree on it). A Weka ARFF copy was rejected for training after a row-by-row comparison showed it drops one record and duplicates another. Every download writes </w:t>
      </w:r>
      <w:r>
        <w:rPr>
          <w:rFonts w:ascii="Consolas" w:cs="Consolas" w:eastAsia="Consolas" w:hAnsi="Consolas"/>
          <w:color w:val="334155"/>
          <w:sz w:val="18"/>
          <w:szCs w:val="18"/>
        </w:rPr>
        <w:t xml:space="preserve">data/raw/provenance.json</w:t>
      </w:r>
      <w:r>
        <w:rPr>
          <w:rFonts w:ascii="Arial" w:cs="Arial" w:eastAsia="Arial" w:hAnsi="Arial"/>
        </w:rPr>
        <w:t xml:space="preserve">.</w:t>
      </w:r>
    </w:p>
    <w:p>
      <w:pPr>
        <w:pStyle w:val="ListParagraph"/>
        <w:numPr>
          <w:ilvl w:val="0"/>
          <w:numId w:val="2"/>
        </w:numPr>
        <w:spacing w:after="40" w:line="252"/>
      </w:pPr>
      <w:r>
        <w:rPr>
          <w:rFonts w:ascii="Arial" w:cs="Arial" w:eastAsia="Arial" w:hAnsi="Arial"/>
        </w:rPr>
        <w:t xml:space="preserve">Cleaning: </w:t>
      </w:r>
      <w:r>
        <w:rPr>
          <w:rFonts w:ascii="Consolas" w:cs="Consolas" w:eastAsia="Consolas" w:hAnsi="Consolas"/>
          <w:color w:val="334155"/>
          <w:sz w:val="18"/>
          <w:szCs w:val="18"/>
        </w:rPr>
        <w:t xml:space="preserve">?</w:t>
      </w:r>
      <w:r>
        <w:rPr>
          <w:rFonts w:ascii="Arial" w:cs="Arial" w:eastAsia="Arial" w:hAnsi="Arial"/>
        </w:rPr>
        <w:t xml:space="preserve"> markers become missing values (4 in </w:t>
      </w:r>
      <w:r>
        <w:rPr>
          <w:rFonts w:ascii="Consolas" w:cs="Consolas" w:eastAsia="Consolas" w:hAnsi="Consolas"/>
          <w:color w:val="334155"/>
          <w:sz w:val="18"/>
          <w:szCs w:val="18"/>
        </w:rPr>
        <w:t xml:space="preserve">ca</w:t>
      </w:r>
      <w:r>
        <w:rPr>
          <w:rFonts w:ascii="Arial" w:cs="Arial" w:eastAsia="Arial" w:hAnsi="Arial"/>
        </w:rPr>
        <w:t xml:space="preserve">, 2 in </w:t>
      </w:r>
      <w:r>
        <w:rPr>
          <w:rFonts w:ascii="Consolas" w:cs="Consolas" w:eastAsia="Consolas" w:hAnsi="Consolas"/>
          <w:color w:val="334155"/>
          <w:sz w:val="18"/>
          <w:szCs w:val="18"/>
        </w:rPr>
        <w:t xml:space="preserve">thal</w:t>
      </w:r>
      <w:r>
        <w:rPr>
          <w:rFonts w:ascii="Arial" w:cs="Arial" w:eastAsia="Arial" w:hAnsi="Arial"/>
        </w:rPr>
        <w:t xml:space="preserve">); physiologically impossible values become missing (none in Cleveland, e.g. cholesterol = 0 in the Hungarian file); the 0-4 severity label is binarised (</w:t>
      </w:r>
      <w:r>
        <w:rPr>
          <w:rFonts w:ascii="Consolas" w:cs="Consolas" w:eastAsia="Consolas" w:hAnsi="Consolas"/>
          <w:color w:val="334155"/>
          <w:sz w:val="18"/>
          <w:szCs w:val="18"/>
        </w:rPr>
        <w:t xml:space="preserve">num &gt; 0</w:t>
      </w:r>
      <w:r>
        <w:rPr>
          <w:rFonts w:ascii="Arial" w:cs="Arial" w:eastAsia="Arial" w:hAnsi="Arial"/>
        </w:rPr>
        <w:t xml:space="preserve">); exact duplicates are dropped (none). Missing values are deliberately kept and imputed inside the model pipeline, so imputation is fitted on training folds only and the same logic runs at inference.</w:t>
      </w:r>
    </w:p>
    <w:p>
      <w:pPr>
        <w:pStyle w:val="ListParagraph"/>
        <w:numPr>
          <w:ilvl w:val="0"/>
          <w:numId w:val="2"/>
        </w:numPr>
        <w:spacing w:after="40" w:line="252"/>
      </w:pPr>
      <w:r>
        <w:rPr>
          <w:rFonts w:ascii="Arial" w:cs="Arial" w:eastAsia="Arial" w:hAnsi="Arial"/>
        </w:rPr>
        <w:t xml:space="preserve">A schema contract (</w:t>
      </w:r>
      <w:r>
        <w:rPr>
          <w:rFonts w:ascii="Consolas" w:cs="Consolas" w:eastAsia="Consolas" w:hAnsi="Consolas"/>
          <w:color w:val="334155"/>
          <w:sz w:val="18"/>
          <w:szCs w:val="18"/>
        </w:rPr>
        <w:t xml:space="preserve">data.validate</w:t>
      </w:r>
      <w:r>
        <w:rPr>
          <w:rFonts w:ascii="Arial" w:cs="Arial" w:eastAsia="Arial" w:hAnsi="Arial"/>
        </w:rPr>
        <w:t xml:space="preserve">: columns, ranges, category domains, binary non-constant target) runs before training, in the tests and in CI. The cleaned 303 x 14 CSV is committed; the Hungarian file (294 patients) is kept as an external validation set.</w:t>
      </w:r>
    </w:p>
    <w:p>
      <w:pPr>
        <w:pStyle w:val="Heading2"/>
        <w:spacing w:after="60" w:before="130"/>
      </w:pPr>
      <w:r>
        <w:rPr>
          <w:rFonts w:ascii="Arial" w:cs="Arial" w:eastAsia="Arial" w:hAnsi="Arial"/>
        </w:rPr>
        <w:t xml:space="preserve">3.2 Findings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12"/>
        <w:gridCol w:w="4626"/>
      </w:tblGrid>
      <w:tr>
        <w:tc>
          <w:tcPr>
            <w:tcW w:type="dxa" w:w="5012"/>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3076575" cy="1885950"/>
                  <wp:effectExtent t="0" r="0" b="0" l="0"/>
                  <wp:docPr id="2" name="07_heart_rate_vs_age.png" descr="07_heart_rate_vs_age.png" title="07_heart_rate_vs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76575" cy="18859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2. Peak heart rate vs age with the age-predicted maximum.</w:t>
            </w:r>
          </w:p>
        </w:tc>
        <w:tc>
          <w:tcPr>
            <w:tcW w:type="dxa" w:w="4626"/>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828925" cy="2390775"/>
                  <wp:effectExtent t="0" r="0" b="0" l="0"/>
                  <wp:docPr id="3" name="06_correlation_heatmap.png" descr="06_correlation_heatmap.png" title="06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28925" cy="23907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3. Spearman correlation heat-map.</w:t>
            </w:r>
          </w:p>
        </w:tc>
      </w:tr>
    </w:tbl>
    <w:p>
      <w:pPr>
        <w:spacing w:after="30" w:before="40"/>
        <w:jc w:val="center"/>
      </w:pPr>
      <w:r>
        <w:drawing>
          <wp:inline distT="0" distB="0" distL="0" distR="0">
            <wp:extent cx="5848350" cy="2676525"/>
            <wp:effectExtent t="0" r="0" b="0" l="0"/>
            <wp:docPr id="4" name="05_categorical_disease_rates.png" descr="05_categorical_disease_rates.png" title="05_categorical_disease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6765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4. Disease rate by category (dashed line = overall 46%); n per bar.</w:t>
      </w:r>
    </w:p>
    <w:p>
      <w:pPr>
        <w:pStyle w:val="ListParagraph"/>
        <w:numPr>
          <w:ilvl w:val="0"/>
          <w:numId w:val="2"/>
        </w:numPr>
        <w:spacing w:after="40" w:line="252"/>
      </w:pPr>
      <w:r>
        <w:rPr>
          <w:rFonts w:ascii="Arial" w:cs="Arial" w:eastAsia="Arial" w:hAnsi="Arial"/>
          <w:b/>
          <w:bCs/>
        </w:rPr>
        <w:t xml:space="preserve">Near-balanced target</w:t>
      </w:r>
      <w:r>
        <w:rPr>
          <w:rFonts w:ascii="Arial" w:cs="Arial" w:eastAsia="Arial" w:hAnsi="Arial"/>
        </w:rPr>
        <w:t xml:space="preserve"> (164 healthy vs 139 diseased, 54/46): accuracy is meaningful, but ROC-AUC ranks models because it is threshold-free, and recall is reported because a missed diagnosis is the costly error.</w:t>
      </w:r>
    </w:p>
    <w:p>
      <w:pPr>
        <w:pStyle w:val="ListParagraph"/>
        <w:numPr>
          <w:ilvl w:val="0"/>
          <w:numId w:val="2"/>
        </w:numPr>
        <w:spacing w:after="40" w:line="252"/>
      </w:pPr>
      <w:r>
        <w:rPr>
          <w:rFonts w:ascii="Arial" w:cs="Arial" w:eastAsia="Arial" w:hAnsi="Arial"/>
          <w:b/>
          <w:bCs/>
        </w:rPr>
        <w:t xml:space="preserve">Strongest signals are categorical</w:t>
      </w:r>
      <w:r>
        <w:rPr>
          <w:rFonts w:ascii="Arial" w:cs="Arial" w:eastAsia="Arial" w:hAnsi="Arial"/>
        </w:rPr>
        <w:t xml:space="preserve">: </w:t>
      </w:r>
      <w:r>
        <w:rPr>
          <w:rFonts w:ascii="Consolas" w:cs="Consolas" w:eastAsia="Consolas" w:hAnsi="Consolas"/>
          <w:color w:val="334155"/>
          <w:sz w:val="18"/>
          <w:szCs w:val="18"/>
        </w:rPr>
        <w:t xml:space="preserve">thal</w:t>
      </w:r>
      <w:r>
        <w:rPr>
          <w:rFonts w:ascii="Arial" w:cs="Arial" w:eastAsia="Arial" w:hAnsi="Arial"/>
        </w:rPr>
        <w:t xml:space="preserve"> (rho = 0.52), </w:t>
      </w:r>
      <w:r>
        <w:rPr>
          <w:rFonts w:ascii="Consolas" w:cs="Consolas" w:eastAsia="Consolas" w:hAnsi="Consolas"/>
          <w:color w:val="334155"/>
          <w:sz w:val="18"/>
          <w:szCs w:val="18"/>
        </w:rPr>
        <w:t xml:space="preserve">ca</w:t>
      </w:r>
      <w:r>
        <w:rPr>
          <w:rFonts w:ascii="Arial" w:cs="Arial" w:eastAsia="Arial" w:hAnsi="Arial"/>
        </w:rPr>
        <w:t xml:space="preserve"> (0.49), </w:t>
      </w:r>
      <w:r>
        <w:rPr>
          <w:rFonts w:ascii="Consolas" w:cs="Consolas" w:eastAsia="Consolas" w:hAnsi="Consolas"/>
          <w:color w:val="334155"/>
          <w:sz w:val="18"/>
          <w:szCs w:val="18"/>
        </w:rPr>
        <w:t xml:space="preserve">cp</w:t>
      </w:r>
      <w:r>
        <w:rPr>
          <w:rFonts w:ascii="Arial" w:cs="Arial" w:eastAsia="Arial" w:hAnsi="Arial"/>
        </w:rPr>
        <w:t xml:space="preserve"> (0.47), </w:t>
      </w:r>
      <w:r>
        <w:rPr>
          <w:rFonts w:ascii="Consolas" w:cs="Consolas" w:eastAsia="Consolas" w:hAnsi="Consolas"/>
          <w:color w:val="334155"/>
          <w:sz w:val="18"/>
          <w:szCs w:val="18"/>
        </w:rPr>
        <w:t xml:space="preserve">exang</w:t>
      </w:r>
      <w:r>
        <w:rPr>
          <w:rFonts w:ascii="Arial" w:cs="Arial" w:eastAsia="Arial" w:hAnsi="Arial"/>
        </w:rPr>
        <w:t xml:space="preserve"> (0.43); </w:t>
      </w:r>
      <w:r>
        <w:rPr>
          <w:rFonts w:ascii="Consolas" w:cs="Consolas" w:eastAsia="Consolas" w:hAnsi="Consolas"/>
          <w:color w:val="334155"/>
          <w:sz w:val="18"/>
          <w:szCs w:val="18"/>
        </w:rPr>
        <w:t xml:space="preserve">thalach</w:t>
      </w:r>
      <w:r>
        <w:rPr>
          <w:rFonts w:ascii="Arial" w:cs="Arial" w:eastAsia="Arial" w:hAnsi="Arial"/>
        </w:rPr>
        <w:t xml:space="preserve"> is the strongest numeric signal (-0.42). Asymptomatic chest pain carries 73% prevalence versus 18-30% for anginal types, so </w:t>
      </w:r>
      <w:r>
        <w:rPr>
          <w:rFonts w:ascii="Consolas" w:cs="Consolas" w:eastAsia="Consolas" w:hAnsi="Consolas"/>
          <w:color w:val="334155"/>
          <w:sz w:val="18"/>
          <w:szCs w:val="18"/>
        </w:rPr>
        <w:t xml:space="preserve">cp</w:t>
      </w:r>
      <w:r>
        <w:rPr>
          <w:rFonts w:ascii="Arial" w:cs="Arial" w:eastAsia="Arial" w:hAnsi="Arial"/>
        </w:rPr>
        <w:t xml:space="preserve"> is one-hot encoded rather than treated as ordinal.</w:t>
      </w:r>
    </w:p>
    <w:p>
      <w:pPr>
        <w:pStyle w:val="ListParagraph"/>
        <w:numPr>
          <w:ilvl w:val="0"/>
          <w:numId w:val="2"/>
        </w:numPr>
        <w:spacing w:after="40" w:line="252"/>
      </w:pPr>
      <w:r>
        <w:rPr>
          <w:rFonts w:ascii="Arial" w:cs="Arial" w:eastAsia="Arial" w:hAnsi="Arial"/>
          <w:b/>
          <w:bCs/>
        </w:rPr>
        <w:t xml:space="preserve">Age-adjusted heart rate</w:t>
      </w:r>
      <w:r>
        <w:rPr>
          <w:rFonts w:ascii="Arial" w:cs="Arial" w:eastAsia="Arial" w:hAnsi="Arial"/>
        </w:rPr>
        <w:t xml:space="preserve"> (Figure 2): patients reaching less than 85% of the age-predicted maximum (220 - age) have 72% prevalence versus 35% above it. This motivated the engineered feature </w:t>
      </w:r>
      <w:r>
        <w:rPr>
          <w:rFonts w:ascii="Consolas" w:cs="Consolas" w:eastAsia="Consolas" w:hAnsi="Consolas"/>
          <w:color w:val="334155"/>
          <w:sz w:val="18"/>
          <w:szCs w:val="18"/>
        </w:rPr>
        <w:t xml:space="preserve">hr_pct_predicted</w:t>
      </w:r>
      <w:r>
        <w:rPr>
          <w:rFonts w:ascii="Arial" w:cs="Arial" w:eastAsia="Arial" w:hAnsi="Arial"/>
        </w:rPr>
        <w:t xml:space="preserve">, tested as an ablation.</w:t>
      </w:r>
    </w:p>
    <w:p>
      <w:pPr>
        <w:pStyle w:val="ListParagraph"/>
        <w:numPr>
          <w:ilvl w:val="0"/>
          <w:numId w:val="2"/>
        </w:numPr>
        <w:spacing w:after="40" w:line="252"/>
      </w:pPr>
      <w:r>
        <w:rPr>
          <w:rFonts w:ascii="Arial" w:cs="Arial" w:eastAsia="Arial" w:hAnsi="Arial"/>
          <w:b/>
          <w:bCs/>
        </w:rPr>
        <w:t xml:space="preserve">Outliers</w:t>
      </w:r>
      <w:r>
        <w:rPr>
          <w:rFonts w:ascii="Arial" w:cs="Arial" w:eastAsia="Arial" w:hAnsi="Arial"/>
        </w:rPr>
        <w:t xml:space="preserve"> (9 in resting BP, 5 in cholesterol, 5 in ST depression by the IQR rule) are plausible clinical extremes and were kept; scaling and regularisation handle them. Fasting blood sugar shows almost no association (rho = 0.03).</w:t>
      </w:r>
    </w:p>
    <w:p>
      <w:pPr>
        <w:pStyle w:val="ListParagraph"/>
        <w:numPr>
          <w:ilvl w:val="0"/>
          <w:numId w:val="2"/>
        </w:numPr>
        <w:spacing w:after="40" w:line="252"/>
      </w:pPr>
      <w:r>
        <w:rPr>
          <w:rFonts w:ascii="Arial" w:cs="Arial" w:eastAsia="Arial" w:hAnsi="Arial"/>
          <w:b/>
          <w:bCs/>
        </w:rPr>
        <w:t xml:space="preserve">External site shift</w:t>
      </w:r>
      <w:r>
        <w:rPr>
          <w:rFonts w:ascii="Arial" w:cs="Arial" w:eastAsia="Arial" w:hAnsi="Arial"/>
        </w:rPr>
        <w:t xml:space="preserve">: the Hungarian file is missing </w:t>
      </w:r>
      <w:r>
        <w:rPr>
          <w:rFonts w:ascii="Consolas" w:cs="Consolas" w:eastAsia="Consolas" w:hAnsi="Consolas"/>
          <w:color w:val="334155"/>
          <w:sz w:val="18"/>
          <w:szCs w:val="18"/>
        </w:rPr>
        <w:t xml:space="preserve">ca</w:t>
      </w:r>
      <w:r>
        <w:rPr>
          <w:rFonts w:ascii="Arial" w:cs="Arial" w:eastAsia="Arial" w:hAnsi="Arial"/>
        </w:rPr>
        <w:t xml:space="preserve"> for 99% and </w:t>
      </w:r>
      <w:r>
        <w:rPr>
          <w:rFonts w:ascii="Consolas" w:cs="Consolas" w:eastAsia="Consolas" w:hAnsi="Consolas"/>
          <w:color w:val="334155"/>
          <w:sz w:val="18"/>
          <w:szCs w:val="18"/>
        </w:rPr>
        <w:t xml:space="preserve">thal</w:t>
      </w:r>
      <w:r>
        <w:rPr>
          <w:rFonts w:ascii="Arial" w:cs="Arial" w:eastAsia="Arial" w:hAnsi="Arial"/>
        </w:rPr>
        <w:t xml:space="preserve"> for 90% of patients - a realistic deployment shift used to stress-test the model.</w:t>
      </w:r>
    </w:p>
    <w:p>
      <w:pPr>
        <w:pStyle w:val="Heading1"/>
        <w:spacing w:after="90" w:before="200"/>
      </w:pPr>
      <w:r>
        <w:rPr>
          <w:rFonts w:ascii="Arial" w:cs="Arial" w:eastAsia="Arial" w:hAnsi="Arial"/>
        </w:rPr>
        <w:t xml:space="preserve">4. Feature engineering and model development</w:t>
      </w:r>
    </w:p>
    <w:p>
      <w:pPr>
        <w:spacing w:after="90" w:line="264"/>
        <w:jc w:val="both"/>
      </w:pPr>
      <w:r>
        <w:rPr>
          <w:rFonts w:ascii="Arial" w:cs="Arial" w:eastAsia="Arial" w:hAnsi="Arial"/>
        </w:rPr>
        <w:t xml:space="preserve">All transformations live in one scikit-learn </w:t>
      </w:r>
      <w:r>
        <w:rPr>
          <w:rFonts w:ascii="Consolas" w:cs="Consolas" w:eastAsia="Consolas" w:hAnsi="Consolas"/>
          <w:color w:val="334155"/>
          <w:sz w:val="18"/>
          <w:szCs w:val="18"/>
        </w:rPr>
        <w:t xml:space="preserve">Pipeline</w:t>
      </w:r>
      <w:r>
        <w:rPr>
          <w:rFonts w:ascii="Arial" w:cs="Arial" w:eastAsia="Arial" w:hAnsi="Arial"/>
        </w:rPr>
        <w:t xml:space="preserve">, so cross-validation, final training and the API execute identical code: </w:t>
      </w:r>
      <w:r>
        <w:rPr>
          <w:rFonts w:ascii="Consolas" w:cs="Consolas" w:eastAsia="Consolas" w:hAnsi="Consolas"/>
          <w:color w:val="334155"/>
          <w:sz w:val="18"/>
          <w:szCs w:val="18"/>
        </w:rPr>
        <w:t xml:space="preserve">ClinicalFeatureEngineer</w:t>
      </w:r>
      <w:r>
        <w:rPr>
          <w:rFonts w:ascii="Arial" w:cs="Arial" w:eastAsia="Arial" w:hAnsi="Arial"/>
        </w:rPr>
        <w:t xml:space="preserve"> (adds </w:t>
      </w:r>
      <w:r>
        <w:rPr>
          <w:rFonts w:ascii="Consolas" w:cs="Consolas" w:eastAsia="Consolas" w:hAnsi="Consolas"/>
          <w:color w:val="334155"/>
          <w:sz w:val="18"/>
          <w:szCs w:val="18"/>
        </w:rPr>
        <w:t xml:space="preserve">hr_pct_predicted</w:t>
      </w:r>
      <w:r>
        <w:rPr>
          <w:rFonts w:ascii="Arial" w:cs="Arial" w:eastAsia="Arial" w:hAnsi="Arial"/>
        </w:rPr>
        <w:t xml:space="preserve"> and a stage-2 hypertension flag, toggled by a hyper-parameter) -&gt; cast to float -&gt; </w:t>
      </w:r>
      <w:r>
        <w:rPr>
          <w:rFonts w:ascii="Consolas" w:cs="Consolas" w:eastAsia="Consolas" w:hAnsi="Consolas"/>
          <w:color w:val="334155"/>
          <w:sz w:val="18"/>
          <w:szCs w:val="18"/>
        </w:rPr>
        <w:t xml:space="preserve">ColumnTransformer</w:t>
      </w:r>
      <w:r>
        <w:rPr>
          <w:rFonts w:ascii="Arial" w:cs="Arial" w:eastAsia="Arial" w:hAnsi="Arial"/>
        </w:rPr>
        <w:t xml:space="preserve"> (numeric: median imputation + standardisation; binary: mode imputation; categorical: mode imputation + one-hot with unknown categories ignored) -&gt; classifier.</w:t>
      </w:r>
    </w:p>
    <w:p>
      <w:pPr>
        <w:spacing w:after="90" w:line="264"/>
        <w:jc w:val="both"/>
      </w:pPr>
      <w:r>
        <w:rPr>
          <w:rFonts w:ascii="Arial" w:cs="Arial" w:eastAsia="Arial" w:hAnsi="Arial"/>
        </w:rPr>
        <w:t xml:space="preserve">The data are split once into a stratified 80/20 train/hold-out partition (242/61). Each model family is tuned with </w:t>
      </w:r>
      <w:r>
        <w:rPr>
          <w:rFonts w:ascii="Consolas" w:cs="Consolas" w:eastAsia="Consolas" w:hAnsi="Consolas"/>
          <w:color w:val="334155"/>
          <w:sz w:val="18"/>
          <w:szCs w:val="18"/>
        </w:rPr>
        <w:t xml:space="preserve">GridSearchCV</w:t>
      </w:r>
      <w:r>
        <w:rPr>
          <w:rFonts w:ascii="Arial" w:cs="Arial" w:eastAsia="Arial" w:hAnsi="Arial"/>
        </w:rPr>
        <w:t xml:space="preserve"> using </w:t>
      </w:r>
      <w:r>
        <w:rPr>
          <w:rFonts w:ascii="Arial" w:cs="Arial" w:eastAsia="Arial" w:hAnsi="Arial"/>
          <w:b/>
          <w:bCs/>
        </w:rPr>
        <w:t xml:space="preserve">repeated stratified 5-fold CV (3 repeats)</w:t>
      </w:r>
      <w:r>
        <w:rPr>
          <w:rFonts w:ascii="Arial" w:cs="Arial" w:eastAsia="Arial" w:hAnsi="Arial"/>
        </w:rPr>
        <w:t xml:space="preserve">, scored on ROC-AUC, accuracy, precision, recall and F1. Repeated CV was chosen because with 242 training rows a single 5-fold split varies by several AUC points. The hold-out set is never used for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3500"/>
        <w:gridCol w:w="2238"/>
        <w:gridCol w:w="1250"/>
        <w:gridCol w:w="1100"/>
      </w:tblGrid>
      <w:tr>
        <w:trPr>
          <w:cantSplit/>
          <w:tblHeader/>
        </w:trPr>
        <w:tc>
          <w:tcPr>
            <w:tcW w:type="dxa" w:w="15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Model family</w:t>
            </w:r>
          </w:p>
        </w:tc>
        <w:tc>
          <w:tcPr>
            <w:tcW w:type="dxa" w:w="35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Search space (all with engineered features on/off)</w:t>
            </w:r>
          </w:p>
        </w:tc>
        <w:tc>
          <w:tcPr>
            <w:tcW w:type="dxa" w:w="22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Best configuration</w:t>
            </w:r>
          </w:p>
        </w:tc>
        <w:tc>
          <w:tcPr>
            <w:tcW w:type="dxa" w:w="12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CV ROC-AUC</w:t>
            </w:r>
          </w:p>
        </w:tc>
        <w:tc>
          <w:tcPr>
            <w:tcW w:type="dxa" w:w="11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Train-CV gap</w:t>
            </w:r>
          </w:p>
        </w:tc>
      </w:tr>
      <w:tr>
        <w:trPr>
          <w:cantSplit/>
          <w:tblHeader w:val="off"/>
        </w:trPr>
        <w:tc>
          <w:tcPr>
            <w:tcW w:type="dxa" w:w="155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Logistic regression</w:t>
            </w:r>
          </w:p>
        </w:tc>
        <w:tc>
          <w:tcPr>
            <w:tcW w:type="dxa" w:w="350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C in {0.03, 0.1, 0.3, 1}; l1_ratio in {0, 0.5, 1}; class weight (48 fits)</w:t>
            </w:r>
          </w:p>
        </w:tc>
        <w:tc>
          <w:tcPr>
            <w:tcW w:type="dxa" w:w="2238"/>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C = 0.1, L2, balanced, no engineered features</w:t>
            </w:r>
          </w:p>
        </w:tc>
        <w:tc>
          <w:tcPr>
            <w:tcW w:type="dxa" w:w="125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0.899 +/- 0.039</w:t>
            </w:r>
          </w:p>
        </w:tc>
        <w:tc>
          <w:tcPr>
            <w:tcW w:type="dxa" w:w="1100"/>
            <w:tcBorders>
              <w:top w:val="single" w:color="CBD5E1" w:sz="4"/>
              <w:left w:val="single" w:color="CBD5E1" w:sz="4"/>
              <w:bottom w:val="single" w:color="CBD5E1" w:sz="4"/>
              <w:right w:val="single" w:color="CBD5E1" w:sz="4"/>
            </w:tcBorders>
            <w:shd w:fill="FFF4E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0.026</w:t>
            </w:r>
          </w:p>
        </w:tc>
      </w:tr>
      <w:tr>
        <w:trPr>
          <w:cantSplit/>
          <w:tblHeader w:val="off"/>
        </w:trPr>
        <w:tc>
          <w:tcPr>
            <w:tcW w:type="dxa" w:w="15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Random forest</w:t>
            </w:r>
          </w:p>
        </w:tc>
        <w:tc>
          <w:tcPr>
            <w:tcW w:type="dxa" w:w="35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300 trees; depth {None, 4, 8}; min leaf {1, 4}; max features {sqrt, 0.5} (24)</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unlimited depth, leaf 4, sqrt</w:t>
            </w:r>
          </w:p>
        </w:tc>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0.894 +/- 0.041</w:t>
            </w:r>
          </w:p>
        </w:tc>
        <w:tc>
          <w:tcPr>
            <w:tcW w:type="dxa" w:w="1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0.082</w:t>
            </w:r>
          </w:p>
        </w:tc>
      </w:tr>
      <w:tr>
        <w:trPr>
          <w:cantSplit/>
          <w:tblHeader w:val="off"/>
        </w:trPr>
        <w:tc>
          <w:tcPr>
            <w:tcW w:type="dxa" w:w="15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Gradient boosting</w:t>
            </w:r>
          </w:p>
        </w:tc>
        <w:tc>
          <w:tcPr>
            <w:tcW w:type="dxa" w:w="35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trees {100, 250}; learning rate {0.03, 0.1}; depth {2, 3}; subsample 0.8 (16)</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100 trees, 0.03, depth 2, engineered on</w:t>
            </w:r>
          </w:p>
        </w:tc>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0.877 +/- 0.044</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0.089</w:t>
            </w:r>
          </w:p>
        </w:tc>
      </w:tr>
    </w:tbl>
    <w:p>
      <w:pPr>
        <w:spacing w:after="60"/>
      </w:pPr>
    </w:p>
    <w:p>
      <w:pPr>
        <w:spacing w:after="90" w:line="264"/>
        <w:jc w:val="both"/>
      </w:pPr>
      <w:r>
        <w:rPr>
          <w:rFonts w:ascii="Arial" w:cs="Arial" w:eastAsia="Arial" w:hAnsi="Arial"/>
          <w:b/>
          <w:bCs/>
        </w:rPr>
        <w:t xml:space="preserve">Selection.</w:t>
      </w:r>
      <w:r>
        <w:rPr>
          <w:rFonts w:ascii="Arial" w:cs="Arial" w:eastAsia="Arial" w:hAnsi="Arial"/>
        </w:rPr>
        <w:t xml:space="preserve"> The champion is the family with the best mean CV ROC-AUC, with a configured parsimony rule (prefer the interpretable model if within 0.01). Logistic regression won outright and also has the smallest train-CV gap, i.e. the least over-fitting. Its coefficients are clinically coherent: vessels coloured (</w:t>
      </w:r>
      <w:r>
        <w:rPr>
          <w:rFonts w:ascii="Consolas" w:cs="Consolas" w:eastAsia="Consolas" w:hAnsi="Consolas"/>
          <w:color w:val="334155"/>
          <w:sz w:val="18"/>
          <w:szCs w:val="18"/>
        </w:rPr>
        <w:t xml:space="preserve">ca</w:t>
      </w:r>
      <w:r>
        <w:rPr>
          <w:rFonts w:ascii="Arial" w:cs="Arial" w:eastAsia="Arial" w:hAnsi="Arial"/>
        </w:rPr>
        <w:t xml:space="preserve">), asymptomatic chest pain, male sex and reversible thallium defect raise risk; a normal thallium scan and higher peak heart rate lower it.</w:t>
      </w:r>
    </w:p>
    <w:p>
      <w:pPr>
        <w:spacing w:after="90" w:line="264"/>
        <w:jc w:val="both"/>
      </w:pPr>
      <w:r>
        <w:rPr>
          <w:rFonts w:ascii="Arial" w:cs="Arial" w:eastAsia="Arial" w:hAnsi="Arial"/>
          <w:b/>
          <w:bCs/>
        </w:rPr>
        <w:t xml:space="preserve">Ablation.</w:t>
      </w:r>
      <w:r>
        <w:rPr>
          <w:rFonts w:ascii="Arial" w:cs="Arial" w:eastAsia="Arial" w:hAnsi="Arial"/>
        </w:rPr>
        <w:t xml:space="preserve"> Because </w:t>
      </w:r>
      <w:r>
        <w:rPr>
          <w:rFonts w:ascii="Consolas" w:cs="Consolas" w:eastAsia="Consolas" w:hAnsi="Consolas"/>
          <w:color w:val="334155"/>
          <w:sz w:val="18"/>
          <w:szCs w:val="18"/>
        </w:rPr>
        <w:t xml:space="preserve">features__enabled</w:t>
      </w:r>
      <w:r>
        <w:rPr>
          <w:rFonts w:ascii="Arial" w:cs="Arial" w:eastAsia="Arial" w:hAnsi="Arial"/>
        </w:rPr>
        <w:t xml:space="preserve"> is a grid parameter, the search measured the engineered features directly: best CV AUC changed by -0.002 (LR), -0.003 (RF) and +0.001 (GB), well inside one standard deviation. Despite the strong univariate signal in Figure 2, the linear model already combines </w:t>
      </w:r>
      <w:r>
        <w:rPr>
          <w:rFonts w:ascii="Consolas" w:cs="Consolas" w:eastAsia="Consolas" w:hAnsi="Consolas"/>
          <w:color w:val="334155"/>
          <w:sz w:val="18"/>
          <w:szCs w:val="18"/>
        </w:rPr>
        <w:t xml:space="preserve">age</w:t>
      </w:r>
      <w:r>
        <w:rPr>
          <w:rFonts w:ascii="Arial" w:cs="Arial" w:eastAsia="Arial" w:hAnsi="Arial"/>
        </w:rPr>
        <w:t xml:space="preserve"> and </w:t>
      </w:r>
      <w:r>
        <w:rPr>
          <w:rFonts w:ascii="Consolas" w:cs="Consolas" w:eastAsia="Consolas" w:hAnsi="Consolas"/>
          <w:color w:val="334155"/>
          <w:sz w:val="18"/>
          <w:szCs w:val="18"/>
        </w:rPr>
        <w:t xml:space="preserve">thalach</w:t>
      </w:r>
      <w:r>
        <w:rPr>
          <w:rFonts w:ascii="Arial" w:cs="Arial" w:eastAsia="Arial" w:hAnsi="Arial"/>
        </w:rPr>
        <w:t xml:space="preserve">, so the simpler feature set was kept. The transformer stays in the pipeline (disabled) so the ablation is reproducible.</w:t>
      </w:r>
    </w:p>
    <w:p>
      <w:pPr>
        <w:spacing w:after="90" w:line="264"/>
        <w:jc w:val="both"/>
      </w:pPr>
      <w:r>
        <w:rPr>
          <w:rFonts w:ascii="Arial" w:cs="Arial" w:eastAsia="Arial" w:hAnsi="Arial"/>
          <w:b/>
          <w:bCs/>
        </w:rPr>
        <w:t xml:space="preserve">Operating threshold.</w:t>
      </w:r>
      <w:r>
        <w:rPr>
          <w:rFonts w:ascii="Arial" w:cs="Arial" w:eastAsia="Arial" w:hAnsi="Arial"/>
        </w:rPr>
        <w:t xml:space="preserve"> For a screening use case the decision threshold is chosen to maximise F2 (recall weighted four times precision) on </w:t>
      </w:r>
      <w:r>
        <w:rPr>
          <w:rFonts w:ascii="Arial" w:cs="Arial" w:eastAsia="Arial" w:hAnsi="Arial"/>
          <w:b/>
          <w:bCs/>
        </w:rPr>
        <w:t xml:space="preserve">out-of-fold predictions of the training set</w:t>
      </w:r>
      <w:r>
        <w:rPr>
          <w:rFonts w:ascii="Arial" w:cs="Arial" w:eastAsia="Arial" w:hAnsi="Arial"/>
        </w:rPr>
        <w:t xml:space="preserve">, subject to precision &gt;= 0.6. The resulting threshold, 0.31, is stored in the model card and served by the API.</w:t>
      </w:r>
    </w:p>
    <w:p>
      <w:pPr>
        <w:spacing w:after="30" w:before="40"/>
        <w:jc w:val="center"/>
      </w:pPr>
      <w:r>
        <w:drawing>
          <wp:inline distT="0" distB="0" distL="0" distR="0">
            <wp:extent cx="5124450" cy="2390775"/>
            <wp:effectExtent t="0" r="0" b="0" l="0"/>
            <wp:docPr id="5"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3907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5. Cross-validated metrics (mean +/- sd) for the best configuration of each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900"/>
        <w:gridCol w:w="2238"/>
        <w:gridCol w:w="2400"/>
      </w:tblGrid>
      <w:tr>
        <w:trPr>
          <w:cantSplit/>
          <w:tblHeader/>
        </w:trPr>
        <w:tc>
          <w:tcPr>
            <w:tcW w:type="dxa" w:w="31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Hold-out metric (n = 61)</w:t>
            </w:r>
          </w:p>
        </w:tc>
        <w:tc>
          <w:tcPr>
            <w:tcW w:type="dxa" w:w="1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Threshold 0.50</w:t>
            </w:r>
          </w:p>
        </w:tc>
        <w:tc>
          <w:tcPr>
            <w:tcW w:type="dxa" w:w="22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Threshold 0.31 (deployed)</w:t>
            </w:r>
          </w:p>
        </w:tc>
        <w:tc>
          <w:tcPr>
            <w:tcW w:type="dxa" w:w="24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center"/>
            </w:pPr>
            <w:r>
              <w:rPr>
                <w:rFonts w:ascii="Arial" w:cs="Arial" w:eastAsia="Arial" w:hAnsi="Arial"/>
                <w:b/>
                <w:bCs/>
                <w:color w:val="FFFFFF"/>
                <w:sz w:val="17"/>
                <w:szCs w:val="17"/>
              </w:rPr>
              <w:t xml:space="preserve">External site, threshold 0.31 (n = 293)</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ROC-AUC / PR-AUC</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0.961 / 0.949</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0.961 / 0.949</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0.894 / 0.857</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Recall (sensitivity)</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0.929</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1.000</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0.802</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Precision</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0.839</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0.718</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0.752</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Specificity</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0.848</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0.667</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0.850</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Accuracy / F1</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0.885 / 0.881</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0.820 / 0.836</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0.833 / 0.776</w:t>
            </w:r>
          </w:p>
        </w:tc>
      </w:tr>
      <w:tr>
        <w:trPr>
          <w:cantSplit/>
          <w:tblHeader w:val="off"/>
        </w:trPr>
        <w:tc>
          <w:tcPr>
            <w:tcW w:type="dxa" w:w="31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Missed cases (FN) / false alarms (FP)</w:t>
            </w:r>
          </w:p>
        </w:tc>
        <w:tc>
          <w:tcPr>
            <w:tcW w:type="dxa" w:w="1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2 / 5</w:t>
            </w:r>
          </w:p>
        </w:tc>
        <w:tc>
          <w:tcPr>
            <w:tcW w:type="dxa" w:w="22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 / 11</w:t>
            </w:r>
          </w:p>
        </w:tc>
        <w:tc>
          <w:tcPr>
            <w:tcW w:type="dxa" w:w="24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21 / 28</w:t>
            </w:r>
          </w:p>
        </w:tc>
      </w:tr>
      <w:tr>
        <w:trPr>
          <w:cantSplit/>
          <w:tblHeader w:val="off"/>
        </w:trPr>
        <w:tc>
          <w:tcPr>
            <w:tcW w:type="dxa" w:w="31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Brier score</w:t>
            </w:r>
          </w:p>
        </w:tc>
        <w:tc>
          <w:tcPr>
            <w:tcW w:type="dxa" w:w="1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0.091</w:t>
            </w:r>
          </w:p>
        </w:tc>
        <w:tc>
          <w:tcPr>
            <w:tcW w:type="dxa" w:w="22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0.091</w:t>
            </w:r>
          </w:p>
        </w:tc>
        <w:tc>
          <w:tcPr>
            <w:tcW w:type="dxa" w:w="24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center"/>
            </w:pPr>
            <w:r>
              <w:rPr>
                <w:rFonts w:ascii="Arial" w:cs="Arial" w:eastAsia="Arial" w:hAnsi="Arial"/>
                <w:b w:val="false"/>
                <w:bCs w:val="false"/>
                <w:color w:val="1F2933"/>
                <w:sz w:val="17"/>
                <w:szCs w:val="17"/>
              </w:rPr>
              <w:t xml:space="preserve">0.133</w:t>
            </w:r>
          </w:p>
        </w:tc>
      </w:tr>
    </w:tbl>
    <w:p>
      <w:pPr>
        <w:spacing w:after="6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168"/>
        <w:gridCol w:w="3470"/>
      </w:tblGrid>
      <w:tr>
        <w:tc>
          <w:tcPr>
            <w:tcW w:type="dxa" w:w="6168"/>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3810000" cy="1600200"/>
                  <wp:effectExtent t="0" r="0" b="0" l="0"/>
                  <wp:docPr id="6" name="champion_roc_pr.png" descr="champion_roc_pr.png" title="champion_roc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6002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6. Hold-out ROC and precision-recall curves.</w:t>
            </w:r>
          </w:p>
        </w:tc>
        <w:tc>
          <w:tcPr>
            <w:tcW w:type="dxa" w:w="3470"/>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095500" cy="1819275"/>
                  <wp:effectExtent t="0" r="0" b="0" l="0"/>
                  <wp:docPr id="7" name="champion_confusion_tuned.png" descr="champion_confusion_tuned.png" title="champion_confusion_tu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18192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7. Hold-out confusion matrix at 0.31.</w:t>
            </w:r>
          </w:p>
        </w:tc>
      </w:tr>
    </w:tbl>
    <w:p>
      <w:pPr>
        <w:spacing w:after="90" w:line="264"/>
        <w:jc w:val="both"/>
      </w:pPr>
      <w:r>
        <w:rPr>
          <w:rFonts w:ascii="Arial" w:cs="Arial" w:eastAsia="Arial" w:hAnsi="Arial"/>
          <w:b/>
          <w:bCs/>
        </w:rPr>
        <w:t xml:space="preserve">Interpretation.</w:t>
      </w:r>
      <w:r>
        <w:rPr>
          <w:rFonts w:ascii="Arial" w:cs="Arial" w:eastAsia="Arial" w:hAnsi="Arial"/>
        </w:rPr>
        <w:t xml:space="preserve"> The hold-out AUC (0.96) is higher than the CV estimate (0.90); with 61 patients one case moves accuracy by 1.6 points, so the CV figure is the one to quote. Lowering the threshold to 0.31 removes both missed cases at the cost of six extra false alarms - the intended trade-off for screening. On the external Hungarian site, discrimination largely holds (AUC 0.89) even though </w:t>
      </w:r>
      <w:r>
        <w:rPr>
          <w:rFonts w:ascii="Consolas" w:cs="Consolas" w:eastAsia="Consolas" w:hAnsi="Consolas"/>
          <w:color w:val="334155"/>
          <w:sz w:val="18"/>
          <w:szCs w:val="18"/>
        </w:rPr>
        <w:t xml:space="preserve">ca</w:t>
      </w:r>
      <w:r>
        <w:rPr>
          <w:rFonts w:ascii="Arial" w:cs="Arial" w:eastAsia="Arial" w:hAnsi="Arial"/>
        </w:rPr>
        <w:t xml:space="preserve">/</w:t>
      </w:r>
      <w:r>
        <w:rPr>
          <w:rFonts w:ascii="Consolas" w:cs="Consolas" w:eastAsia="Consolas" w:hAnsi="Consolas"/>
          <w:color w:val="334155"/>
          <w:sz w:val="18"/>
          <w:szCs w:val="18"/>
        </w:rPr>
        <w:t xml:space="preserve">thal</w:t>
      </w:r>
      <w:r>
        <w:rPr>
          <w:rFonts w:ascii="Arial" w:cs="Arial" w:eastAsia="Arial" w:hAnsi="Arial"/>
        </w:rPr>
        <w:t xml:space="preserve"> are almost entirely imputed, but recall falls to 0.80: the model would need re-calibration before use at another hospital, which the drift monitoring in Section 9 is designed to surface.</w:t>
      </w:r>
    </w:p>
    <w:p>
      <w:pPr>
        <w:pStyle w:val="Heading1"/>
        <w:spacing w:after="90" w:before="200"/>
      </w:pPr>
      <w:r>
        <w:rPr>
          <w:rFonts w:ascii="Arial" w:cs="Arial" w:eastAsia="Arial" w:hAnsi="Arial"/>
        </w:rPr>
        <w:t xml:space="preserve">5. Experiment tracking (MLflow)</w:t>
      </w:r>
    </w:p>
    <w:p>
      <w:pPr>
        <w:spacing w:after="90" w:line="264"/>
        <w:jc w:val="both"/>
      </w:pPr>
      <w:r>
        <w:rPr>
          <w:rFonts w:ascii="Arial" w:cs="Arial" w:eastAsia="Arial" w:hAnsi="Arial"/>
        </w:rPr>
        <w:t xml:space="preserve">Tracking uses an SQLite backend (</w:t>
      </w:r>
      <w:r>
        <w:rPr>
          <w:rFonts w:ascii="Consolas" w:cs="Consolas" w:eastAsia="Consolas" w:hAnsi="Consolas"/>
          <w:color w:val="334155"/>
          <w:sz w:val="18"/>
          <w:szCs w:val="18"/>
        </w:rPr>
        <w:t xml:space="preserve">mlflow.db</w:t>
      </w:r>
      <w:r>
        <w:rPr>
          <w:rFonts w:ascii="Arial" w:cs="Arial" w:eastAsia="Arial" w:hAnsi="Arial"/>
        </w:rPr>
        <w:t xml:space="preserve">) with a local artefact store, which also enables the model registry. Experiment </w:t>
      </w:r>
      <w:r>
        <w:rPr>
          <w:rFonts w:ascii="Consolas" w:cs="Consolas" w:eastAsia="Consolas" w:hAnsi="Consolas"/>
          <w:color w:val="334155"/>
          <w:sz w:val="18"/>
          <w:szCs w:val="18"/>
        </w:rPr>
        <w:t xml:space="preserve">heart-disease-risk</w:t>
      </w:r>
      <w:r>
        <w:rPr>
          <w:rFonts w:ascii="Arial" w:cs="Arial" w:eastAsia="Arial" w:hAnsi="Arial"/>
        </w:rPr>
        <w:t xml:space="preserve"> contains </w:t>
      </w:r>
      <w:r>
        <w:rPr>
          <w:rFonts w:ascii="Arial" w:cs="Arial" w:eastAsia="Arial" w:hAnsi="Arial"/>
          <w:b/>
          <w:bCs/>
        </w:rPr>
        <w:t xml:space="preserve">92 runs</w:t>
      </w:r>
      <w:r>
        <w:rPr>
          <w:rFonts w:ascii="Arial" w:cs="Arial" w:eastAsia="Arial" w:hAnsi="Arial"/>
        </w:rPr>
        <w:t xml:space="preserve">:</w:t>
      </w:r>
    </w:p>
    <w:p>
      <w:pPr>
        <w:pStyle w:val="ListParagraph"/>
        <w:numPr>
          <w:ilvl w:val="0"/>
          <w:numId w:val="2"/>
        </w:numPr>
        <w:spacing w:after="40" w:line="252"/>
      </w:pPr>
      <w:r>
        <w:rPr>
          <w:rFonts w:ascii="Arial" w:cs="Arial" w:eastAsia="Arial" w:hAnsi="Arial"/>
          <w:b/>
          <w:bCs/>
        </w:rPr>
        <w:t xml:space="preserve">One parent run per model family</w:t>
      </w:r>
      <w:r>
        <w:rPr>
          <w:rFonts w:ascii="Arial" w:cs="Arial" w:eastAsia="Arial" w:hAnsi="Arial"/>
        </w:rPr>
        <w:t xml:space="preserve"> - search space, best parameters, CV mean/sd for five metrics, train-CV gap, hold-out metrics, search time; artefacts: </w:t>
      </w:r>
      <w:r>
        <w:rPr>
          <w:rFonts w:ascii="Consolas" w:cs="Consolas" w:eastAsia="Consolas" w:hAnsi="Consolas"/>
          <w:color w:val="334155"/>
          <w:sz w:val="18"/>
          <w:szCs w:val="18"/>
        </w:rPr>
        <w:t xml:space="preserve">cv_results.csv</w:t>
      </w:r>
      <w:r>
        <w:rPr>
          <w:rFonts w:ascii="Arial" w:cs="Arial" w:eastAsia="Arial" w:hAnsi="Arial"/>
        </w:rPr>
        <w:t xml:space="preserve">, ROC/PR, confusion matrix, calibration and feature-importance plots, and the fitted model with input signature and example.</w:t>
      </w:r>
    </w:p>
    <w:p>
      <w:pPr>
        <w:pStyle w:val="ListParagraph"/>
        <w:numPr>
          <w:ilvl w:val="0"/>
          <w:numId w:val="2"/>
        </w:numPr>
        <w:spacing w:after="40" w:line="252"/>
      </w:pPr>
      <w:r>
        <w:rPr>
          <w:rFonts w:ascii="Arial" w:cs="Arial" w:eastAsia="Arial" w:hAnsi="Arial"/>
          <w:b/>
          <w:bCs/>
        </w:rPr>
        <w:t xml:space="preserve">One nested run per grid candidate (88)</w:t>
      </w:r>
      <w:r>
        <w:rPr>
          <w:rFonts w:ascii="Arial" w:cs="Arial" w:eastAsia="Arial" w:hAnsi="Arial"/>
        </w:rPr>
        <w:t xml:space="preserve"> - every configuration is visible and comparable (Figure 9 compares all 48 logistic-regression candidates).</w:t>
      </w:r>
    </w:p>
    <w:p>
      <w:pPr>
        <w:pStyle w:val="ListParagraph"/>
        <w:numPr>
          <w:ilvl w:val="0"/>
          <w:numId w:val="2"/>
        </w:numPr>
        <w:spacing w:after="40" w:line="252"/>
      </w:pPr>
      <w:r>
        <w:rPr>
          <w:rFonts w:ascii="Arial" w:cs="Arial" w:eastAsia="Arial" w:hAnsi="Arial"/>
          <w:b/>
          <w:bCs/>
        </w:rPr>
        <w:t xml:space="preserve">A champion run</w:t>
      </w:r>
      <w:r>
        <w:rPr>
          <w:rFonts w:ascii="Arial" w:cs="Arial" w:eastAsia="Arial" w:hAnsi="Arial"/>
        </w:rPr>
        <w:t xml:space="preserve"> - model card, training config, data provenance (SHA-256), threshold, hold-out and external metrics, and the model registered as </w:t>
      </w:r>
      <w:r>
        <w:rPr>
          <w:rFonts w:ascii="Consolas" w:cs="Consolas" w:eastAsia="Consolas" w:hAnsi="Consolas"/>
          <w:color w:val="334155"/>
          <w:sz w:val="18"/>
          <w:szCs w:val="18"/>
        </w:rPr>
        <w:t xml:space="preserve">heart-disease-classifier</w:t>
      </w:r>
      <w:r>
        <w:rPr>
          <w:rFonts w:ascii="Arial" w:cs="Arial" w:eastAsia="Arial" w:hAnsi="Arial"/>
        </w:rPr>
        <w:t xml:space="preserve"> with alias </w:t>
      </w:r>
      <w:r>
        <w:rPr>
          <w:rFonts w:ascii="Consolas" w:cs="Consolas" w:eastAsia="Consolas" w:hAnsi="Consolas"/>
          <w:color w:val="334155"/>
          <w:sz w:val="18"/>
          <w:szCs w:val="18"/>
        </w:rPr>
        <w:t xml:space="preserve">@champion</w:t>
      </w:r>
      <w:r>
        <w:rPr>
          <w:rFonts w:ascii="Arial" w:cs="Arial" w:eastAsia="Arial" w:hAnsi="Arial"/>
        </w:rPr>
        <w:t xml:space="preserve">. Models are saved with </w:t>
      </w:r>
      <w:r>
        <w:rPr>
          <w:rFonts w:ascii="Arial" w:cs="Arial" w:eastAsia="Arial" w:hAnsi="Arial"/>
          <w:b/>
          <w:bCs/>
        </w:rPr>
        <w:t xml:space="preserve">skops</w:t>
      </w:r>
      <w:r>
        <w:rPr>
          <w:rFonts w:ascii="Arial" w:cs="Arial" w:eastAsia="Arial" w:hAnsi="Arial"/>
        </w:rPr>
        <w:t xml:space="preserve"> and an explicit type allow-list rather than raw pickle, so loading a tampered artefact cannot execute arbitrary code.</w:t>
      </w:r>
    </w:p>
    <w:p>
      <w:pPr>
        <w:spacing w:after="30" w:before="40"/>
        <w:jc w:val="center"/>
      </w:pPr>
      <w:r>
        <w:drawing>
          <wp:inline distT="0" distB="0" distL="0" distR="0">
            <wp:extent cx="5762625" cy="3600450"/>
            <wp:effectExtent t="0" r="0" b="0" l="0"/>
            <wp:docPr id="8" name="mlflow_01_runs_nested.png" descr="mlflow_01_runs_nested.png" title="mlflow_01_runs_n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8. MLflow runs view: family parent runs with the logistic-regression candidates expanded.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47850"/>
                  <wp:effectExtent t="0" r="0" b="0" l="0"/>
                  <wp:docPr id="9" name="mlflow_09_compare_lr_candidates.png" descr="mlflow_09_compare_lr_candidates.png" title="mlflow_09_compare_lr_candid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52750" cy="18478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9. Parallel-coordinates comparison of 48 candidates.</w:t>
            </w:r>
          </w:p>
        </w:tc>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47850"/>
                  <wp:effectExtent t="0" r="0" b="0" l="0"/>
                  <wp:docPr id="10" name="mlflow_08_registry_version.png" descr="mlflow_08_registry_version.png" title="mlflow_08_registry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52750" cy="18478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10. Registered model version with alias @champion.</w:t>
            </w:r>
          </w:p>
        </w:tc>
      </w:tr>
    </w:tbl>
    <w:p>
      <w:pPr>
        <w:pStyle w:val="Heading1"/>
        <w:spacing w:after="90" w:before="200"/>
      </w:pPr>
      <w:r>
        <w:rPr>
          <w:rFonts w:ascii="Arial" w:cs="Arial" w:eastAsia="Arial" w:hAnsi="Arial"/>
        </w:rPr>
        <w:t xml:space="preserve">6. Model packaging and reproducibility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cantSplit/>
          <w:tblHeader/>
        </w:trPr>
        <w:tc>
          <w:tcPr>
            <w:tcW w:type="dxa" w:w="29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Artefact</w:t>
            </w:r>
          </w:p>
        </w:tc>
        <w:tc>
          <w:tcPr>
            <w:tcW w:type="dxa" w:w="67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Purpose</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models/model.joblib</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Complete fitted pipeline (preprocessing + classifier) loaded by the API</w:t>
            </w:r>
          </w:p>
        </w:tc>
      </w:tr>
      <w:tr>
        <w:trPr>
          <w:cantSplit/>
          <w:tblHeader w:val="off"/>
        </w:trPr>
        <w:tc>
          <w:tcPr>
            <w:tcW w:type="dxa" w:w="2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models/mlflow_model/</w:t>
            </w:r>
          </w:p>
        </w:tc>
        <w:tc>
          <w:tcPr>
            <w:tcW w:type="dxa" w:w="6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MLflow format: skops-serialised model, input schema, pinned requirements, </w:t>
            </w:r>
            <w:r>
              <w:rPr>
                <w:rFonts w:ascii="Consolas" w:cs="Consolas" w:eastAsia="Consolas" w:hAnsi="Consolas"/>
                <w:color w:val="334155"/>
                <w:sz w:val="16"/>
                <w:szCs w:val="16"/>
              </w:rPr>
              <w:t xml:space="preserve">predict_proba</w:t>
            </w:r>
            <w:r>
              <w:rPr>
                <w:rFonts w:ascii="Arial" w:cs="Arial" w:eastAsia="Arial" w:hAnsi="Arial"/>
                <w:b w:val="false"/>
                <w:bCs w:val="false"/>
                <w:color w:val="1F2933"/>
                <w:sz w:val="17"/>
                <w:szCs w:val="17"/>
              </w:rPr>
              <w:t xml:space="preserve"> pyfunc</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models/model_card.json</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type, hyper-parameters, threshold and policy, CV/hold-out/external metrics, training-data SHA-256, training feature profile (used for drift), library versions, intended use</w:t>
            </w:r>
          </w:p>
        </w:tc>
      </w:tr>
      <w:tr>
        <w:trPr>
          <w:cantSplit/>
          <w:tblHeader w:val="off"/>
        </w:trPr>
        <w:tc>
          <w:tcPr>
            <w:tcW w:type="dxa" w:w="29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requirements*.txt</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environment.yml</w:t>
            </w:r>
          </w:p>
        </w:tc>
        <w:tc>
          <w:tcPr>
            <w:tcW w:type="dxa" w:w="67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Exact versions (scikit-learn 1.9.1, MLflow 3.17.1, FastAPI 0.150.0, ...); serving image installs only the runtime subset</w:t>
            </w:r>
          </w:p>
        </w:tc>
      </w:tr>
      <w:tr>
        <w:trPr>
          <w:cantSplit/>
          <w:tblHeader w:val="off"/>
        </w:trPr>
        <w:tc>
          <w:tcPr>
            <w:tcW w:type="dxa" w:w="29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configs/train.yaml</w:t>
            </w:r>
          </w:p>
        </w:tc>
        <w:tc>
          <w:tcPr>
            <w:tcW w:type="dxa" w:w="67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Every training decision (grids, CV scheme, threshold policy, quality gate), logged with each run</w:t>
            </w:r>
          </w:p>
        </w:tc>
      </w:tr>
    </w:tbl>
    <w:p>
      <w:pPr>
        <w:spacing w:after="60"/>
      </w:pPr>
    </w:p>
    <w:p>
      <w:pPr>
        <w:spacing w:after="90" w:line="264"/>
        <w:jc w:val="both"/>
      </w:pPr>
      <w:r>
        <w:rPr>
          <w:rFonts w:ascii="Arial" w:cs="Arial" w:eastAsia="Arial" w:hAnsi="Arial"/>
        </w:rPr>
        <w:t xml:space="preserve">Seeds are fixed for splitting, CV and every estimator; a unit test asserts identical predictions across two fits. Three independent full training runs produced the same CV scores to four decimals.</w:t>
      </w:r>
    </w:p>
    <w:p>
      <w:pPr>
        <w:spacing w:after="30" w:before="40"/>
        <w:jc w:val="center"/>
      </w:pPr>
      <w:r>
        <w:drawing>
          <wp:inline distT="0" distB="0" distL="0" distR="0">
            <wp:extent cx="3752850" cy="3924300"/>
            <wp:effectExtent t="0" r="0" b="0" l="0"/>
            <wp:docPr id="11" name="terminal_14_clean_setup_ci_part2.png" descr="terminal_14_clean_setup_ci_part2.png" title="terminal_14_clean_setup_ci_pa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52850" cy="39243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11. Clean checkout: training, quality gate, Docker build and smoke test (part 2 of the local CI run).</w:t>
      </w:r>
    </w:p>
    <w:p>
      <w:pPr>
        <w:pStyle w:val="Heading1"/>
        <w:spacing w:after="90" w:before="200"/>
      </w:pPr>
      <w:r>
        <w:rPr>
          <w:rFonts w:ascii="Arial" w:cs="Arial" w:eastAsia="Arial" w:hAnsi="Arial"/>
        </w:rPr>
        <w:t xml:space="preserve">7. CI/CD pipeline and automated testing</w:t>
      </w:r>
    </w:p>
    <w:p>
      <w:pPr>
        <w:spacing w:after="90" w:line="264"/>
        <w:jc w:val="both"/>
      </w:pPr>
      <w:r>
        <w:rPr>
          <w:rFonts w:ascii="Arial" w:cs="Arial" w:eastAsia="Arial" w:hAnsi="Arial"/>
          <w:b/>
          <w:bCs/>
        </w:rPr>
        <w:t xml:space="preserve">Tests (57, 91% line coverage, pytest).</w:t>
      </w:r>
      <w:r>
        <w:rPr>
          <w:rFonts w:ascii="Arial" w:cs="Arial" w:eastAsia="Arial" w:hAnsi="Arial"/>
        </w:rPr>
        <w:t xml:space="preserve"> Data: parsing of </w:t>
      </w:r>
      <w:r>
        <w:rPr>
          <w:rFonts w:ascii="Consolas" w:cs="Consolas" w:eastAsia="Consolas" w:hAnsi="Consolas"/>
          <w:color w:val="334155"/>
          <w:sz w:val="18"/>
          <w:szCs w:val="18"/>
        </w:rPr>
        <w:t xml:space="preserve">?</w:t>
      </w:r>
      <w:r>
        <w:rPr>
          <w:rFonts w:ascii="Arial" w:cs="Arial" w:eastAsia="Arial" w:hAnsi="Arial"/>
        </w:rPr>
        <w:t xml:space="preserve"> markers, binarisation, range nulling, de-duplication, ARFF code mapping, contract violations, checksum-guarded fallback (tampered mirror rejected) - all without network access. Features: engineered values, ablation switch, NaN propagation, no NaN after preprocessing, unseen categories, feature names. Model: every family fits, determinism, serialisation round trip, hand-checked metrics, threshold precision floor, parsimony rule, quality gate, and an end-to-end quick training run into an isolated MLflow store that reloads the registered model. API: contract, confidence semantics, risk ordering, optional fields, 422 validation with field details, batch limits, request-id propagation, Prometheus counters, offline docs, threshold override and the not-ready path. EDA: figures and summary.</w:t>
      </w:r>
    </w:p>
    <w:p>
      <w:pPr>
        <w:spacing w:after="90" w:line="264"/>
        <w:jc w:val="both"/>
      </w:pPr>
      <w:r>
        <w:rPr>
          <w:rFonts w:ascii="Arial" w:cs="Arial" w:eastAsia="Arial" w:hAnsi="Arial"/>
          <w:b/>
          <w:bCs/>
        </w:rPr>
        <w:t xml:space="preserve">GitHub Actions</w:t>
      </w:r>
      <w:r>
        <w:rPr>
          <w:rFonts w:ascii="Arial" w:cs="Arial" w:eastAsia="Arial" w:hAnsi="Arial"/>
        </w:rPr>
        <w:t xml:space="preserve"> (</w:t>
      </w:r>
      <w:r>
        <w:rPr>
          <w:rFonts w:ascii="Consolas" w:cs="Consolas" w:eastAsia="Consolas" w:hAnsi="Consolas"/>
          <w:color w:val="334155"/>
          <w:sz w:val="18"/>
          <w:szCs w:val="18"/>
        </w:rPr>
        <w:t xml:space="preserve">.github/workflows/ci-cd.yml</w:t>
      </w:r>
      <w:r>
        <w:rPr>
          <w:rFonts w:ascii="Arial" w:cs="Arial" w:eastAsia="Arial" w:hAnsi="Arial"/>
        </w:rPr>
        <w:t xml:space="preserve">, validated with actionlint):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3700"/>
        <w:gridCol w:w="2300"/>
        <w:gridCol w:w="2388"/>
      </w:tblGrid>
      <w:tr>
        <w:trPr>
          <w:cantSplit/>
          <w:tblHeader/>
        </w:trPr>
        <w:tc>
          <w:tcPr>
            <w:tcW w:type="dxa" w:w="125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Job</w:t>
            </w:r>
          </w:p>
        </w:tc>
        <w:tc>
          <w:tcPr>
            <w:tcW w:type="dxa" w:w="37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Steps</w:t>
            </w:r>
          </w:p>
        </w:tc>
        <w:tc>
          <w:tcPr>
            <w:tcW w:type="dxa" w:w="2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Fails when</w:t>
            </w:r>
          </w:p>
        </w:tc>
        <w:tc>
          <w:tcPr>
            <w:tcW w:type="dxa" w:w="238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Artefacts / logging</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lint</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ruff check, ruff format --check, YAML parse of deploy configs</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any lint/format error</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inline PR annotations</w:t>
            </w:r>
          </w:p>
        </w:tc>
      </w:tr>
      <w:tr>
        <w:trPr>
          <w:cantSplit/>
          <w:tblHeader w:val="off"/>
        </w:trPr>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test</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pip install -r requirements.txt; data contract; pytest --cov</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any failing test</w:t>
            </w:r>
          </w:p>
        </w:tc>
        <w:tc>
          <w:tcPr>
            <w:tcW w:type="dxa" w:w="238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JUnit XML, coverage XML, log, job summary table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train</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download (UCI) -&gt; EDA -&gt; train -&gt; quality gate</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gate: hold-out AUC &lt; 0.80 or recall &lt; 0.75</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model, MLflow store, reports, logs, metrics summary</w:t>
            </w:r>
          </w:p>
        </w:tc>
      </w:tr>
      <w:tr>
        <w:trPr>
          <w:cantSplit/>
          <w:tblHeader w:val="off"/>
        </w:trPr>
        <w:tc>
          <w:tcPr>
            <w:tcW w:type="dxa" w:w="125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docker</w:t>
            </w:r>
          </w:p>
        </w:tc>
        <w:tc>
          <w:tcPr>
            <w:tcW w:type="dxa" w:w="37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buildx build (GHA cache), run, 7-check smoke test; push to GHCR on main</w:t>
            </w:r>
          </w:p>
        </w:tc>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build error, unhealthy container, failed check</w:t>
            </w:r>
          </w:p>
        </w:tc>
        <w:tc>
          <w:tcPr>
            <w:tcW w:type="dxa" w:w="238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container logs, saved image</w:t>
            </w:r>
          </w:p>
        </w:tc>
      </w:tr>
      <w:tr>
        <w:trPr>
          <w:cantSplit/>
          <w:tblHeader w:val="off"/>
        </w:trPr>
        <w:tc>
          <w:tcPr>
            <w:tcW w:type="dxa" w:w="125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deploy-kind</w:t>
            </w:r>
          </w:p>
        </w:tc>
        <w:tc>
          <w:tcPr>
            <w:tcW w:type="dxa" w:w="37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kind cluster, kubectl apply -k, rollout status, smoke test via port-forward, helm lint/template/install</w:t>
            </w:r>
          </w:p>
        </w:tc>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rollout timeout or failed check</w:t>
            </w:r>
          </w:p>
        </w:tc>
        <w:tc>
          <w:tcPr>
            <w:tcW w:type="dxa" w:w="238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cluster state, pod logs, rendered Helm</w:t>
            </w:r>
          </w:p>
        </w:tc>
      </w:tr>
    </w:tbl>
    <w:p>
      <w:pPr>
        <w:spacing w:after="60"/>
      </w:pPr>
    </w:p>
    <w:p>
      <w:pPr>
        <w:spacing w:after="90" w:line="264"/>
        <w:jc w:val="both"/>
      </w:pPr>
      <w:r>
        <w:rPr>
          <w:rFonts w:ascii="Arial" w:cs="Arial" w:eastAsia="Arial" w:hAnsi="Arial"/>
        </w:rPr>
        <w:t xml:space="preserve">Each script runs with </w:t>
      </w:r>
      <w:r>
        <w:rPr>
          <w:rFonts w:ascii="Consolas" w:cs="Consolas" w:eastAsia="Consolas" w:hAnsi="Consolas"/>
          <w:color w:val="334155"/>
          <w:sz w:val="18"/>
          <w:szCs w:val="18"/>
        </w:rPr>
        <w:t xml:space="preserve">set -euo pipefail</w:t>
      </w:r>
      <w:r>
        <w:rPr>
          <w:rFonts w:ascii="Arial" w:cs="Arial" w:eastAsia="Arial" w:hAnsi="Arial"/>
        </w:rPr>
        <w:t xml:space="preserve"> (or propagates the pytest/training exit code through </w:t>
      </w:r>
      <w:r>
        <w:rPr>
          <w:rFonts w:ascii="Consolas" w:cs="Consolas" w:eastAsia="Consolas" w:hAnsi="Consolas"/>
          <w:color w:val="334155"/>
          <w:sz w:val="18"/>
          <w:szCs w:val="18"/>
        </w:rPr>
        <w:t xml:space="preserve">tee</w:t>
      </w:r>
      <w:r>
        <w:rPr>
          <w:rFonts w:ascii="Arial" w:cs="Arial" w:eastAsia="Arial" w:hAnsi="Arial"/>
        </w:rPr>
        <w:t xml:space="preserve">), so the pipeline fails on code or test errors with readable logs. The same stages run locally via </w:t>
      </w:r>
      <w:r>
        <w:rPr>
          <w:rFonts w:ascii="Consolas" w:cs="Consolas" w:eastAsia="Consolas" w:hAnsi="Consolas"/>
          <w:color w:val="334155"/>
          <w:sz w:val="18"/>
          <w:szCs w:val="18"/>
        </w:rPr>
        <w:t xml:space="preserve">scripts/ci_local.sh</w:t>
      </w:r>
      <w:r>
        <w:rPr>
          <w:rFonts w:ascii="Arial" w:cs="Arial" w:eastAsia="Arial" w:hAnsi="Arial"/>
        </w:rPr>
        <w:t xml:space="preserve"> (Figure 11).</w:t>
      </w:r>
    </w:p>
    <w:p>
      <w:pPr>
        <w:spacing w:after="90" w:line="264"/>
        <w:jc w:val="both"/>
      </w:pPr>
      <w:r>
        <w:rPr>
          <w:rFonts w:ascii="Arial" w:cs="Arial" w:eastAsia="Arial" w:hAnsi="Arial"/>
          <w:b/>
          <w:bCs/>
        </w:rPr>
        <w:t xml:space="preserve">On GitHub</w:t>
      </w:r>
      <w:r>
        <w:rPr>
          <w:rFonts w:ascii="Arial" w:cs="Arial" w:eastAsia="Arial" w:hAnsi="Arial"/>
        </w:rPr>
        <w:t xml:space="preserve"> (run #2, commit </w:t>
      </w:r>
      <w:r>
        <w:rPr>
          <w:rFonts w:ascii="Consolas" w:cs="Consolas" w:eastAsia="Consolas" w:hAnsi="Consolas"/>
          <w:color w:val="334155"/>
          <w:sz w:val="18"/>
          <w:szCs w:val="18"/>
        </w:rPr>
        <w:t xml:space="preserve">27fc7ba</w:t>
      </w:r>
      <w:r>
        <w:rPr>
          <w:rFonts w:ascii="Arial" w:cs="Arial" w:eastAsia="Arial" w:hAnsi="Arial"/>
        </w:rPr>
        <w:t xml:space="preserve">) all five jobs passed in 13 min 49 s and uploaded 7 artefacts; the job summaries publish the test table and the model comparison (Figures 12-13). The first run failed at the smoke test with a clear log (</w:t>
      </w:r>
      <w:r>
        <w:rPr>
          <w:rFonts w:ascii="Consolas" w:cs="Consolas" w:eastAsia="Consolas" w:hAnsi="Consolas"/>
          <w:color w:val="334155"/>
          <w:sz w:val="18"/>
          <w:szCs w:val="18"/>
        </w:rPr>
        <w:t xml:space="preserve">Permission denied</w:t>
      </w:r>
      <w:r>
        <w:rPr>
          <w:rFonts w:ascii="Arial" w:cs="Arial" w:eastAsia="Arial" w:hAnsi="Arial"/>
        </w:rPr>
        <w:t xml:space="preserve">): committing from Windows had dropped the script's executable bit. The workflow now invokes it through </w:t>
      </w:r>
      <w:r>
        <w:rPr>
          <w:rFonts w:ascii="Consolas" w:cs="Consolas" w:eastAsia="Consolas" w:hAnsi="Consolas"/>
          <w:color w:val="334155"/>
          <w:sz w:val="18"/>
          <w:szCs w:val="18"/>
        </w:rPr>
        <w:t xml:space="preserve">bash</w:t>
      </w:r>
      <w:r>
        <w:rPr>
          <w:rFonts w:ascii="Arial" w:cs="Arial" w:eastAsia="Arial" w:hAnsi="Arial"/>
        </w:rPr>
        <w:t xml:space="preserve"> - the pipeline failing loudly on a real defect, as intended.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72"/>
        <w:gridCol w:w="3566"/>
      </w:tblGrid>
      <w:tr>
        <w:tc>
          <w:tcPr>
            <w:tcW w:type="dxa" w:w="6072"/>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3743325" cy="1885950"/>
                  <wp:effectExtent t="0" r="0" b="0" l="0"/>
                  <wp:docPr id="12" name="github_actions_01_run_all_green.png" descr="github_actions_01_run_all_green.png" title="github_actions_01_run_all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43325" cy="188595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12. GitHub Actions run #2: five jobs green, 7 artefacts.</w:t>
            </w:r>
          </w:p>
        </w:tc>
        <w:tc>
          <w:tcPr>
            <w:tcW w:type="dxa" w:w="3566"/>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152650" cy="1876425"/>
                  <wp:effectExtent t="0" r="0" b="0" l="0"/>
                  <wp:docPr id="13" name="github_actions_02_tests_and_models.png" descr="github_actions_02_tests_and_models.png" title="github_actions_02_tests_and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52650" cy="18764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13. Job summaries: 57/57 tests, 90.6% coverage, model table.</w:t>
            </w:r>
          </w:p>
        </w:tc>
      </w:tr>
    </w:tbl>
    <w:p>
      <w:pPr>
        <w:pStyle w:val="Heading1"/>
        <w:spacing w:after="90" w:before="200"/>
      </w:pPr>
      <w:r>
        <w:rPr>
          <w:rFonts w:ascii="Arial" w:cs="Arial" w:eastAsia="Arial" w:hAnsi="Arial"/>
        </w:rPr>
        <w:t xml:space="preserve">8. Containerisation and production deployment</w:t>
      </w:r>
    </w:p>
    <w:p>
      <w:pPr>
        <w:spacing w:after="90" w:line="264"/>
        <w:jc w:val="both"/>
      </w:pPr>
      <w:r>
        <w:rPr>
          <w:rFonts w:ascii="Arial" w:cs="Arial" w:eastAsia="Arial" w:hAnsi="Arial"/>
          <w:b/>
          <w:bCs/>
        </w:rPr>
        <w:t xml:space="preserve">Docker.</w:t>
      </w:r>
      <w:r>
        <w:rPr>
          <w:rFonts w:ascii="Arial" w:cs="Arial" w:eastAsia="Arial" w:hAnsi="Arial"/>
        </w:rPr>
        <w:t xml:space="preserve"> A multi-stage build resolves dependencies in a builder stage and copies only the virtual environment, source and model into the runtime stage; the container runs as non-root UID 10001 with a </w:t>
      </w:r>
      <w:r>
        <w:rPr>
          <w:rFonts w:ascii="Consolas" w:cs="Consolas" w:eastAsia="Consolas" w:hAnsi="Consolas"/>
          <w:color w:val="334155"/>
          <w:sz w:val="18"/>
          <w:szCs w:val="18"/>
        </w:rPr>
        <w:t xml:space="preserve">HEALTHCHECK</w:t>
      </w:r>
      <w:r>
        <w:rPr>
          <w:rFonts w:ascii="Arial" w:cs="Arial" w:eastAsia="Arial" w:hAnsi="Arial"/>
        </w:rPr>
        <w:t xml:space="preserve"> on </w:t>
      </w:r>
      <w:r>
        <w:rPr>
          <w:rFonts w:ascii="Consolas" w:cs="Consolas" w:eastAsia="Consolas" w:hAnsi="Consolas"/>
          <w:color w:val="334155"/>
          <w:sz w:val="18"/>
          <w:szCs w:val="18"/>
        </w:rPr>
        <w:t xml:space="preserve">/ready</w:t>
      </w:r>
      <w:r>
        <w:rPr>
          <w:rFonts w:ascii="Arial" w:cs="Arial" w:eastAsia="Arial" w:hAnsi="Arial"/>
        </w:rPr>
        <w:t xml:space="preserve"> and one uvicorn worker (scaling is done with replicas, which keeps Prometheus counters exact per process). </w:t>
      </w:r>
      <w:r>
        <w:rPr>
          <w:rFonts w:ascii="Consolas" w:cs="Consolas" w:eastAsia="Consolas" w:hAnsi="Consolas"/>
          <w:color w:val="334155"/>
          <w:sz w:val="18"/>
          <w:szCs w:val="18"/>
        </w:rPr>
        <w:t xml:space="preserve">BASE_IMAGE</w:t>
      </w:r>
      <w:r>
        <w:rPr>
          <w:rFonts w:ascii="Arial" w:cs="Arial" w:eastAsia="Arial" w:hAnsi="Arial"/>
        </w:rPr>
        <w:t xml:space="preserve"> is a build argument so the image can be built from an internal mirror on air-gapped networks. The API exposes </w:t>
      </w:r>
      <w:r>
        <w:rPr>
          <w:rFonts w:ascii="Consolas" w:cs="Consolas" w:eastAsia="Consolas" w:hAnsi="Consolas"/>
          <w:color w:val="334155"/>
          <w:sz w:val="18"/>
          <w:szCs w:val="18"/>
        </w:rPr>
        <w:t xml:space="preserve">POST /predict</w:t>
      </w:r>
      <w:r>
        <w:rPr>
          <w:rFonts w:ascii="Arial" w:cs="Arial" w:eastAsia="Arial" w:hAnsi="Arial"/>
        </w:rPr>
        <w:t xml:space="preserve"> (JSON in; prediction, label, probability, </w:t>
      </w:r>
      <w:r>
        <w:rPr>
          <w:rFonts w:ascii="Arial" w:cs="Arial" w:eastAsia="Arial" w:hAnsi="Arial"/>
          <w:b/>
          <w:bCs/>
        </w:rPr>
        <w:t xml:space="preserve">confidence</w:t>
      </w:r>
      <w:r>
        <w:rPr>
          <w:rFonts w:ascii="Arial" w:cs="Arial" w:eastAsia="Arial" w:hAnsi="Arial"/>
        </w:rPr>
        <w:t xml:space="preserve"> = probability of the predicted class, risk band, threshold, model version, request id out), </w:t>
      </w:r>
      <w:r>
        <w:rPr>
          <w:rFonts w:ascii="Consolas" w:cs="Consolas" w:eastAsia="Consolas" w:hAnsi="Consolas"/>
          <w:color w:val="334155"/>
          <w:sz w:val="18"/>
          <w:szCs w:val="18"/>
        </w:rPr>
        <w:t xml:space="preserve">/predict/batch</w:t>
      </w:r>
      <w:r>
        <w:rPr>
          <w:rFonts w:ascii="Arial" w:cs="Arial" w:eastAsia="Arial" w:hAnsi="Arial"/>
        </w:rPr>
        <w:t xml:space="preserve">, </w:t>
      </w:r>
      <w:r>
        <w:rPr>
          <w:rFonts w:ascii="Consolas" w:cs="Consolas" w:eastAsia="Consolas" w:hAnsi="Consolas"/>
          <w:color w:val="334155"/>
          <w:sz w:val="18"/>
          <w:szCs w:val="18"/>
        </w:rPr>
        <w:t xml:space="preserve">/health</w:t>
      </w:r>
      <w:r>
        <w:rPr>
          <w:rFonts w:ascii="Arial" w:cs="Arial" w:eastAsia="Arial" w:hAnsi="Arial"/>
        </w:rPr>
        <w:t xml:space="preserve">, </w:t>
      </w:r>
      <w:r>
        <w:rPr>
          <w:rFonts w:ascii="Consolas" w:cs="Consolas" w:eastAsia="Consolas" w:hAnsi="Consolas"/>
          <w:color w:val="334155"/>
          <w:sz w:val="18"/>
          <w:szCs w:val="18"/>
        </w:rPr>
        <w:t xml:space="preserve">/ready</w:t>
      </w:r>
      <w:r>
        <w:rPr>
          <w:rFonts w:ascii="Arial" w:cs="Arial" w:eastAsia="Arial" w:hAnsi="Arial"/>
        </w:rPr>
        <w:t xml:space="preserve">, </w:t>
      </w:r>
      <w:r>
        <w:rPr>
          <w:rFonts w:ascii="Consolas" w:cs="Consolas" w:eastAsia="Consolas" w:hAnsi="Consolas"/>
          <w:color w:val="334155"/>
          <w:sz w:val="18"/>
          <w:szCs w:val="18"/>
        </w:rPr>
        <w:t xml:space="preserve">/model-info</w:t>
      </w:r>
      <w:r>
        <w:rPr>
          <w:rFonts w:ascii="Arial" w:cs="Arial" w:eastAsia="Arial" w:hAnsi="Arial"/>
        </w:rPr>
        <w:t xml:space="preserve">, </w:t>
      </w:r>
      <w:r>
        <w:rPr>
          <w:rFonts w:ascii="Consolas" w:cs="Consolas" w:eastAsia="Consolas" w:hAnsi="Consolas"/>
          <w:color w:val="334155"/>
          <w:sz w:val="18"/>
          <w:szCs w:val="18"/>
        </w:rPr>
        <w:t xml:space="preserve">/metrics</w:t>
      </w:r>
      <w:r>
        <w:rPr>
          <w:rFonts w:ascii="Arial" w:cs="Arial" w:eastAsia="Arial" w:hAnsi="Arial"/>
        </w:rPr>
        <w:t xml:space="preserve">, </w:t>
      </w:r>
      <w:r>
        <w:rPr>
          <w:rFonts w:ascii="Consolas" w:cs="Consolas" w:eastAsia="Consolas" w:hAnsi="Consolas"/>
          <w:color w:val="334155"/>
          <w:sz w:val="18"/>
          <w:szCs w:val="18"/>
        </w:rPr>
        <w:t xml:space="preserve">/stats</w:t>
      </w:r>
      <w:r>
        <w:rPr>
          <w:rFonts w:ascii="Arial" w:cs="Arial" w:eastAsia="Arial" w:hAnsi="Arial"/>
        </w:rPr>
        <w:t xml:space="preserve">, </w:t>
      </w:r>
      <w:r>
        <w:rPr>
          <w:rFonts w:ascii="Consolas" w:cs="Consolas" w:eastAsia="Consolas" w:hAnsi="Consolas"/>
          <w:color w:val="334155"/>
          <w:sz w:val="18"/>
          <w:szCs w:val="18"/>
        </w:rPr>
        <w:t xml:space="preserve">/dashboard</w:t>
      </w:r>
      <w:r>
        <w:rPr>
          <w:rFonts w:ascii="Arial" w:cs="Arial" w:eastAsia="Arial" w:hAnsi="Arial"/>
        </w:rPr>
        <w:t xml:space="preserve"> and Swagger </w:t>
      </w:r>
      <w:r>
        <w:rPr>
          <w:rFonts w:ascii="Consolas" w:cs="Consolas" w:eastAsia="Consolas" w:hAnsi="Consolas"/>
          <w:color w:val="334155"/>
          <w:sz w:val="18"/>
          <w:szCs w:val="18"/>
        </w:rPr>
        <w:t xml:space="preserve">/docs</w:t>
      </w:r>
      <w:r>
        <w:rPr>
          <w:rFonts w:ascii="Arial" w:cs="Arial" w:eastAsia="Arial" w:hAnsi="Arial"/>
        </w:rPr>
        <w:t xml:space="preserve"> with vendored assets. Inputs are validated by pydantic with the same physiological bounds as the cleaner; unknown fields are rejected.</w:t>
      </w:r>
    </w:p>
    <w:p>
      <w:pPr>
        <w:shd w:fill="F1F5F9" w:color="auto" w:val="clear"/>
        <w:spacing w:after="0" w:line="228"/>
        <w:ind w:left="120" w:right="120"/>
      </w:pPr>
      <w:r>
        <w:rPr>
          <w:rFonts w:ascii="Consolas" w:cs="Consolas" w:eastAsia="Consolas" w:hAnsi="Consolas"/>
          <w:color w:val="1E293B"/>
          <w:sz w:val="16"/>
          <w:szCs w:val="16"/>
        </w:rPr>
        <w:t xml:space="preserve">POST /predict {"age":67, "sex":1, "cp":4, "trestbps":160, "chol":286, "fbs":0, "restecg":2,</w:t>
      </w:r>
    </w:p>
    <w:p>
      <w:pPr>
        <w:shd w:fill="F1F5F9" w:color="auto" w:val="clear"/>
        <w:spacing w:after="0" w:line="228"/>
        <w:ind w:left="120" w:right="120"/>
      </w:pPr>
      <w:r>
        <w:rPr>
          <w:rFonts w:ascii="Consolas" w:cs="Consolas" w:eastAsia="Consolas" w:hAnsi="Consolas"/>
          <w:color w:val="1E293B"/>
          <w:sz w:val="16"/>
          <w:szCs w:val="16"/>
        </w:rPr>
        <w:t xml:space="preserve">               "thalach":108, "exang":1, "oldpeak":1.5, "slope":2, "ca":3, "thal":3}</w:t>
      </w:r>
    </w:p>
    <w:p>
      <w:pPr>
        <w:shd w:fill="F1F5F9" w:color="auto" w:val="clear"/>
        <w:spacing w:after="0" w:line="228"/>
        <w:ind w:left="120" w:right="120"/>
      </w:pPr>
      <w:r>
        <w:rPr>
          <w:rFonts w:ascii="Consolas" w:cs="Consolas" w:eastAsia="Consolas" w:hAnsi="Consolas"/>
          <w:color w:val="1E293B"/>
          <w:sz w:val="16"/>
          <w:szCs w:val="16"/>
        </w:rPr>
        <w:t xml:space="preserve">-&gt; 200 {"prediction":1, "label":"heart disease", "probability":0.9773, "confidence":0.9773,</w:t>
      </w:r>
    </w:p>
    <w:p>
      <w:pPr>
        <w:shd w:fill="F1F5F9" w:color="auto" w:val="clear"/>
        <w:spacing w:after="0" w:line="228"/>
        <w:ind w:left="120" w:right="120"/>
      </w:pPr>
      <w:r>
        <w:rPr>
          <w:rFonts w:ascii="Consolas" w:cs="Consolas" w:eastAsia="Consolas" w:hAnsi="Consolas"/>
          <w:color w:val="1E293B"/>
          <w:sz w:val="16"/>
          <w:szCs w:val="16"/>
        </w:rPr>
        <w:t xml:space="preserve">        "risk_band":"high", "threshold":0.31, "model_version":"heart-disease-classifier/v1", ...}</w:t>
      </w:r>
    </w:p>
    <w:p>
      <w:pPr>
        <w:shd w:fill="F1F5F9" w:color="auto" w:val="clear"/>
        <w:spacing w:after="100" w:line="228"/>
        <w:ind w:left="120" w:right="120"/>
      </w:pPr>
      <w:r>
        <w:rPr>
          <w:rFonts w:ascii="Consolas" w:cs="Consolas" w:eastAsia="Consolas" w:hAnsi="Consolas"/>
          <w:color w:val="1E293B"/>
          <w:sz w:val="16"/>
          <w:szCs w:val="16"/>
        </w:rPr>
        <w:t xml:space="preserve">-&gt; 422 {"detail":[{"field":"age", "message":"Input should be greater than or equal to 18"}]}</w:t>
      </w:r>
    </w:p>
    <w:p>
      <w:pPr>
        <w:spacing w:after="30" w:before="40"/>
        <w:jc w:val="center"/>
      </w:pPr>
      <w:r>
        <w:drawing>
          <wp:inline distT="0" distB="0" distL="0" distR="0">
            <wp:extent cx="4752975" cy="3000375"/>
            <wp:effectExtent t="0" r="0" b="0" l="0"/>
            <wp:docPr id="14" name="terminal_07_docker_run_smoke.png" descr="terminal_07_docker_run_smoke.png" title="terminal_07_docker_run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30003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14. Container built, healthy, answering /predict and passing all smoke checks.</w:t>
      </w:r>
    </w:p>
    <w:p>
      <w:pPr>
        <w:spacing w:after="90" w:line="264"/>
        <w:jc w:val="both"/>
      </w:pPr>
      <w:r>
        <w:rPr>
          <w:rFonts w:ascii="Arial" w:cs="Arial" w:eastAsia="Arial" w:hAnsi="Arial"/>
          <w:b/>
          <w:bCs/>
        </w:rPr>
        <w:t xml:space="preserve">Kubernetes.</w:t>
      </w:r>
      <w:r>
        <w:rPr>
          <w:rFonts w:ascii="Arial" w:cs="Arial" w:eastAsia="Arial" w:hAnsi="Arial"/>
        </w:rPr>
        <w:t xml:space="preserve"> </w:t>
      </w:r>
      <w:r>
        <w:rPr>
          <w:rFonts w:ascii="Consolas" w:cs="Consolas" w:eastAsia="Consolas" w:hAnsi="Consolas"/>
          <w:color w:val="334155"/>
          <w:sz w:val="18"/>
          <w:szCs w:val="18"/>
        </w:rPr>
        <w:t xml:space="preserve">deploy/k8s</w:t>
      </w:r>
      <w:r>
        <w:rPr>
          <w:rFonts w:ascii="Arial" w:cs="Arial" w:eastAsia="Arial" w:hAnsi="Arial"/>
        </w:rPr>
        <w:t xml:space="preserve"> (kustomize) defines a namespace, ConfigMap, Deployment (2 replicas, </w:t>
      </w:r>
      <w:r>
        <w:rPr>
          <w:rFonts w:ascii="Consolas" w:cs="Consolas" w:eastAsia="Consolas" w:hAnsi="Consolas"/>
          <w:color w:val="334155"/>
          <w:sz w:val="18"/>
          <w:szCs w:val="18"/>
        </w:rPr>
        <w:t xml:space="preserve">maxUnavailable: 0</w:t>
      </w:r>
      <w:r>
        <w:rPr>
          <w:rFonts w:ascii="Arial" w:cs="Arial" w:eastAsia="Arial" w:hAnsi="Arial"/>
        </w:rPr>
        <w:t xml:space="preserve"> rolling updates, startup/readiness/liveness probes, CPU/memory requests and limits, read-only root filesystem, dropped capabilities, seccomp, pre-stop drain, Prometheus annotations), a LoadBalancer Service, an Ingress (</w:t>
      </w:r>
      <w:r>
        <w:rPr>
          <w:rFonts w:ascii="Consolas" w:cs="Consolas" w:eastAsia="Consolas" w:hAnsi="Consolas"/>
          <w:color w:val="334155"/>
          <w:sz w:val="18"/>
          <w:szCs w:val="18"/>
        </w:rPr>
        <w:t xml:space="preserve">heart-risk.local</w:t>
      </w:r>
      <w:r>
        <w:rPr>
          <w:rFonts w:ascii="Arial" w:cs="Arial" w:eastAsia="Arial" w:hAnsi="Arial"/>
        </w:rPr>
        <w:t xml:space="preserve">), an HPA (2-5 pods at 70% CPU) and a PodDisruptionBudget. </w:t>
      </w:r>
      <w:r>
        <w:rPr>
          <w:rFonts w:ascii="Consolas" w:cs="Consolas" w:eastAsia="Consolas" w:hAnsi="Consolas"/>
          <w:color w:val="334155"/>
          <w:sz w:val="18"/>
          <w:szCs w:val="18"/>
        </w:rPr>
        <w:t xml:space="preserve">deploy/helm/heart-risk-api</w:t>
      </w:r>
      <w:r>
        <w:rPr>
          <w:rFonts w:ascii="Arial" w:cs="Arial" w:eastAsia="Arial" w:hAnsi="Arial"/>
        </w:rPr>
        <w:t xml:space="preserve"> provides the same deployment as a parameterised chart. The manifests were deployed to a local k3s v1.36 cluster and verified through both the LoadBalancer and the Ingress (Figure 15). A rolling update performed while a probe sent </w:t>
      </w:r>
      <w:r>
        <w:rPr>
          <w:rFonts w:ascii="Consolas" w:cs="Consolas" w:eastAsia="Consolas" w:hAnsi="Consolas"/>
          <w:color w:val="334155"/>
          <w:sz w:val="18"/>
          <w:szCs w:val="18"/>
        </w:rPr>
        <w:t xml:space="preserve">/predict</w:t>
      </w:r>
      <w:r>
        <w:rPr>
          <w:rFonts w:ascii="Arial" w:cs="Arial" w:eastAsia="Arial" w:hAnsi="Arial"/>
        </w:rPr>
        <w:t xml:space="preserve"> every 100 ms completed with </w:t>
      </w:r>
      <w:r>
        <w:rPr>
          <w:rFonts w:ascii="Arial" w:cs="Arial" w:eastAsia="Arial" w:hAnsi="Arial"/>
          <w:b/>
          <w:bCs/>
        </w:rPr>
        <w:t xml:space="preserve">500 successful requests and 0 failures</w:t>
      </w:r>
      <w:r>
        <w:rPr>
          <w:rFonts w:ascii="Arial" w:cs="Arial" w:eastAsia="Arial" w:hAnsi="Arial"/>
        </w:rPr>
        <w:t xml:space="preserve">.</w:t>
      </w:r>
    </w:p>
    <w:p>
      <w:pPr>
        <w:spacing w:after="30" w:before="40"/>
        <w:jc w:val="center"/>
      </w:pPr>
      <w:r>
        <w:drawing>
          <wp:inline distT="0" distB="0" distL="0" distR="0">
            <wp:extent cx="5762625" cy="2524125"/>
            <wp:effectExtent t="0" r="0" b="0" l="0"/>
            <wp:docPr id="15" name="terminal_08_k8s_resources.png" descr="terminal_08_k8s_resources.png" title="terminal_08_k8s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52412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15. Deployment, pods, LoadBalancer service, ingress, HPA, PDB and the monitoring namespace.</w:t>
      </w:r>
    </w:p>
    <w:p>
      <w:pPr>
        <w:pStyle w:val="Heading1"/>
        <w:spacing w:after="90" w:before="200"/>
      </w:pPr>
      <w:r>
        <w:rPr>
          <w:rFonts w:ascii="Arial" w:cs="Arial" w:eastAsia="Arial" w:hAnsi="Arial"/>
        </w:rPr>
        <w:t xml:space="preserve">9. Monitoring and logging</w:t>
      </w:r>
    </w:p>
    <w:p>
      <w:pPr>
        <w:pStyle w:val="ListParagraph"/>
        <w:numPr>
          <w:ilvl w:val="0"/>
          <w:numId w:val="2"/>
        </w:numPr>
        <w:spacing w:after="40" w:line="252"/>
      </w:pPr>
      <w:r>
        <w:rPr>
          <w:rFonts w:ascii="Arial" w:cs="Arial" w:eastAsia="Arial" w:hAnsi="Arial"/>
          <w:b/>
          <w:bCs/>
        </w:rPr>
        <w:t xml:space="preserve">Request logging</w:t>
      </w:r>
      <w:r>
        <w:rPr>
          <w:rFonts w:ascii="Arial" w:cs="Arial" w:eastAsia="Arial" w:hAnsi="Arial"/>
        </w:rPr>
        <w:t xml:space="preserve">: middleware writes one JSON line per request (timestamp, request id, method, endpoint, status, latency, client, prediction summary) and logs validation failures with field-level detail. Clinical inputs are never logged; an incoming </w:t>
      </w:r>
      <w:r>
        <w:rPr>
          <w:rFonts w:ascii="Consolas" w:cs="Consolas" w:eastAsia="Consolas" w:hAnsi="Consolas"/>
          <w:color w:val="334155"/>
          <w:sz w:val="18"/>
          <w:szCs w:val="18"/>
        </w:rPr>
        <w:t xml:space="preserve">X-Request-ID</w:t>
      </w:r>
      <w:r>
        <w:rPr>
          <w:rFonts w:ascii="Arial" w:cs="Arial" w:eastAsia="Arial" w:hAnsi="Arial"/>
        </w:rPr>
        <w:t xml:space="preserve"> is propagated for tracing.</w:t>
      </w:r>
    </w:p>
    <w:p>
      <w:pPr>
        <w:pStyle w:val="ListParagraph"/>
        <w:numPr>
          <w:ilvl w:val="0"/>
          <w:numId w:val="2"/>
        </w:numPr>
        <w:spacing w:after="40" w:line="252"/>
      </w:pPr>
      <w:r>
        <w:rPr>
          <w:rFonts w:ascii="Arial" w:cs="Arial" w:eastAsia="Arial" w:hAnsi="Arial"/>
          <w:b/>
          <w:bCs/>
        </w:rPr>
        <w:t xml:space="preserve">Metrics</w:t>
      </w:r>
      <w:r>
        <w:rPr>
          <w:rFonts w:ascii="Arial" w:cs="Arial" w:eastAsia="Arial" w:hAnsi="Arial"/>
        </w:rPr>
        <w:t xml:space="preserve"> (</w:t>
      </w:r>
      <w:r>
        <w:rPr>
          <w:rFonts w:ascii="Consolas" w:cs="Consolas" w:eastAsia="Consolas" w:hAnsi="Consolas"/>
          <w:color w:val="334155"/>
          <w:sz w:val="18"/>
          <w:szCs w:val="18"/>
        </w:rPr>
        <w:t xml:space="preserve">/metrics</w:t>
      </w:r>
      <w:r>
        <w:rPr>
          <w:rFonts w:ascii="Arial" w:cs="Arial" w:eastAsia="Arial" w:hAnsi="Arial"/>
        </w:rPr>
        <w:t xml:space="preserve">): requests by endpoint and status, latency histograms, in-flight requests, inference time, predictions by outcome and risk band, a probability histogram, validation errors, model info, and live input means exported next to the training means from the model card (a drift signal without storing patient data).</w:t>
      </w:r>
    </w:p>
    <w:p>
      <w:pPr>
        <w:pStyle w:val="ListParagraph"/>
        <w:numPr>
          <w:ilvl w:val="0"/>
          <w:numId w:val="2"/>
        </w:numPr>
        <w:spacing w:after="40" w:line="252"/>
      </w:pPr>
      <w:r>
        <w:rPr>
          <w:rFonts w:ascii="Arial" w:cs="Arial" w:eastAsia="Arial" w:hAnsi="Arial"/>
          <w:b/>
          <w:bCs/>
        </w:rPr>
        <w:t xml:space="preserve">Prometheus</w:t>
      </w:r>
      <w:r>
        <w:rPr>
          <w:rFonts w:ascii="Arial" w:cs="Arial" w:eastAsia="Arial" w:hAnsi="Arial"/>
        </w:rPr>
        <w:t xml:space="preserve"> discovers every pod via annotations and evaluates five alert rules (API down, model not loaded, 5xx rate &gt; 5%, p95 latency &gt; 250 ms, input drift &gt; 15%). </w:t>
      </w:r>
      <w:r>
        <w:rPr>
          <w:rFonts w:ascii="Arial" w:cs="Arial" w:eastAsia="Arial" w:hAnsi="Arial"/>
          <w:b/>
          <w:bCs/>
        </w:rPr>
        <w:t xml:space="preserve">Grafana</w:t>
      </w:r>
      <w:r>
        <w:rPr>
          <w:rFonts w:ascii="Arial" w:cs="Arial" w:eastAsia="Arial" w:hAnsi="Arial"/>
        </w:rPr>
        <w:t xml:space="preserve"> is provisioned with a 16-panel dashboard (</w:t>
      </w:r>
      <w:r>
        <w:rPr>
          <w:rFonts w:ascii="Consolas" w:cs="Consolas" w:eastAsia="Consolas" w:hAnsi="Consolas"/>
          <w:color w:val="334155"/>
          <w:sz w:val="18"/>
          <w:szCs w:val="18"/>
        </w:rPr>
        <w:t xml:space="preserve">docker compose up</w:t>
      </w:r>
      <w:r>
        <w:rPr>
          <w:rFonts w:ascii="Arial" w:cs="Arial" w:eastAsia="Arial" w:hAnsi="Arial"/>
        </w:rPr>
        <w:t xml:space="preserve"> or </w:t>
      </w:r>
      <w:r>
        <w:rPr>
          <w:rFonts w:ascii="Consolas" w:cs="Consolas" w:eastAsia="Consolas" w:hAnsi="Consolas"/>
          <w:color w:val="334155"/>
          <w:sz w:val="18"/>
          <w:szCs w:val="18"/>
        </w:rPr>
        <w:t xml:space="preserve">kubectl apply -k deploy/monitoring</w:t>
      </w:r>
      <w:r>
        <w:rPr>
          <w:rFonts w:ascii="Arial" w:cs="Arial" w:eastAsia="Arial" w:hAnsi="Arial"/>
        </w:rPr>
        <w:t xml:space="preserve">); the API also serves a dependency-free live dashboard at </w:t>
      </w:r>
      <w:r>
        <w:rPr>
          <w:rFonts w:ascii="Consolas" w:cs="Consolas" w:eastAsia="Consolas" w:hAnsi="Consolas"/>
          <w:color w:val="334155"/>
          <w:sz w:val="18"/>
          <w:szCs w:val="18"/>
        </w:rPr>
        <w:t xml:space="preserve">/dashboard</w:t>
      </w:r>
      <w:r>
        <w:rPr>
          <w:rFonts w:ascii="Arial" w:cs="Arial" w:eastAsia="Arial" w:hAnsi="Arial"/>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1866900"/>
                  <wp:effectExtent t="0" r="0" b="0" l="0"/>
                  <wp:docPr id="16" name="prometheus_02_request_rate.png" descr="prometheus_02_request_rate.png" title="prometheus_02_request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52750" cy="18669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16. Request rate by endpoint/status (422 = rejected inputs).</w:t>
            </w:r>
          </w:p>
        </w:tc>
        <w:tc>
          <w:tcPr>
            <w:tcW w:type="dxa" w:w="4819"/>
            <w:tcBorders>
              <w:top w:val="none" w:color="FFFFFF" w:sz="0"/>
              <w:left w:val="none" w:color="FFFFFF" w:sz="0"/>
              <w:bottom w:val="none" w:color="FFFFFF" w:sz="0"/>
              <w:right w:val="none" w:color="FFFFFF" w:sz="0"/>
            </w:tcBorders>
            <w:tcMar>
              <w:left w:type="dxa" w:w="40"/>
              <w:right w:type="dxa" w:w="40"/>
            </w:tcMar>
            <w:vAlign w:val="bottom"/>
          </w:tcPr>
          <w:p>
            <w:pPr>
              <w:jc w:val="center"/>
            </w:pPr>
            <w:r>
              <w:drawing>
                <wp:inline distT="0" distB="0" distL="0" distR="0">
                  <wp:extent cx="2952750" cy="2590800"/>
                  <wp:effectExtent t="0" r="0" b="0" l="0"/>
                  <wp:docPr id="17" name="prometheus_06_input_drift.png" descr="prometheus_06_input_drift.png" title="prometheus_06_input_dr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52750" cy="2590800"/>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17. Drift: live mean age/BP rise after drifted traffic (training means 54.6 / 131.0).</w:t>
            </w:r>
          </w:p>
        </w:tc>
      </w:tr>
    </w:tbl>
    <w:p>
      <w:pPr>
        <w:spacing w:after="30" w:before="40"/>
        <w:jc w:val="center"/>
      </w:pPr>
      <w:r>
        <w:drawing>
          <wp:inline distT="0" distB="0" distL="0" distR="0">
            <wp:extent cx="4391025" cy="3076575"/>
            <wp:effectExtent t="0" r="0" b="0" l="0"/>
            <wp:docPr id="18" name="monitoring_01_api_dashboard.png" descr="monitoring_01_api_dashboard.png" title="monitoring_01_ap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91025" cy="3076575"/>
                    </a:xfrm>
                    <a:prstGeom prst="rect">
                      <a:avLst/>
                    </a:prstGeom>
                  </pic:spPr>
                </pic:pic>
              </a:graphicData>
            </a:graphic>
          </wp:inline>
        </w:drawing>
      </w:r>
    </w:p>
    <w:p>
      <w:pPr>
        <w:spacing w:after="110"/>
        <w:jc w:val="center"/>
      </w:pPr>
      <w:r>
        <w:rPr>
          <w:rFonts w:ascii="Arial" w:cs="Arial" w:eastAsia="Arial" w:hAnsi="Arial"/>
          <w:i/>
          <w:iCs/>
          <w:color w:val="64748B"/>
          <w:sz w:val="16"/>
          <w:szCs w:val="16"/>
        </w:rPr>
        <w:t xml:space="preserve">Figure 18. Built-in dashboard during live traffic: 0% server errors, p95 37 ms.</w:t>
      </w:r>
    </w:p>
    <w:p>
      <w:pPr>
        <w:pStyle w:val="Heading1"/>
        <w:spacing w:after="90" w:before="200"/>
      </w:pPr>
      <w:r>
        <w:rPr>
          <w:rFonts w:ascii="Arial" w:cs="Arial" w:eastAsia="Arial" w:hAnsi="Arial"/>
        </w:rPr>
        <w:t xml:space="preserve">10. Limitations and next steps</w:t>
      </w:r>
    </w:p>
    <w:p>
      <w:pPr>
        <w:pStyle w:val="ListParagraph"/>
        <w:numPr>
          <w:ilvl w:val="0"/>
          <w:numId w:val="2"/>
        </w:numPr>
        <w:spacing w:after="40" w:line="252"/>
      </w:pPr>
      <w:r>
        <w:rPr>
          <w:rFonts w:ascii="Arial" w:cs="Arial" w:eastAsia="Arial" w:hAnsi="Arial"/>
        </w:rPr>
        <w:t xml:space="preserve">303 patients from a 1988 cohort: estimates carry wide intervals (CV sd 0.04) and the cohort is 68% male; performance on women and on modern populations is unverified. The model is a teaching prototype, not a medical device.</w:t>
      </w:r>
    </w:p>
    <w:p>
      <w:pPr>
        <w:pStyle w:val="ListParagraph"/>
        <w:numPr>
          <w:ilvl w:val="0"/>
          <w:numId w:val="2"/>
        </w:numPr>
        <w:spacing w:after="40" w:line="252"/>
      </w:pPr>
      <w:r>
        <w:rPr>
          <w:rFonts w:ascii="Arial" w:cs="Arial" w:eastAsia="Arial" w:hAnsi="Arial"/>
        </w:rPr>
        <w:t xml:space="preserve">Calibration across sites: the external validation shows lower recall; next steps are per-site re-calibration (isotonic/Platt) and conformal prediction intervals.</w:t>
      </w:r>
    </w:p>
    <w:p>
      <w:pPr>
        <w:pStyle w:val="ListParagraph"/>
        <w:numPr>
          <w:ilvl w:val="0"/>
          <w:numId w:val="2"/>
        </w:numPr>
        <w:spacing w:after="40" w:line="252"/>
      </w:pPr>
      <w:r>
        <w:rPr>
          <w:rFonts w:ascii="Arial" w:cs="Arial" w:eastAsia="Arial" w:hAnsi="Arial"/>
        </w:rPr>
        <w:t xml:space="preserve">Monitoring detects input drift but not performance drift, which needs delayed ground-truth labels; a feedback endpoint and a scheduled re-training job registering a challenger model would close the loop.</w:t>
      </w:r>
    </w:p>
    <w:p>
      <w:pPr>
        <w:pStyle w:val="ListParagraph"/>
        <w:numPr>
          <w:ilvl w:val="0"/>
          <w:numId w:val="2"/>
        </w:numPr>
        <w:spacing w:after="40" w:line="252"/>
      </w:pPr>
      <w:r>
        <w:rPr>
          <w:rFonts w:ascii="Arial" w:cs="Arial" w:eastAsia="Arial" w:hAnsi="Arial"/>
        </w:rPr>
        <w:t xml:space="preserve">Evidence environment: the local screenshots come from a restricted-network build machine without access to Docker Hub or the UCI host, so the image used a locally bootstrapped Ubuntu 24.04 + Python 3.12 base via </w:t>
      </w:r>
      <w:r>
        <w:rPr>
          <w:rFonts w:ascii="Consolas" w:cs="Consolas" w:eastAsia="Consolas" w:hAnsi="Consolas"/>
          <w:color w:val="334155"/>
          <w:sz w:val="18"/>
          <w:szCs w:val="18"/>
        </w:rPr>
        <w:t xml:space="preserve">--build-arg BASE_IMAGE</w:t>
      </w:r>
      <w:r>
        <w:rPr>
          <w:rFonts w:ascii="Arial" w:cs="Arial" w:eastAsia="Arial" w:hAnsi="Arial"/>
        </w:rPr>
        <w:t xml:space="preserve"> and the Cleveland file came from the checksum-verified mirror (byte-identical). The GitHub Actions run built from the default </w:t>
      </w:r>
      <w:r>
        <w:rPr>
          <w:rFonts w:ascii="Consolas" w:cs="Consolas" w:eastAsia="Consolas" w:hAnsi="Consolas"/>
          <w:color w:val="334155"/>
          <w:sz w:val="18"/>
          <w:szCs w:val="18"/>
        </w:rPr>
        <w:t xml:space="preserve">python:3.12-slim</w:t>
      </w:r>
      <w:r>
        <w:rPr>
          <w:rFonts w:ascii="Arial" w:cs="Arial" w:eastAsia="Arial" w:hAnsi="Arial"/>
        </w:rPr>
        <w:t xml:space="preserve"> base with no overrides and passed, confirming the defaults work unchanged.</w:t>
      </w:r>
    </w:p>
    <w:p>
      <w:pPr>
        <w:pStyle w:val="Heading2"/>
        <w:spacing w:after="60" w:before="130"/>
      </w:pPr>
      <w:r>
        <w:rPr>
          <w:rFonts w:ascii="Arial" w:cs="Arial" w:eastAsia="Arial" w:hAnsi="Arial"/>
        </w:rPr>
        <w:t xml:space="preserve">Appendix A - Requirement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3038"/>
      </w:tblGrid>
      <w:tr>
        <w:trPr>
          <w:cantSplit/>
          <w:tblHeader/>
        </w:trPr>
        <w:tc>
          <w:tcPr>
            <w:tcW w:type="dxa" w:w="2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Task (marks)</w:t>
            </w:r>
          </w:p>
        </w:tc>
        <w:tc>
          <w:tcPr>
            <w:tcW w:type="dxa" w:w="4300"/>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Where it is implemented</w:t>
            </w:r>
          </w:p>
        </w:tc>
        <w:tc>
          <w:tcPr>
            <w:tcW w:type="dxa" w:w="3038"/>
            <w:tcBorders>
              <w:top w:val="single" w:color="CBD5E1" w:sz="4"/>
              <w:left w:val="single" w:color="CBD5E1" w:sz="4"/>
              <w:bottom w:val="single" w:color="CBD5E1" w:sz="4"/>
              <w:right w:val="single" w:color="CBD5E1" w:sz="4"/>
            </w:tcBorders>
            <w:shd w:fill="1F2933" w:color="auto" w:val="clear"/>
            <w:tcMar>
              <w:top w:type="dxa" w:w="50"/>
              <w:left w:type="dxa" w:w="90"/>
              <w:bottom w:type="dxa" w:w="50"/>
              <w:right w:type="dxa" w:w="90"/>
            </w:tcMar>
          </w:tcPr>
          <w:p>
            <w:pPr>
              <w:jc w:val="left"/>
            </w:pPr>
            <w:r>
              <w:rPr>
                <w:rFonts w:ascii="Arial" w:cs="Arial" w:eastAsia="Arial" w:hAnsi="Arial"/>
                <w:b/>
                <w:bCs/>
                <w:color w:val="FFFFFF"/>
                <w:sz w:val="17"/>
                <w:szCs w:val="17"/>
              </w:rPr>
              <w:t xml:space="preserve">Evidence</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1 Data + EDA (5)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src/heartrisk/data.py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eda.py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notebooks/01_eda.ipynb</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3, Fig. 2-4, </w:t>
            </w:r>
            <w:r>
              <w:rPr>
                <w:rFonts w:ascii="Consolas" w:cs="Consolas" w:eastAsia="Consolas" w:hAnsi="Consolas"/>
                <w:color w:val="334155"/>
                <w:sz w:val="16"/>
                <w:szCs w:val="16"/>
              </w:rPr>
              <w:t xml:space="preserve">reports/figures/eda/</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2 Features + models (8)</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features.py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models.py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train.py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configs/train.yaml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4, Fig. 5-7, tables</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3 Experiment tracking (5)</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MLflow parent/nested/champion runs + registry</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5, Fig. 8-10, </w:t>
            </w:r>
            <w:r>
              <w:rPr>
                <w:rFonts w:ascii="Consolas" w:cs="Consolas" w:eastAsia="Consolas" w:hAnsi="Consolas"/>
                <w:color w:val="334155"/>
                <w:sz w:val="16"/>
                <w:szCs w:val="16"/>
              </w:rPr>
              <w:t xml:space="preserve">reports/mlflow_runs.csv</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4 Packaging (7)</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models/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requirements*.txt</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environment.yml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6, Fig. 11</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5 CI/CD + tests (8)</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.github/workflows/ci-cd.yml</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tests/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scripts/ci_local.sh</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7, Fig. 11-13</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6 Containerisation (5)</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Dockerfile</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src/heartrisk/api/</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8, Fig. 14</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7 Deployment (7)</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deploy/k8s/</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deploy/helm/</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8, Fig. 15, </w:t>
            </w:r>
            <w:r>
              <w:rPr>
                <w:rFonts w:ascii="Consolas" w:cs="Consolas" w:eastAsia="Consolas" w:hAnsi="Consolas"/>
                <w:color w:val="334155"/>
                <w:sz w:val="16"/>
                <w:szCs w:val="16"/>
              </w:rPr>
              <w:t xml:space="preserve">screenshots/terminal_09-10</w:t>
            </w:r>
          </w:p>
        </w:tc>
      </w:tr>
      <w:tr>
        <w:trPr>
          <w:cantSplit/>
          <w:tblHeader w:val="off"/>
        </w:trPr>
        <w:tc>
          <w:tcPr>
            <w:tcW w:type="dxa" w:w="2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8 Monitoring + logging (3)</w:t>
            </w:r>
          </w:p>
        </w:tc>
        <w:tc>
          <w:tcPr>
            <w:tcW w:type="dxa" w:w="4300"/>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Consolas" w:cs="Consolas" w:eastAsia="Consolas" w:hAnsi="Consolas"/>
                <w:color w:val="334155"/>
                <w:sz w:val="16"/>
                <w:szCs w:val="16"/>
              </w:rPr>
              <w:t xml:space="preserve">api/monitoring.py</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deploy/monitoring/</w:t>
            </w:r>
            <w:r>
              <w:rPr>
                <w:rFonts w:ascii="Arial" w:cs="Arial" w:eastAsia="Arial" w:hAnsi="Arial"/>
                <w:b w:val="false"/>
                <w:bCs w:val="false"/>
                <w:color w:val="1F2933"/>
                <w:sz w:val="17"/>
                <w:szCs w:val="17"/>
              </w:rPr>
              <w:t xml:space="preserve">, </w:t>
            </w:r>
            <w:r>
              <w:rPr>
                <w:rFonts w:ascii="Consolas" w:cs="Consolas" w:eastAsia="Consolas" w:hAnsi="Consolas"/>
                <w:color w:val="334155"/>
                <w:sz w:val="16"/>
                <w:szCs w:val="16"/>
              </w:rPr>
              <w:t xml:space="preserve">docker-compose.yml</w:t>
            </w:r>
          </w:p>
        </w:tc>
        <w:tc>
          <w:tcPr>
            <w:tcW w:type="dxa" w:w="3038"/>
            <w:tcBorders>
              <w:top w:val="single" w:color="CBD5E1" w:sz="4"/>
              <w:left w:val="single" w:color="CBD5E1" w:sz="4"/>
              <w:bottom w:val="single" w:color="CBD5E1" w:sz="4"/>
              <w:right w:val="single" w:color="CBD5E1" w:sz="4"/>
            </w:tcBorders>
            <w:shd w:fill="F8FAFC" w:color="auto" w:val="clear"/>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9, Fig. 16-18</w:t>
            </w:r>
          </w:p>
        </w:tc>
      </w:tr>
      <w:tr>
        <w:trPr>
          <w:cantSplit/>
          <w:tblHeader w:val="off"/>
        </w:trPr>
        <w:tc>
          <w:tcPr>
            <w:tcW w:type="dxa" w:w="2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9 Documentation (2)</w:t>
            </w:r>
          </w:p>
        </w:tc>
        <w:tc>
          <w:tcPr>
            <w:tcW w:type="dxa" w:w="4300"/>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Consolas" w:cs="Consolas" w:eastAsia="Consolas" w:hAnsi="Consolas"/>
                <w:color w:val="334155"/>
                <w:sz w:val="16"/>
                <w:szCs w:val="16"/>
              </w:rPr>
              <w:t xml:space="preserve">README.md</w:t>
            </w:r>
            <w:r>
              <w:rPr>
                <w:rFonts w:ascii="Arial" w:cs="Arial" w:eastAsia="Arial" w:hAnsi="Arial"/>
                <w:b w:val="false"/>
                <w:bCs w:val="false"/>
                <w:color w:val="1F2933"/>
                <w:sz w:val="17"/>
                <w:szCs w:val="17"/>
              </w:rPr>
              <w:t xml:space="preserve">, this report, </w:t>
            </w:r>
            <w:r>
              <w:rPr>
                <w:rFonts w:ascii="Consolas" w:cs="Consolas" w:eastAsia="Consolas" w:hAnsi="Consolas"/>
                <w:color w:val="334155"/>
                <w:sz w:val="16"/>
                <w:szCs w:val="16"/>
              </w:rPr>
              <w:t xml:space="preserve">docs/</w:t>
            </w:r>
          </w:p>
        </w:tc>
        <w:tc>
          <w:tcPr>
            <w:tcW w:type="dxa" w:w="3038"/>
            <w:tcBorders>
              <w:top w:val="single" w:color="CBD5E1" w:sz="4"/>
              <w:left w:val="single" w:color="CBD5E1" w:sz="4"/>
              <w:bottom w:val="single" w:color="CBD5E1" w:sz="4"/>
              <w:right w:val="single" w:color="CBD5E1" w:sz="4"/>
            </w:tcBorders>
            <w:tcMar>
              <w:top w:type="dxa" w:w="50"/>
              <w:left w:type="dxa" w:w="90"/>
              <w:bottom w:type="dxa" w:w="50"/>
              <w:right w:type="dxa" w:w="90"/>
            </w:tcMar>
          </w:tcPr>
          <w:p>
            <w:pPr>
              <w:jc w:val="left"/>
            </w:pPr>
            <w:r>
              <w:rPr>
                <w:rFonts w:ascii="Arial" w:cs="Arial" w:eastAsia="Arial" w:hAnsi="Arial"/>
                <w:b w:val="false"/>
                <w:bCs w:val="false"/>
                <w:color w:val="1F2933"/>
                <w:sz w:val="17"/>
                <w:szCs w:val="17"/>
              </w:rPr>
              <w:t xml:space="preserve">Sec. 1-2, Fig. 1, video </w:t>
            </w:r>
            <w:r>
              <w:rPr>
                <w:rFonts w:ascii="Consolas" w:cs="Consolas" w:eastAsia="Consolas" w:hAnsi="Consolas"/>
                <w:color w:val="334155"/>
                <w:sz w:val="16"/>
                <w:szCs w:val="16"/>
              </w:rPr>
              <w:t xml:space="preserve">docs/pipeline_walkthrough_video.mp4</w:t>
            </w:r>
          </w:p>
        </w:tc>
      </w:tr>
    </w:tbl>
    <w:sectPr>
      <w:headerReference w:type="default" r:id="rId10"/>
      <w:footerReference w:type="default" r:id="rId11"/>
      <w:pgSz w:w="11906" w:h="16838" w:orient="portrait"/>
      <w:pgMar w:top="1000"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5"/>
        <w:szCs w:val="15"/>
      </w:rPr>
      <w:t xml:space="preserve">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AIMLCZG523 MLOps  |  Assignment 1  |  Heart disease risk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0F766E"/>
      <w:sz w:val="26"/>
      <w:szCs w:val="26"/>
    </w:rPr>
  </w:style>
  <w:style w:type="paragraph" w:styleId="Heading2">
    <w:name w:val="Heading 2"/>
    <w:basedOn w:val="Normal"/>
    <w:next w:val="Normal"/>
    <w:qFormat/>
    <w:pPr>
      <w:spacing w:after="60" w:before="130"/>
      <w:outlineLvl w:val="1"/>
    </w:pPr>
    <w:rPr>
      <w:rFonts w:ascii="Arial" w:cs="Arial" w:eastAsia="Arial" w:hAnsi="Arial"/>
      <w:b/>
      <w:bCs/>
      <w:color w:val="1F29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941385937c740326ee6a46bf7fbc6d28f998bff1.png"/><Relationship Id="rId14" Type="http://schemas.openxmlformats.org/officeDocument/2006/relationships/image" Target="media/a0530341dfcea83e4571fed235c1aeac61e77250.png"/><Relationship Id="rId15" Type="http://schemas.openxmlformats.org/officeDocument/2006/relationships/image" Target="media/5ae9e0a02fb683c538b178c8cf4a47d490c1cfb0.png"/><Relationship Id="rId16" Type="http://schemas.openxmlformats.org/officeDocument/2006/relationships/image" Target="media/b8b93c0abeaa87842a7e255ecd91c10d7cca6301.png"/><Relationship Id="rId17" Type="http://schemas.openxmlformats.org/officeDocument/2006/relationships/image" Target="media/d990960a19408183c9410ac739c1c6e51e26e214.png"/><Relationship Id="rId18" Type="http://schemas.openxmlformats.org/officeDocument/2006/relationships/image" Target="media/5c880f3b2f9419707b96777ba46ed2a095eb80b8.png"/><Relationship Id="rId19" Type="http://schemas.openxmlformats.org/officeDocument/2006/relationships/image" Target="media/23db2b6437cc86a792cc769121e3219b7ac4ddb6.png"/><Relationship Id="rId20" Type="http://schemas.openxmlformats.org/officeDocument/2006/relationships/image" Target="media/fc02a2e023e52fedd6a33dde25abc6384dc2a386.png"/><Relationship Id="rId21" Type="http://schemas.openxmlformats.org/officeDocument/2006/relationships/image" Target="media/9a47ff35c56d6e70ac1e64aa3fae469ada95a1b0.png"/><Relationship Id="rId22" Type="http://schemas.openxmlformats.org/officeDocument/2006/relationships/image" Target="media/f60722da1ee55b54eea386f4c5e5818996752a23.png"/><Relationship Id="rId23" Type="http://schemas.openxmlformats.org/officeDocument/2006/relationships/image" Target="media/1ef2e98029e1c18154a4d6ed859dc161b7c4bc92.png"/><Relationship Id="rId24" Type="http://schemas.openxmlformats.org/officeDocument/2006/relationships/image" Target="media/b3f47fec0cd41d569092f03e2d3e32c6e21106e4.png"/><Relationship Id="rId25" Type="http://schemas.openxmlformats.org/officeDocument/2006/relationships/image" Target="media/c0a75c698929fb069ebf34b0b773dca6ba0f590a.png"/><Relationship Id="rId26" Type="http://schemas.openxmlformats.org/officeDocument/2006/relationships/image" Target="media/5f1b4cef31de07fd337fb5a0af6818be585a5267.png"/><Relationship Id="rId27" Type="http://schemas.openxmlformats.org/officeDocument/2006/relationships/image" Target="media/d53a371c83597de00508b8af245603b73668ec49.png"/><Relationship Id="rId28" Type="http://schemas.openxmlformats.org/officeDocument/2006/relationships/image" Target="media/9414676584715786667961603916bf12d304e330.png"/><Relationship Id="rId29" Type="http://schemas.openxmlformats.org/officeDocument/2006/relationships/image" Target="media/114ceb0eb2350799c3cea46c45cbb5d5bad0eb88.png"/><Relationship Id="rId30" Type="http://schemas.openxmlformats.org/officeDocument/2006/relationships/image" Target="media/3988befea8c698378cf75a26fc451452b79d8f70.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 End-to-End MLOps Pipeline</dc:title>
  <dc:creator>Prince</dc:creator>
  <dc:description>AIMLCZG523 Assignment 1 report</dc:description>
  <cp:lastModifiedBy>Un-named</cp:lastModifiedBy>
  <cp:revision>1</cp:revision>
  <dcterms:created xsi:type="dcterms:W3CDTF">2026-10-20T18:58:18.849Z</dcterms:created>
  <dcterms:modified xsi:type="dcterms:W3CDTF">2026-10-20T18:58:18.866Z</dcterms:modified>
</cp:coreProperties>
</file>

<file path=docProps/custom.xml><?xml version="1.0" encoding="utf-8"?>
<Properties xmlns="http://schemas.openxmlformats.org/officeDocument/2006/custom-properties" xmlns:vt="http://schemas.openxmlformats.org/officeDocument/2006/docPropsVTypes"/>
</file>