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gridCol w:w="100"/>
      </w:tblGrid>
      <w:tr>
        <w:tc>
          <w:tcPr>
            <w:tcW w:type="pct" w:w="25%"/>
            <w:tcMar>
              <w:top w:type="dxa" w:w="60"/>
              <w:left w:type="dxa" w:w="80"/>
              <w:bottom w:type="dxa" w:w="60"/>
              <w:right w:type="dxa" w:w="80"/>
            </w:tcMar>
            <w:vAlign w:val="center"/>
          </w:tcPr>
          <w:p>
            <w:pPr>
              <w:jc w:val="center"/>
            </w:pPr>
            <w:r>
              <w:drawing>
                <wp:inline distT="0" distB="0" distL="0" distR="0">
                  <wp:extent cx="1905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905000" cy="952500"/>
                          </a:xfrm>
                          <a:prstGeom prst="rect">
                            <a:avLst/>
                          </a:prstGeom>
                        </pic:spPr>
                      </pic:pic>
                    </a:graphicData>
                  </a:graphic>
                </wp:inline>
              </w:drawing>
            </w:r>
          </w:p>
        </w:tc>
        <w:tc>
          <w:tcPr>
            <w:tcW w:type="pct" w:w="45%"/>
            <w:tcMar>
              <w:top w:type="dxa" w:w="60"/>
              <w:left w:type="dxa" w:w="40"/>
              <w:bottom w:type="dxa" w:w="60"/>
              <w:right w:type="dxa" w:w="40"/>
            </w:tcMar>
            <w:vAlign w:val="center"/>
          </w:tcPr>
          <w:p>
            <w:pPr>
              <w:spacing w:after="40"/>
              <w:jc w:val="center"/>
            </w:pPr>
            <w:r>
              <w:rPr>
                <w:b/>
                <w:bCs/>
                <w:sz w:val="22"/>
                <w:szCs w:val="22"/>
              </w:rPr>
              <w:t xml:space="preserve">AT SEA SHIP TO SHIP TRANSFER</w:t>
            </w:r>
          </w:p>
          <w:p>
            <w:pPr>
              <w:jc w:val="center"/>
            </w:pPr>
            <w:r>
              <w:rPr>
                <w:b/>
                <w:bCs/>
                <w:sz w:val="18"/>
                <w:szCs w:val="18"/>
              </w:rPr>
              <w:t xml:space="preserve">STS SUPERINTENDENT STANDING ORDER</w:t>
            </w:r>
          </w:p>
        </w:tc>
        <w:tc>
          <w:tcPr>
            <w:tcW w:type="pct" w:w="30%"/>
            <w:tcMar>
              <w:top w:type="dxa" w:w="0"/>
              <w:left w:type="dxa" w:w="0"/>
              <w:bottom w:type="dxa" w:w="0"/>
              <w:right w:type="dxa" w:w="0"/>
            </w:tcMar>
            <w:vAlign w:val="center"/>
          </w:tcPr>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50%"/>
                  <w:tcMar>
                    <w:top w:type="dxa" w:w="20"/>
                    <w:left w:type="dxa" w:w="40"/>
                    <w:bottom w:type="dxa" w:w="20"/>
                    <w:right w:type="dxa" w:w="20"/>
                  </w:tcMar>
                </w:tcPr>
                <w:p>
                  <w:r>
                    <w:rPr>
                      <w:sz w:val="16"/>
                      <w:szCs w:val="16"/>
                    </w:rPr>
                    <w:t xml:space="preserve">Form No:</w:t>
                  </w:r>
                </w:p>
              </w:tc>
              <w:tc>
                <w:tcPr>
                  <w:tcW w:type="pct" w:w="50%"/>
                  <w:tcMar>
                    <w:top w:type="dxa" w:w="20"/>
                    <w:left w:type="dxa" w:w="20"/>
                    <w:bottom w:type="dxa" w:w="20"/>
                    <w:right w:type="dxa" w:w="40"/>
                  </w:tcMar>
                </w:tcPr>
                <w:p>
                  <w:r>
                    <w:rPr>
                      <w:sz w:val="16"/>
                      <w:szCs w:val="16"/>
                    </w:rPr>
                    <w:t xml:space="preserve">OPS-OFD-011</w:t>
                  </w:r>
                </w:p>
              </w:tc>
            </w:tr>
            <w:tr>
              <w:tc>
                <w:tcPr>
                  <w:tcW w:type="pct" w:w="50%"/>
                  <w:tcMar>
                    <w:top w:type="dxa" w:w="20"/>
                    <w:left w:type="dxa" w:w="40"/>
                    <w:bottom w:type="dxa" w:w="20"/>
                    <w:right w:type="dxa" w:w="20"/>
                  </w:tcMar>
                </w:tcPr>
                <w:p>
                  <w:r>
                    <w:rPr>
                      <w:sz w:val="16"/>
                      <w:szCs w:val="16"/>
                    </w:rPr>
                    <w:t xml:space="preserve">Rev.No.:</w:t>
                  </w:r>
                </w:p>
              </w:tc>
              <w:tc>
                <w:tcPr>
                  <w:tcW w:type="pct" w:w="50%"/>
                  <w:tcMar>
                    <w:top w:type="dxa" w:w="20"/>
                    <w:left w:type="dxa" w:w="20"/>
                    <w:bottom w:type="dxa" w:w="20"/>
                    <w:right w:type="dxa" w:w="40"/>
                  </w:tcMar>
                </w:tcPr>
                <w:p>
                  <w:r>
                    <w:rPr>
                      <w:sz w:val="16"/>
                      <w:szCs w:val="16"/>
                    </w:rPr>
                    <w:t xml:space="preserve">1.0</w:t>
                  </w:r>
                </w:p>
              </w:tc>
            </w:tr>
            <w:tr>
              <w:tc>
                <w:tcPr>
                  <w:tcW w:type="pct" w:w="50%"/>
                  <w:tcMar>
                    <w:top w:type="dxa" w:w="20"/>
                    <w:left w:type="dxa" w:w="40"/>
                    <w:bottom w:type="dxa" w:w="20"/>
                    <w:right w:type="dxa" w:w="20"/>
                  </w:tcMar>
                </w:tcPr>
                <w:p>
                  <w:r>
                    <w:rPr>
                      <w:sz w:val="16"/>
                      <w:szCs w:val="16"/>
                    </w:rPr>
                    <w:t xml:space="preserve">Rev Date:</w:t>
                  </w:r>
                </w:p>
              </w:tc>
              <w:tc>
                <w:tcPr>
                  <w:tcW w:type="pct" w:w="50%"/>
                  <w:tcMar>
                    <w:top w:type="dxa" w:w="20"/>
                    <w:left w:type="dxa" w:w="20"/>
                    <w:bottom w:type="dxa" w:w="20"/>
                    <w:right w:type="dxa" w:w="40"/>
                  </w:tcMar>
                </w:tcPr>
                <w:p>
                  <w:r>
                    <w:rPr>
                      <w:sz w:val="16"/>
                      <w:szCs w:val="16"/>
                    </w:rPr>
                    <w:t xml:space="preserve">28 Aug 2026</w:t>
                  </w:r>
                </w:p>
              </w:tc>
            </w:tr>
            <w:tr>
              <w:tc>
                <w:tcPr>
                  <w:tcW w:type="pct" w:w="50%"/>
                  <w:tcMar>
                    <w:top w:type="dxa" w:w="20"/>
                    <w:left w:type="dxa" w:w="40"/>
                    <w:bottom w:type="dxa" w:w="20"/>
                    <w:right w:type="dxa" w:w="20"/>
                  </w:tcMar>
                </w:tcPr>
                <w:p>
                  <w:r>
                    <w:rPr>
                      <w:sz w:val="16"/>
                      <w:szCs w:val="16"/>
                    </w:rPr>
                    <w:t xml:space="preserve">Approved by:</w:t>
                  </w:r>
                </w:p>
              </w:tc>
              <w:tc>
                <w:tcPr>
                  <w:tcW w:type="pct" w:w="50%"/>
                  <w:tcMar>
                    <w:top w:type="dxa" w:w="20"/>
                    <w:left w:type="dxa" w:w="20"/>
                    <w:bottom w:type="dxa" w:w="20"/>
                    <w:right w:type="dxa" w:w="40"/>
                  </w:tcMar>
                </w:tcPr>
                <w:p>
                  <w:r>
                    <w:rPr>
                      <w:sz w:val="16"/>
                      <w:szCs w:val="16"/>
                    </w:rPr>
                    <w:t xml:space="preserve">JS</w:t>
                  </w:r>
                </w:p>
              </w:tc>
            </w:tr>
            <w:tr>
              <w:tc>
                <w:tcPr>
                  <w:tcW w:type="pct" w:w="50%"/>
                  <w:tcMar>
                    <w:top w:type="dxa" w:w="20"/>
                    <w:left w:type="dxa" w:w="40"/>
                    <w:bottom w:type="dxa" w:w="20"/>
                    <w:right w:type="dxa" w:w="20"/>
                  </w:tcMar>
                </w:tcPr>
                <w:p>
                  <w:r>
                    <w:rPr>
                      <w:sz w:val="16"/>
                      <w:szCs w:val="16"/>
                    </w:rPr>
                    <w:t xml:space="preserve">Page:</w:t>
                  </w:r>
                </w:p>
              </w:tc>
              <w:tc>
                <w:tcPr>
                  <w:tcW w:type="pct" w:w="50%"/>
                  <w:tcMar>
                    <w:top w:type="dxa" w:w="20"/>
                    <w:left w:type="dxa" w:w="20"/>
                    <w:bottom w:type="dxa" w:w="20"/>
                    <w:right w:type="dxa" w:w="40"/>
                  </w:tcMar>
                </w:tcPr>
                <w:p>
                  <w:r>
                    <w:rPr>
                      <w:sz w:val="16"/>
                      <w:szCs w:val="16"/>
                    </w:rPr>
                    <w:t xml:space="preserve">1 of 2</w:t>
                  </w:r>
                </w:p>
              </w:tc>
            </w:tr>
          </w:tbl>
          <w:p/>
        </w:tc>
      </w:tr>
    </w:tbl>
    <w:p>
      <w:pPr>
        <w:spacing w:before="200"/>
      </w:pPr>
    </w:p>
    <w:p>
      <w:pPr>
        <w:spacing w:after="200"/>
      </w:pPr>
      <w:r>
        <w:rPr>
          <w:sz w:val="18"/>
          <w:szCs w:val="18"/>
        </w:rPr>
        <w:t xml:space="preserve">STS transfer operations are under the advisory control of the STS Superintendent. Each Master remains responsible for the safety of their own ship, crew, cargo and equipment and should not permit safety to be prejudiced by the actions of others.</w:t>
      </w:r>
    </w:p>
    <w:p>
      <w:pPr>
        <w:spacing w:after="200"/>
      </w:pPr>
      <w:r>
        <w:rPr>
          <w:sz w:val="18"/>
          <w:szCs w:val="18"/>
        </w:rPr>
        <w:t xml:space="preserve">The following outlines the requirements of the STS Superintendent and indicates the circumstances under which he should be informed.</w:t>
      </w:r>
    </w:p>
    <w:p>
      <w:pPr>
        <w:spacing w:before="200"/>
      </w:pP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pct" w:w="100%"/>
            <w:tcBorders>
              <w:top w:val="single" w:color="000000" w:sz="4"/>
              <w:left w:val="single" w:color="000000" w:sz="4"/>
              <w:bottom w:val="single" w:color="000000" w:sz="8"/>
              <w:right w:val="single" w:color="000000" w:sz="4"/>
            </w:tcBorders>
            <w:shd w:fill="D3D3D3"/>
            <w:tcMar>
              <w:top w:type="dxa" w:w="60"/>
              <w:left w:type="dxa" w:w="80"/>
              <w:bottom w:type="dxa" w:w="60"/>
              <w:right w:type="dxa" w:w="80"/>
            </w:tcMar>
            <w:vAlign w:val="center"/>
          </w:tcPr>
          <w:p>
            <w:pPr>
              <w:spacing w:before="0" w:after="0"/>
            </w:pPr>
            <w:r>
              <w:rPr>
                <w:b/>
                <w:bCs/>
                <w:sz w:val="20"/>
                <w:szCs w:val="20"/>
              </w:rPr>
              <w:t xml:space="preserve">Environment</w:t>
            </w:r>
          </w:p>
        </w:tc>
      </w:tr>
      <w:tr>
        <w:tc>
          <w:tcPr>
            <w:tcW w:type="pct" w:w="100%"/>
            <w:tcBorders>
              <w:top w:val="single" w:color="000000" w:sz="8"/>
              <w:left w:val="single" w:color="000000" w:sz="4"/>
              <w:bottom w:val="single" w:color="000000" w:sz="4"/>
              <w:right w:val="single" w:color="000000" w:sz="4"/>
            </w:tcBorders>
            <w:tcMar>
              <w:top w:type="dxa" w:w="100"/>
              <w:left w:type="dxa" w:w="80"/>
              <w:bottom w:type="dxa" w:w="100"/>
              <w:right w:type="dxa" w:w="80"/>
            </w:tcMar>
          </w:tcPr>
          <w:p>
            <w:pPr>
              <w:spacing w:before="100" w:after="100"/>
            </w:pPr>
            <w:r>
              <w:rPr>
                <w:sz w:val="18"/>
                <w:szCs w:val="18"/>
              </w:rPr>
              <w:t xml:space="preserve">Inform Superintendent if:</w:t>
            </w:r>
          </w:p>
          <w:p>
            <w:pPr>
              <w:spacing w:after="60"/>
              <w:ind w:left="400"/>
            </w:pPr>
            <w:r>
              <w:rPr>
                <w:sz w:val="18"/>
                <w:szCs w:val="18"/>
              </w:rPr>
              <w:t xml:space="preserve">Weather forecast indicates adverse conditions.</w:t>
            </w:r>
          </w:p>
          <w:p>
            <w:pPr>
              <w:spacing w:after="60"/>
              <w:ind w:left="400"/>
            </w:pPr>
            <w:r>
              <w:rPr>
                <w:sz w:val="18"/>
                <w:szCs w:val="18"/>
              </w:rPr>
              <w:t xml:space="preserve">Wind speed is increasing unexpectedly or consistently gusting above 20kts or as directed by the STS Superintendent.</w:t>
            </w:r>
          </w:p>
          <w:p>
            <w:pPr>
              <w:spacing w:after="60"/>
              <w:ind w:left="400"/>
            </w:pPr>
            <w:r>
              <w:rPr>
                <w:sz w:val="18"/>
                <w:szCs w:val="18"/>
              </w:rPr>
              <w:t xml:space="preserve">Local weather forecasts indicate an approaching deep low-pressure system or gusting winds.</w:t>
            </w:r>
          </w:p>
          <w:p>
            <w:pPr>
              <w:spacing w:after="60"/>
              <w:ind w:left="400"/>
            </w:pPr>
            <w:r>
              <w:rPr>
                <w:sz w:val="18"/>
                <w:szCs w:val="18"/>
              </w:rPr>
              <w:t xml:space="preserve">There are electrical storms in the vicinity.</w:t>
            </w:r>
          </w:p>
          <w:p>
            <w:pPr>
              <w:spacing w:after="60"/>
              <w:ind w:left="400"/>
            </w:pPr>
            <w:r>
              <w:rPr>
                <w:sz w:val="18"/>
                <w:szCs w:val="18"/>
              </w:rPr>
              <w:t xml:space="preserve">The vessel does not appear to be holding position.</w:t>
            </w:r>
          </w:p>
        </w:tc>
      </w:tr>
    </w:tbl>
    <w:p>
      <w:pPr>
        <w:spacing w:after="100"/>
      </w:pPr>
    </w:p>
    <w:p>
      <w:pPr>
        <w:spacing w:before="200"/>
      </w:pP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pct" w:w="100%"/>
            <w:tcBorders>
              <w:top w:val="single" w:color="000000" w:sz="4"/>
              <w:left w:val="single" w:color="000000" w:sz="4"/>
              <w:bottom w:val="single" w:color="000000" w:sz="8"/>
              <w:right w:val="single" w:color="000000" w:sz="4"/>
            </w:tcBorders>
            <w:shd w:fill="D3D3D3"/>
            <w:tcMar>
              <w:top w:type="dxa" w:w="60"/>
              <w:left w:type="dxa" w:w="80"/>
              <w:bottom w:type="dxa" w:w="60"/>
              <w:right w:type="dxa" w:w="80"/>
            </w:tcMar>
            <w:vAlign w:val="center"/>
          </w:tcPr>
          <w:p>
            <w:pPr>
              <w:spacing w:before="0" w:after="0"/>
            </w:pPr>
            <w:r>
              <w:rPr>
                <w:b/>
                <w:bCs/>
                <w:sz w:val="20"/>
                <w:szCs w:val="20"/>
              </w:rPr>
              <w:t xml:space="preserve">Communications</w:t>
            </w:r>
          </w:p>
        </w:tc>
      </w:tr>
      <w:tr>
        <w:tc>
          <w:tcPr>
            <w:tcW w:type="pct" w:w="100%"/>
            <w:tcBorders>
              <w:top w:val="single" w:color="000000" w:sz="8"/>
              <w:left w:val="single" w:color="000000" w:sz="4"/>
              <w:bottom w:val="single" w:color="000000" w:sz="4"/>
              <w:right w:val="single" w:color="000000" w:sz="4"/>
            </w:tcBorders>
            <w:tcMar>
              <w:top w:type="dxa" w:w="100"/>
              <w:left w:type="dxa" w:w="80"/>
              <w:bottom w:type="dxa" w:w="100"/>
              <w:right w:type="dxa" w:w="80"/>
            </w:tcMar>
          </w:tcPr>
          <w:p>
            <w:pPr>
              <w:spacing w:after="60"/>
              <w:ind w:left="400"/>
            </w:pPr>
            <w:r>
              <w:rPr>
                <w:sz w:val="18"/>
                <w:szCs w:val="18"/>
              </w:rPr>
              <w:t xml:space="preserve">During cargo operations, essential personnel on both ships must have reliable and common means of communication.</w:t>
            </w:r>
          </w:p>
          <w:p>
            <w:pPr>
              <w:spacing w:after="60"/>
              <w:ind w:left="400"/>
            </w:pPr>
            <w:r>
              <w:rPr>
                <w:sz w:val="18"/>
                <w:szCs w:val="18"/>
              </w:rPr>
              <w:t xml:space="preserve">In case of communication breakdown on either ship, the emergency signal should be sounded, and all operations suspended immediately.</w:t>
            </w:r>
          </w:p>
          <w:p>
            <w:pPr>
              <w:spacing w:after="60"/>
              <w:ind w:left="400"/>
            </w:pPr>
            <w:r>
              <w:rPr>
                <w:sz w:val="18"/>
                <w:szCs w:val="18"/>
              </w:rPr>
              <w:t xml:space="preserve">Operations should not resume until satisfactory communications are re-established.</w:t>
            </w:r>
          </w:p>
        </w:tc>
      </w:tr>
    </w:tbl>
    <w:p>
      <w:pPr>
        <w:spacing w:after="100"/>
      </w:pPr>
    </w:p>
    <w:p>
      <w:pPr>
        <w:spacing w:before="200"/>
      </w:pP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pct" w:w="100%"/>
            <w:tcBorders>
              <w:top w:val="single" w:color="000000" w:sz="4"/>
              <w:left w:val="single" w:color="000000" w:sz="4"/>
              <w:bottom w:val="single" w:color="000000" w:sz="8"/>
              <w:right w:val="single" w:color="000000" w:sz="4"/>
            </w:tcBorders>
            <w:shd w:fill="D3D3D3"/>
            <w:tcMar>
              <w:top w:type="dxa" w:w="60"/>
              <w:left w:type="dxa" w:w="80"/>
              <w:bottom w:type="dxa" w:w="60"/>
              <w:right w:type="dxa" w:w="80"/>
            </w:tcMar>
            <w:vAlign w:val="center"/>
          </w:tcPr>
          <w:p>
            <w:pPr>
              <w:spacing w:before="0" w:after="0"/>
            </w:pPr>
            <w:r>
              <w:rPr>
                <w:b/>
                <w:bCs/>
                <w:sz w:val="20"/>
                <w:szCs w:val="20"/>
              </w:rPr>
              <w:t xml:space="preserve">Emergency Situations</w:t>
            </w:r>
          </w:p>
        </w:tc>
      </w:tr>
      <w:tr>
        <w:tc>
          <w:tcPr>
            <w:tcW w:type="pct" w:w="100%"/>
            <w:tcBorders>
              <w:top w:val="single" w:color="000000" w:sz="8"/>
              <w:left w:val="single" w:color="000000" w:sz="4"/>
              <w:bottom w:val="single" w:color="000000" w:sz="4"/>
              <w:right w:val="single" w:color="000000" w:sz="4"/>
            </w:tcBorders>
            <w:tcMar>
              <w:top w:type="dxa" w:w="100"/>
              <w:left w:type="dxa" w:w="80"/>
              <w:bottom w:type="dxa" w:w="100"/>
              <w:right w:type="dxa" w:w="80"/>
            </w:tcMar>
          </w:tcPr>
          <w:p>
            <w:pPr>
              <w:spacing w:after="60"/>
              <w:ind w:left="400"/>
            </w:pPr>
            <w:r>
              <w:rPr>
                <w:sz w:val="18"/>
                <w:szCs w:val="18"/>
              </w:rPr>
              <w:t xml:space="preserve">The agreed Emergency signal must be clearly understood by personnel on both ships.</w:t>
            </w:r>
          </w:p>
          <w:p>
            <w:pPr>
              <w:spacing w:after="60"/>
              <w:ind w:left="400"/>
            </w:pPr>
            <w:r>
              <w:rPr>
                <w:sz w:val="18"/>
                <w:szCs w:val="18"/>
              </w:rPr>
              <w:t xml:space="preserve">In an emergency, both vessels should immediately implement the appropriate contingency plan.</w:t>
            </w:r>
          </w:p>
          <w:p>
            <w:pPr>
              <w:spacing w:after="60"/>
              <w:ind w:left="400"/>
            </w:pPr>
            <w:r>
              <w:rPr>
                <w:sz w:val="18"/>
                <w:szCs w:val="18"/>
              </w:rPr>
              <w:t xml:space="preserve">Examples of emergency situations requiring suspension of cargo operations and calling the STS Superintendent are:</w:t>
            </w:r>
          </w:p>
          <w:p>
            <w:pPr>
              <w:spacing w:after="60"/>
              <w:ind w:left="400"/>
            </w:pPr>
            <w:r>
              <w:rPr>
                <w:sz w:val="18"/>
                <w:szCs w:val="18"/>
              </w:rPr>
              <w:t xml:space="preserve">• Accidental cargo release</w:t>
            </w:r>
          </w:p>
          <w:p>
            <w:pPr>
              <w:spacing w:after="60"/>
              <w:ind w:left="400"/>
            </w:pPr>
            <w:r>
              <w:rPr>
                <w:sz w:val="18"/>
                <w:szCs w:val="18"/>
              </w:rPr>
              <w:t xml:space="preserve">• Gas accumulation on deck</w:t>
            </w:r>
          </w:p>
          <w:p>
            <w:pPr>
              <w:spacing w:after="60"/>
              <w:ind w:left="400"/>
            </w:pPr>
            <w:r>
              <w:rPr>
                <w:sz w:val="18"/>
                <w:szCs w:val="18"/>
              </w:rPr>
              <w:t xml:space="preserve">• Any leakages at the manifold</w:t>
            </w:r>
          </w:p>
          <w:p>
            <w:pPr>
              <w:spacing w:after="60"/>
              <w:ind w:left="400"/>
            </w:pPr>
            <w:r>
              <w:rPr>
                <w:sz w:val="18"/>
                <w:szCs w:val="18"/>
              </w:rPr>
              <w:t xml:space="preserve">• Onset of adverse weather conditions</w:t>
            </w:r>
          </w:p>
          <w:p>
            <w:pPr>
              <w:spacing w:after="60"/>
              <w:ind w:left="400"/>
            </w:pPr>
            <w:r>
              <w:rPr>
                <w:sz w:val="18"/>
                <w:szCs w:val="18"/>
              </w:rPr>
              <w:t xml:space="preserve">• Electrical storms</w:t>
            </w:r>
          </w:p>
          <w:p>
            <w:pPr>
              <w:spacing w:after="60"/>
              <w:ind w:left="400"/>
            </w:pPr>
            <w:r>
              <w:rPr>
                <w:sz w:val="18"/>
                <w:szCs w:val="18"/>
              </w:rPr>
              <w:t xml:space="preserve">• Ships emergency</w:t>
            </w:r>
          </w:p>
          <w:p>
            <w:pPr>
              <w:spacing w:after="60"/>
              <w:ind w:left="400"/>
            </w:pPr>
            <w:r>
              <w:rPr>
                <w:sz w:val="18"/>
                <w:szCs w:val="18"/>
              </w:rPr>
              <w:t xml:space="preserve">• Safety infringements</w:t>
            </w:r>
          </w:p>
          <w:p>
            <w:pPr>
              <w:spacing w:before="200" w:after="100"/>
            </w:pPr>
            <w:r>
              <w:rPr>
                <w:b/>
                <w:bCs/>
                <w:sz w:val="18"/>
                <w:szCs w:val="18"/>
              </w:rPr>
              <w:t xml:space="preserve">State of readiness for an emergency:</w:t>
            </w:r>
          </w:p>
          <w:p>
            <w:pPr>
              <w:spacing w:after="100"/>
            </w:pPr>
            <w:r>
              <w:rPr>
                <w:sz w:val="18"/>
                <w:szCs w:val="18"/>
              </w:rPr>
              <w:t xml:space="preserve">The following arrangements should be made on both ships:</w:t>
            </w:r>
          </w:p>
          <w:p>
            <w:pPr>
              <w:spacing w:after="60"/>
              <w:ind w:left="400"/>
            </w:pPr>
            <w:r>
              <w:rPr>
                <w:sz w:val="18"/>
                <w:szCs w:val="18"/>
              </w:rPr>
              <w:t xml:space="preserve">Main engines steering gear ready for immediate use.</w:t>
            </w:r>
          </w:p>
          <w:p>
            <w:pPr>
              <w:spacing w:after="60"/>
              <w:ind w:left="400"/>
            </w:pPr>
            <w:r>
              <w:rPr>
                <w:sz w:val="18"/>
                <w:szCs w:val="18"/>
              </w:rPr>
              <w:t xml:space="preserve">Crew available and systems prepared to drain and disconnect hoses at short notice.</w:t>
            </w:r>
          </w:p>
          <w:p>
            <w:pPr>
              <w:spacing w:after="60"/>
              <w:ind w:left="400"/>
            </w:pPr>
            <w:r>
              <w:rPr>
                <w:sz w:val="18"/>
                <w:szCs w:val="18"/>
              </w:rPr>
              <w:t xml:space="preserve">Oil spill containment equipment prepared and ready for use.</w:t>
            </w:r>
          </w:p>
          <w:p>
            <w:pPr>
              <w:spacing w:after="60"/>
              <w:ind w:left="400"/>
            </w:pPr>
            <w:r>
              <w:rPr>
                <w:sz w:val="18"/>
                <w:szCs w:val="18"/>
              </w:rPr>
              <w:t xml:space="preserve">Mooring equipment ready for immediate use, and extra mooring lines ready at mooring stations as replacements in case of breakage.</w:t>
            </w:r>
          </w:p>
          <w:p>
            <w:pPr>
              <w:spacing w:after="60"/>
              <w:ind w:left="400"/>
            </w:pPr>
            <w:r>
              <w:rPr>
                <w:sz w:val="18"/>
                <w:szCs w:val="18"/>
              </w:rPr>
              <w:t xml:space="preserve">Firefighting equipment ready for immediate use.</w:t>
            </w:r>
          </w:p>
        </w:tc>
      </w:tr>
    </w:tbl>
    <w:p>
      <w:pPr>
        <w:spacing w:after="100"/>
      </w:pPr>
    </w:p>
    <w:p>
      <w:pPr>
        <w:spacing w:before="600"/>
      </w:pPr>
    </w:p>
    <w:p>
      <w:pPr>
        <w:spacing w:before="200"/>
        <w:jc w:val="center"/>
      </w:pPr>
      <w:r>
        <w:rPr>
          <w:i/>
          <w:iCs/>
          <w:sz w:val="16"/>
          <w:szCs w:val="16"/>
        </w:rPr>
        <w:t xml:space="preserve">STS SUPERINTENDENT STANDING ORDER</w:t>
      </w:r>
    </w:p>
    <w:p>
      <w:pPr>
        <w:sectPr>
          <w:pgSz w:w="11906" w:h="16838" w:orient="portrait"/>
          <w:pgMar w:top="500" w:right="600" w:bottom="500" w:left="600" w:header="708" w:footer="708" w:gutter="0"/>
          <w:pgNumType/>
          <w:docGrid w:linePitch="360"/>
        </w:sectPr>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gridCol w:w="100"/>
      </w:tblGrid>
      <w:tr>
        <w:tc>
          <w:tcPr>
            <w:tcW w:type="pct" w:w="25%"/>
            <w:tcMar>
              <w:top w:type="dxa" w:w="60"/>
              <w:left w:type="dxa" w:w="80"/>
              <w:bottom w:type="dxa" w:w="60"/>
              <w:right w:type="dxa" w:w="80"/>
            </w:tcMar>
            <w:vAlign w:val="center"/>
          </w:tcPr>
          <w:p>
            <w:pPr>
              <w:jc w:val="center"/>
            </w:pPr>
            <w:r>
              <w:drawing>
                <wp:inline distT="0" distB="0" distL="0" distR="0">
                  <wp:extent cx="1905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905000" cy="952500"/>
                          </a:xfrm>
                          <a:prstGeom prst="rect">
                            <a:avLst/>
                          </a:prstGeom>
                        </pic:spPr>
                      </pic:pic>
                    </a:graphicData>
                  </a:graphic>
                </wp:inline>
              </w:drawing>
            </w:r>
          </w:p>
        </w:tc>
        <w:tc>
          <w:tcPr>
            <w:tcW w:type="pct" w:w="45%"/>
            <w:tcMar>
              <w:top w:type="dxa" w:w="60"/>
              <w:left w:type="dxa" w:w="40"/>
              <w:bottom w:type="dxa" w:w="60"/>
              <w:right w:type="dxa" w:w="40"/>
            </w:tcMar>
            <w:vAlign w:val="center"/>
          </w:tcPr>
          <w:p>
            <w:pPr>
              <w:spacing w:after="40"/>
              <w:jc w:val="center"/>
            </w:pPr>
            <w:r>
              <w:rPr>
                <w:b/>
                <w:bCs/>
                <w:sz w:val="22"/>
                <w:szCs w:val="22"/>
              </w:rPr>
              <w:t xml:space="preserve">AT SEA SHIP TO SHIP TRANSFER</w:t>
            </w:r>
          </w:p>
          <w:p>
            <w:pPr>
              <w:jc w:val="center"/>
            </w:pPr>
            <w:r>
              <w:rPr>
                <w:b/>
                <w:bCs/>
                <w:sz w:val="18"/>
                <w:szCs w:val="18"/>
              </w:rPr>
              <w:t xml:space="preserve">STS SUPERINTENDENT STANDING ORDER</w:t>
            </w:r>
          </w:p>
        </w:tc>
        <w:tc>
          <w:tcPr>
            <w:tcW w:type="pct" w:w="30%"/>
            <w:tcMar>
              <w:top w:type="dxa" w:w="0"/>
              <w:left w:type="dxa" w:w="0"/>
              <w:bottom w:type="dxa" w:w="0"/>
              <w:right w:type="dxa" w:w="0"/>
            </w:tcMar>
            <w:vAlign w:val="center"/>
          </w:tcPr>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50%"/>
                  <w:tcMar>
                    <w:top w:type="dxa" w:w="20"/>
                    <w:left w:type="dxa" w:w="40"/>
                    <w:bottom w:type="dxa" w:w="20"/>
                    <w:right w:type="dxa" w:w="20"/>
                  </w:tcMar>
                </w:tcPr>
                <w:p>
                  <w:r>
                    <w:rPr>
                      <w:sz w:val="16"/>
                      <w:szCs w:val="16"/>
                    </w:rPr>
                    <w:t xml:space="preserve">Form No:</w:t>
                  </w:r>
                </w:p>
              </w:tc>
              <w:tc>
                <w:tcPr>
                  <w:tcW w:type="pct" w:w="50%"/>
                  <w:tcMar>
                    <w:top w:type="dxa" w:w="20"/>
                    <w:left w:type="dxa" w:w="20"/>
                    <w:bottom w:type="dxa" w:w="20"/>
                    <w:right w:type="dxa" w:w="40"/>
                  </w:tcMar>
                </w:tcPr>
                <w:p>
                  <w:r>
                    <w:rPr>
                      <w:sz w:val="16"/>
                      <w:szCs w:val="16"/>
                    </w:rPr>
                    <w:t xml:space="preserve">OPS-OFD-011</w:t>
                  </w:r>
                </w:p>
              </w:tc>
            </w:tr>
            <w:tr>
              <w:tc>
                <w:tcPr>
                  <w:tcW w:type="pct" w:w="50%"/>
                  <w:tcMar>
                    <w:top w:type="dxa" w:w="20"/>
                    <w:left w:type="dxa" w:w="40"/>
                    <w:bottom w:type="dxa" w:w="20"/>
                    <w:right w:type="dxa" w:w="20"/>
                  </w:tcMar>
                </w:tcPr>
                <w:p>
                  <w:r>
                    <w:rPr>
                      <w:sz w:val="16"/>
                      <w:szCs w:val="16"/>
                    </w:rPr>
                    <w:t xml:space="preserve">Rev.No.:</w:t>
                  </w:r>
                </w:p>
              </w:tc>
              <w:tc>
                <w:tcPr>
                  <w:tcW w:type="pct" w:w="50%"/>
                  <w:tcMar>
                    <w:top w:type="dxa" w:w="20"/>
                    <w:left w:type="dxa" w:w="20"/>
                    <w:bottom w:type="dxa" w:w="20"/>
                    <w:right w:type="dxa" w:w="40"/>
                  </w:tcMar>
                </w:tcPr>
                <w:p>
                  <w:r>
                    <w:rPr>
                      <w:sz w:val="16"/>
                      <w:szCs w:val="16"/>
                    </w:rPr>
                    <w:t xml:space="preserve">1.0</w:t>
                  </w:r>
                </w:p>
              </w:tc>
            </w:tr>
            <w:tr>
              <w:tc>
                <w:tcPr>
                  <w:tcW w:type="pct" w:w="50%"/>
                  <w:tcMar>
                    <w:top w:type="dxa" w:w="20"/>
                    <w:left w:type="dxa" w:w="40"/>
                    <w:bottom w:type="dxa" w:w="20"/>
                    <w:right w:type="dxa" w:w="20"/>
                  </w:tcMar>
                </w:tcPr>
                <w:p>
                  <w:r>
                    <w:rPr>
                      <w:sz w:val="16"/>
                      <w:szCs w:val="16"/>
                    </w:rPr>
                    <w:t xml:space="preserve">Rev Date:</w:t>
                  </w:r>
                </w:p>
              </w:tc>
              <w:tc>
                <w:tcPr>
                  <w:tcW w:type="pct" w:w="50%"/>
                  <w:tcMar>
                    <w:top w:type="dxa" w:w="20"/>
                    <w:left w:type="dxa" w:w="20"/>
                    <w:bottom w:type="dxa" w:w="20"/>
                    <w:right w:type="dxa" w:w="40"/>
                  </w:tcMar>
                </w:tcPr>
                <w:p>
                  <w:r>
                    <w:rPr>
                      <w:sz w:val="16"/>
                      <w:szCs w:val="16"/>
                    </w:rPr>
                    <w:t xml:space="preserve">28 Aug 2026</w:t>
                  </w:r>
                </w:p>
              </w:tc>
            </w:tr>
            <w:tr>
              <w:tc>
                <w:tcPr>
                  <w:tcW w:type="pct" w:w="50%"/>
                  <w:tcMar>
                    <w:top w:type="dxa" w:w="20"/>
                    <w:left w:type="dxa" w:w="40"/>
                    <w:bottom w:type="dxa" w:w="20"/>
                    <w:right w:type="dxa" w:w="20"/>
                  </w:tcMar>
                </w:tcPr>
                <w:p>
                  <w:r>
                    <w:rPr>
                      <w:sz w:val="16"/>
                      <w:szCs w:val="16"/>
                    </w:rPr>
                    <w:t xml:space="preserve">Approved by:</w:t>
                  </w:r>
                </w:p>
              </w:tc>
              <w:tc>
                <w:tcPr>
                  <w:tcW w:type="pct" w:w="50%"/>
                  <w:tcMar>
                    <w:top w:type="dxa" w:w="20"/>
                    <w:left w:type="dxa" w:w="20"/>
                    <w:bottom w:type="dxa" w:w="20"/>
                    <w:right w:type="dxa" w:w="40"/>
                  </w:tcMar>
                </w:tcPr>
                <w:p>
                  <w:r>
                    <w:rPr>
                      <w:sz w:val="16"/>
                      <w:szCs w:val="16"/>
                    </w:rPr>
                    <w:t xml:space="preserve">JS</w:t>
                  </w:r>
                </w:p>
              </w:tc>
            </w:tr>
            <w:tr>
              <w:tc>
                <w:tcPr>
                  <w:tcW w:type="pct" w:w="50%"/>
                  <w:tcMar>
                    <w:top w:type="dxa" w:w="20"/>
                    <w:left w:type="dxa" w:w="40"/>
                    <w:bottom w:type="dxa" w:w="20"/>
                    <w:right w:type="dxa" w:w="20"/>
                  </w:tcMar>
                </w:tcPr>
                <w:p>
                  <w:r>
                    <w:rPr>
                      <w:sz w:val="16"/>
                      <w:szCs w:val="16"/>
                    </w:rPr>
                    <w:t xml:space="preserve">Page:</w:t>
                  </w:r>
                </w:p>
              </w:tc>
              <w:tc>
                <w:tcPr>
                  <w:tcW w:type="pct" w:w="50%"/>
                  <w:tcMar>
                    <w:top w:type="dxa" w:w="20"/>
                    <w:left w:type="dxa" w:w="20"/>
                    <w:bottom w:type="dxa" w:w="20"/>
                    <w:right w:type="dxa" w:w="40"/>
                  </w:tcMar>
                </w:tcPr>
                <w:p>
                  <w:r>
                    <w:rPr>
                      <w:sz w:val="16"/>
                      <w:szCs w:val="16"/>
                    </w:rPr>
                    <w:t xml:space="preserve">2 of 2</w:t>
                  </w:r>
                </w:p>
              </w:tc>
            </w:tr>
          </w:tbl>
          <w:p/>
        </w:tc>
      </w:tr>
    </w:tbl>
    <w:p>
      <w:pPr>
        <w:spacing w:before="200"/>
      </w:pPr>
    </w:p>
    <w:p>
      <w:pPr>
        <w:spacing w:before="200"/>
      </w:pP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pct" w:w="100%"/>
            <w:tcBorders>
              <w:top w:val="single" w:color="000000" w:sz="4"/>
              <w:left w:val="single" w:color="000000" w:sz="4"/>
              <w:bottom w:val="single" w:color="000000" w:sz="8"/>
              <w:right w:val="single" w:color="000000" w:sz="4"/>
            </w:tcBorders>
            <w:shd w:fill="D3D3D3"/>
            <w:tcMar>
              <w:top w:type="dxa" w:w="60"/>
              <w:left w:type="dxa" w:w="80"/>
              <w:bottom w:type="dxa" w:w="60"/>
              <w:right w:type="dxa" w:w="80"/>
            </w:tcMar>
            <w:vAlign w:val="center"/>
          </w:tcPr>
          <w:p>
            <w:pPr>
              <w:spacing w:before="0" w:after="0"/>
            </w:pPr>
            <w:r>
              <w:rPr>
                <w:b/>
                <w:bCs/>
                <w:sz w:val="20"/>
                <w:szCs w:val="20"/>
              </w:rPr>
              <w:t xml:space="preserve">Hoses</w:t>
            </w:r>
          </w:p>
        </w:tc>
      </w:tr>
      <w:tr>
        <w:tc>
          <w:tcPr>
            <w:tcW w:type="pct" w:w="100%"/>
            <w:tcBorders>
              <w:top w:val="single" w:color="000000" w:sz="8"/>
              <w:left w:val="single" w:color="000000" w:sz="4"/>
              <w:bottom w:val="single" w:color="000000" w:sz="4"/>
              <w:right w:val="single" w:color="000000" w:sz="4"/>
            </w:tcBorders>
            <w:tcMar>
              <w:top w:type="dxa" w:w="100"/>
              <w:left w:type="dxa" w:w="80"/>
              <w:bottom w:type="dxa" w:w="100"/>
              <w:right w:type="dxa" w:w="80"/>
            </w:tcMar>
          </w:tcPr>
          <w:p>
            <w:pPr>
              <w:spacing w:before="100" w:after="100"/>
            </w:pPr>
            <w:r>
              <w:rPr>
                <w:sz w:val="18"/>
                <w:szCs w:val="18"/>
              </w:rPr>
              <w:t xml:space="preserve">Hoses and their securing arrangement should be inspected during cargo operations.</w:t>
            </w:r>
          </w:p>
          <w:p>
            <w:pPr>
              <w:spacing w:after="60"/>
              <w:ind w:left="400"/>
            </w:pPr>
            <w:r>
              <w:rPr>
                <w:sz w:val="18"/>
                <w:szCs w:val="18"/>
              </w:rPr>
              <w:t xml:space="preserve">Hose connections are leaking.</w:t>
            </w:r>
          </w:p>
          <w:p>
            <w:pPr>
              <w:spacing w:after="60"/>
              <w:ind w:left="400"/>
            </w:pPr>
            <w:r>
              <w:rPr>
                <w:sz w:val="18"/>
                <w:szCs w:val="18"/>
              </w:rPr>
              <w:t xml:space="preserve">There is excessive movement of the hoses or hose kinking.</w:t>
            </w:r>
          </w:p>
          <w:p>
            <w:pPr>
              <w:spacing w:after="60"/>
              <w:ind w:left="400"/>
            </w:pPr>
            <w:r>
              <w:rPr>
                <w:sz w:val="18"/>
                <w:szCs w:val="18"/>
              </w:rPr>
              <w:t xml:space="preserve">If there is any doubt about the positioning of the hoses.</w:t>
            </w:r>
          </w:p>
        </w:tc>
      </w:tr>
    </w:tbl>
    <w:p>
      <w:pPr>
        <w:spacing w:after="100"/>
      </w:pPr>
    </w:p>
    <w:p>
      <w:pPr>
        <w:spacing w:before="200"/>
      </w:pP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pct" w:w="100%"/>
            <w:tcBorders>
              <w:top w:val="single" w:color="000000" w:sz="4"/>
              <w:left w:val="single" w:color="000000" w:sz="4"/>
              <w:bottom w:val="single" w:color="000000" w:sz="8"/>
              <w:right w:val="single" w:color="000000" w:sz="4"/>
            </w:tcBorders>
            <w:shd w:fill="D3D3D3"/>
            <w:tcMar>
              <w:top w:type="dxa" w:w="60"/>
              <w:left w:type="dxa" w:w="80"/>
              <w:bottom w:type="dxa" w:w="60"/>
              <w:right w:type="dxa" w:w="80"/>
            </w:tcMar>
            <w:vAlign w:val="center"/>
          </w:tcPr>
          <w:p>
            <w:pPr>
              <w:spacing w:before="0" w:after="0"/>
            </w:pPr>
            <w:r>
              <w:rPr>
                <w:b/>
                <w:bCs/>
                <w:sz w:val="20"/>
                <w:szCs w:val="20"/>
              </w:rPr>
              <w:t xml:space="preserve">Moorings</w:t>
            </w:r>
          </w:p>
        </w:tc>
      </w:tr>
      <w:tr>
        <w:tc>
          <w:tcPr>
            <w:tcW w:type="pct" w:w="100%"/>
            <w:tcBorders>
              <w:top w:val="single" w:color="000000" w:sz="8"/>
              <w:left w:val="single" w:color="000000" w:sz="4"/>
              <w:bottom w:val="single" w:color="000000" w:sz="4"/>
              <w:right w:val="single" w:color="000000" w:sz="4"/>
            </w:tcBorders>
            <w:tcMar>
              <w:top w:type="dxa" w:w="100"/>
              <w:left w:type="dxa" w:w="80"/>
              <w:bottom w:type="dxa" w:w="100"/>
              <w:right w:type="dxa" w:w="80"/>
            </w:tcMar>
          </w:tcPr>
          <w:p>
            <w:pPr>
              <w:spacing w:before="100" w:after="100"/>
            </w:pPr>
            <w:r>
              <w:rPr>
                <w:sz w:val="18"/>
                <w:szCs w:val="18"/>
              </w:rPr>
              <w:t xml:space="preserve">Moorings should be inspected frequently and adjusted accordingly. Call STS Superintendent if:</w:t>
            </w:r>
          </w:p>
          <w:p>
            <w:pPr>
              <w:spacing w:after="60"/>
              <w:ind w:left="400"/>
            </w:pPr>
            <w:r>
              <w:rPr>
                <w:sz w:val="18"/>
                <w:szCs w:val="18"/>
              </w:rPr>
              <w:t xml:space="preserve">Any moorings fall.</w:t>
            </w:r>
          </w:p>
          <w:p>
            <w:pPr>
              <w:spacing w:after="60"/>
              <w:ind w:left="400"/>
            </w:pPr>
            <w:r>
              <w:rPr>
                <w:sz w:val="18"/>
                <w:szCs w:val="18"/>
              </w:rPr>
              <w:t xml:space="preserve">the other vessel does not appear to be tending its mooring.</w:t>
            </w:r>
          </w:p>
          <w:p>
            <w:pPr>
              <w:spacing w:after="60"/>
              <w:ind w:left="400"/>
            </w:pPr>
            <w:r>
              <w:rPr>
                <w:sz w:val="18"/>
                <w:szCs w:val="18"/>
              </w:rPr>
              <w:t xml:space="preserve">Vessels are experiencing increased movement.</w:t>
            </w:r>
          </w:p>
          <w:p>
            <w:pPr>
              <w:spacing w:after="60"/>
              <w:ind w:left="400"/>
            </w:pPr>
            <w:r>
              <w:rPr>
                <w:sz w:val="18"/>
                <w:szCs w:val="18"/>
              </w:rPr>
              <w:t xml:space="preserve">If there is any doubt about the condition of the moorings.</w:t>
            </w:r>
          </w:p>
        </w:tc>
      </w:tr>
    </w:tbl>
    <w:p>
      <w:pPr>
        <w:spacing w:after="100"/>
      </w:pPr>
    </w:p>
    <w:p>
      <w:pPr>
        <w:spacing w:before="200"/>
      </w:pP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pct" w:w="100%"/>
            <w:tcBorders>
              <w:top w:val="single" w:color="000000" w:sz="4"/>
              <w:left w:val="single" w:color="000000" w:sz="4"/>
              <w:bottom w:val="single" w:color="000000" w:sz="8"/>
              <w:right w:val="single" w:color="000000" w:sz="4"/>
            </w:tcBorders>
            <w:shd w:fill="D3D3D3"/>
            <w:tcMar>
              <w:top w:type="dxa" w:w="60"/>
              <w:left w:type="dxa" w:w="80"/>
              <w:bottom w:type="dxa" w:w="60"/>
              <w:right w:type="dxa" w:w="80"/>
            </w:tcMar>
            <w:vAlign w:val="center"/>
          </w:tcPr>
          <w:p>
            <w:pPr>
              <w:spacing w:before="0" w:after="0"/>
            </w:pPr>
            <w:r>
              <w:rPr>
                <w:b/>
                <w:bCs/>
                <w:sz w:val="20"/>
                <w:szCs w:val="20"/>
              </w:rPr>
              <w:t xml:space="preserve">Fenders</w:t>
            </w:r>
          </w:p>
        </w:tc>
      </w:tr>
      <w:tr>
        <w:tc>
          <w:tcPr>
            <w:tcW w:type="pct" w:w="100%"/>
            <w:tcBorders>
              <w:top w:val="single" w:color="000000" w:sz="8"/>
              <w:left w:val="single" w:color="000000" w:sz="4"/>
              <w:bottom w:val="single" w:color="000000" w:sz="4"/>
              <w:right w:val="single" w:color="000000" w:sz="4"/>
            </w:tcBorders>
            <w:tcMar>
              <w:top w:type="dxa" w:w="100"/>
              <w:left w:type="dxa" w:w="80"/>
              <w:bottom w:type="dxa" w:w="100"/>
              <w:right w:type="dxa" w:w="80"/>
            </w:tcMar>
          </w:tcPr>
          <w:p>
            <w:pPr>
              <w:spacing w:before="100" w:after="100"/>
            </w:pPr>
            <w:r>
              <w:rPr>
                <w:sz w:val="18"/>
                <w:szCs w:val="18"/>
              </w:rPr>
              <w:t xml:space="preserve">Fenders must be inspected regularly during the cargo transfer operation. The fender moorings should be tended as required. Inform STS Superintendent if the following is observed:</w:t>
            </w:r>
          </w:p>
          <w:p>
            <w:pPr>
              <w:spacing w:after="60"/>
              <w:ind w:left="400"/>
            </w:pPr>
            <w:r>
              <w:rPr>
                <w:sz w:val="18"/>
                <w:szCs w:val="18"/>
              </w:rPr>
              <w:t xml:space="preserve">Damage to fenders, fender moorings or associated equipment.</w:t>
            </w:r>
          </w:p>
          <w:p>
            <w:pPr>
              <w:spacing w:after="60"/>
              <w:ind w:left="400"/>
            </w:pPr>
            <w:r>
              <w:rPr>
                <w:sz w:val="18"/>
                <w:szCs w:val="18"/>
              </w:rPr>
              <w:t xml:space="preserve">There is excessive movement of fenders.</w:t>
            </w:r>
          </w:p>
          <w:p>
            <w:pPr>
              <w:spacing w:after="60"/>
              <w:ind w:left="400"/>
            </w:pPr>
            <w:r>
              <w:rPr>
                <w:sz w:val="18"/>
                <w:szCs w:val="18"/>
              </w:rPr>
              <w:t xml:space="preserve">If there is any doubt about the condition or position of the fenders.</w:t>
            </w:r>
          </w:p>
        </w:tc>
      </w:tr>
    </w:tbl>
    <w:p>
      <w:pPr>
        <w:spacing w:after="100"/>
      </w:pPr>
    </w:p>
    <w:p>
      <w:pPr>
        <w:spacing w:before="200"/>
      </w:pP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pct" w:w="100%"/>
            <w:tcBorders>
              <w:top w:val="single" w:color="000000" w:sz="4"/>
              <w:left w:val="single" w:color="000000" w:sz="4"/>
              <w:bottom w:val="single" w:color="000000" w:sz="8"/>
              <w:right w:val="single" w:color="000000" w:sz="4"/>
            </w:tcBorders>
            <w:shd w:fill="D3D3D3"/>
            <w:tcMar>
              <w:top w:type="dxa" w:w="60"/>
              <w:left w:type="dxa" w:w="80"/>
              <w:bottom w:type="dxa" w:w="60"/>
              <w:right w:type="dxa" w:w="80"/>
            </w:tcMar>
            <w:vAlign w:val="center"/>
          </w:tcPr>
          <w:p>
            <w:pPr>
              <w:spacing w:before="0" w:after="0"/>
            </w:pPr>
            <w:r>
              <w:rPr>
                <w:b/>
                <w:bCs/>
                <w:sz w:val="20"/>
                <w:szCs w:val="20"/>
              </w:rPr>
              <w:t xml:space="preserve">Cargo Operations</w:t>
            </w:r>
          </w:p>
        </w:tc>
      </w:tr>
      <w:tr>
        <w:tc>
          <w:tcPr>
            <w:tcW w:type="pct" w:w="100%"/>
            <w:tcBorders>
              <w:top w:val="single" w:color="000000" w:sz="8"/>
              <w:left w:val="single" w:color="000000" w:sz="4"/>
              <w:bottom w:val="single" w:color="000000" w:sz="4"/>
              <w:right w:val="single" w:color="000000" w:sz="4"/>
            </w:tcBorders>
            <w:tcMar>
              <w:top w:type="dxa" w:w="100"/>
              <w:left w:type="dxa" w:w="80"/>
              <w:bottom w:type="dxa" w:w="100"/>
              <w:right w:type="dxa" w:w="80"/>
            </w:tcMar>
          </w:tcPr>
          <w:p>
            <w:pPr>
              <w:spacing w:after="60"/>
              <w:ind w:left="400"/>
            </w:pPr>
            <w:r>
              <w:rPr>
                <w:sz w:val="18"/>
                <w:szCs w:val="18"/>
              </w:rPr>
              <w:t xml:space="preserve">Maintain hourly exchange of cargo rate and quantity transferred with another vessel. Inform the STS Superintendent if there is a significant difference in figures.</w:t>
            </w:r>
          </w:p>
          <w:p>
            <w:pPr>
              <w:spacing w:after="60"/>
              <w:ind w:left="400"/>
            </w:pPr>
            <w:r>
              <w:rPr>
                <w:sz w:val="18"/>
                <w:szCs w:val="18"/>
              </w:rPr>
              <w:t xml:space="preserve">Ensure a crew member is always at the manifold.</w:t>
            </w:r>
          </w:p>
          <w:p>
            <w:pPr>
              <w:spacing w:after="60"/>
              <w:ind w:left="400"/>
            </w:pPr>
            <w:r>
              <w:rPr>
                <w:sz w:val="18"/>
                <w:szCs w:val="18"/>
              </w:rPr>
              <w:t xml:space="preserve">Call STS Superintendent if there are any changes to or deviations from the cargo transfer plan.</w:t>
            </w:r>
          </w:p>
        </w:tc>
      </w:tr>
    </w:tbl>
    <w:p>
      <w:pPr>
        <w:spacing w:after="100"/>
      </w:pPr>
    </w:p>
    <w:p>
      <w:pPr>
        <w:spacing w:before="200"/>
      </w:pP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pct" w:w="100%"/>
            <w:tcBorders>
              <w:top w:val="single" w:color="000000" w:sz="4"/>
              <w:left w:val="single" w:color="000000" w:sz="4"/>
              <w:bottom w:val="single" w:color="000000" w:sz="8"/>
              <w:right w:val="single" w:color="000000" w:sz="4"/>
            </w:tcBorders>
            <w:shd w:fill="D3D3D3"/>
            <w:tcMar>
              <w:top w:type="dxa" w:w="60"/>
              <w:left w:type="dxa" w:w="80"/>
              <w:bottom w:type="dxa" w:w="60"/>
              <w:right w:type="dxa" w:w="80"/>
            </w:tcMar>
            <w:vAlign w:val="center"/>
          </w:tcPr>
          <w:p>
            <w:pPr>
              <w:spacing w:before="0" w:after="0"/>
            </w:pPr>
            <w:r>
              <w:rPr>
                <w:b/>
                <w:bCs/>
                <w:sz w:val="20"/>
                <w:szCs w:val="20"/>
              </w:rPr>
              <w:t xml:space="preserve">STS Superintendent Specific Instructions</w:t>
            </w:r>
          </w:p>
        </w:tc>
      </w:tr>
      <w:tr>
        <w:tc>
          <w:tcPr>
            <w:tcW w:type="pct" w:w="100%"/>
            <w:tcBorders>
              <w:top w:val="single" w:color="000000" w:sz="8"/>
              <w:left w:val="single" w:color="000000" w:sz="4"/>
              <w:bottom w:val="single" w:color="000000" w:sz="4"/>
              <w:right w:val="single" w:color="000000" w:sz="4"/>
            </w:tcBorders>
            <w:tcMar>
              <w:top w:type="dxa" w:w="100"/>
              <w:left w:type="dxa" w:w="80"/>
              <w:bottom w:type="dxa" w:w="100"/>
              <w:right w:type="dxa" w:w="80"/>
            </w:tcMar>
          </w:tcPr>
          <w:p>
            <w:pPr>
              <w:spacing w:before="0" w:after="0"/>
            </w:pPr>
            <w:r>
              <w:rPr>
                <w:sz w:val="18"/>
                <w:szCs w:val="18"/>
              </w:rPr>
              <w:t xml:space="preserve">Consequuntur dolorum</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50%"/>
            <w:tcMar>
              <w:top w:type="dxa" w:w="40"/>
              <w:left w:type="dxa" w:w="60"/>
              <w:bottom w:type="dxa" w:w="40"/>
              <w:right w:type="dxa" w:w="60"/>
            </w:tcMar>
          </w:tcPr>
          <w:p>
            <w:pPr>
              <w:spacing w:after="80"/>
            </w:pPr>
            <w:r>
              <w:rPr>
                <w:sz w:val="18"/>
                <w:szCs w:val="18"/>
              </w:rPr>
              <w:t xml:space="preserve">Master's Name:</w:t>
            </w:r>
          </w:p>
          <w:p>
            <w:pPr>
              <w:spacing w:after="120"/>
            </w:pPr>
            <w:r>
              <w:rPr>
                <w:sz w:val="18"/>
                <w:szCs w:val="18"/>
              </w:rPr>
              <w:t xml:space="preserve">Maggie Montoya</w:t>
            </w:r>
          </w:p>
          <w:p>
            <w:pPr>
              <w:spacing w:after="100"/>
            </w:pPr>
            <w:r>
              <w:rPr>
                <w:sz w:val="18"/>
                <w:szCs w:val="18"/>
              </w:rPr>
              <w:t xml:space="preserve">Ship's stamp:</w:t>
            </w:r>
          </w:p>
          <w:p>
            <w:pPr>
              <w:spacing w:after="100" w:before="0"/>
            </w:pPr>
            <w:r>
              <w:rPr>
                <w:sz w:val="18"/>
                <w:szCs w:val="18"/>
              </w:rPr>
              <w:t xml:space="preserve"/>
            </w:r>
          </w:p>
        </w:tc>
        <w:tc>
          <w:tcPr>
            <w:tcW w:type="pct" w:w="50%"/>
            <w:tcMar>
              <w:top w:type="dxa" w:w="40"/>
              <w:left w:type="dxa" w:w="60"/>
              <w:bottom w:type="dxa" w:w="40"/>
              <w:right w:type="dxa" w:w="60"/>
            </w:tcMar>
          </w:tcPr>
          <w:p>
            <w:pPr>
              <w:spacing w:after="80"/>
            </w:pPr>
            <w:r>
              <w:rPr>
                <w:sz w:val="18"/>
                <w:szCs w:val="18"/>
              </w:rPr>
              <w:t xml:space="preserve">SS/MV:</w:t>
            </w:r>
          </w:p>
          <w:p>
            <w:pPr>
              <w:spacing w:after="120"/>
            </w:pPr>
            <w:r>
              <w:rPr>
                <w:sz w:val="18"/>
                <w:szCs w:val="18"/>
              </w:rPr>
              <w:t xml:space="preserve">Hammett Moore</w:t>
            </w:r>
          </w:p>
          <w:p>
            <w:pPr>
              <w:spacing w:after="80"/>
            </w:pPr>
            <w:r>
              <w:rPr>
                <w:sz w:val="18"/>
                <w:szCs w:val="18"/>
              </w:rPr>
              <w:t xml:space="preserve">Date (dd/mmm/yyyy):</w:t>
            </w:r>
          </w:p>
          <w:p>
            <w:pPr>
              <w:spacing w:after="120"/>
            </w:pPr>
            <w:r>
              <w:rPr>
                <w:sz w:val="18"/>
                <w:szCs w:val="18"/>
              </w:rPr>
              <w:t xml:space="preserve">27 Apr 2002</w:t>
            </w:r>
          </w:p>
          <w:p>
            <w:pPr>
              <w:spacing w:after="80"/>
            </w:pPr>
            <w:r>
              <w:rPr>
                <w:sz w:val="18"/>
                <w:szCs w:val="18"/>
              </w:rPr>
              <w:t xml:space="preserve">Time (HH:MM):</w:t>
            </w:r>
          </w:p>
          <w:p>
            <w:pPr>
              <w:spacing w:after="120"/>
            </w:pPr>
            <w:r>
              <w:rPr>
                <w:sz w:val="18"/>
                <w:szCs w:val="18"/>
              </w:rPr>
              <w:t xml:space="preserve"/>
            </w:r>
          </w:p>
        </w:tc>
      </w:tr>
    </w:tbl>
    <w:p>
      <w:pPr>
        <w:spacing w:before="200"/>
      </w:pPr>
    </w:p>
    <w:p>
      <w:pPr>
        <w:spacing w:before="200"/>
        <w:jc w:val="center"/>
      </w:pPr>
      <w:r>
        <w:rPr>
          <w:i/>
          <w:iCs/>
          <w:sz w:val="16"/>
          <w:szCs w:val="16"/>
        </w:rPr>
        <w:t xml:space="preserve">STS SUPERINTENDENT STANDING ORDER</w:t>
      </w:r>
    </w:p>
    <w:sectPr>
      <w:pgSz w:w="11906" w:h="16838" w:orient="portrait"/>
      <w:pgMar w:top="500" w:right="600" w:bottom="5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c3a5146405f6acf9b37b971f756b274cc9ad0ae.undefined"/><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2026-08-28T06:50:55.021Z</dcterms:created>
  <dcterms:modified xsi:type="dcterms:W3CDTF">2026-08-28T06:50:55.021Z</dcterms:modified>
</cp:coreProperties>
</file>

<file path=docProps/custom.xml><?xml version="1.0" encoding="utf-8"?>
<Properties xmlns="http://schemas.openxmlformats.org/officeDocument/2006/custom-properties" xmlns:vt="http://schemas.openxmlformats.org/officeDocument/2006/docPropsVTypes"/>
</file>