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60"/>
      </w:pPr>
      <w:r>
        <w:rPr>
          <w:rFonts w:ascii="Calibri" w:cs="Calibri" w:eastAsia="Calibri" w:hAnsi="Calibri"/>
          <w:b/>
          <w:bCs/>
          <w:color w:val="3B82F6"/>
          <w:spacing w:val="60"/>
          <w:sz w:val="22"/>
          <w:szCs w:val="22"/>
        </w:rPr>
        <w:t xml:space="preserve">GCS ANALYTICS  |  CONSOLE &amp; PUBLISHER HUB</w:t>
      </w:r>
    </w:p>
    <w:p>
      <w:pPr>
        <w:spacing w:after="240" w:line="300" w:lineRule="auto"/>
      </w:pPr>
      <w:r>
        <w:rPr>
          <w:rFonts w:ascii="Cambria" w:cs="Cambria" w:eastAsia="Cambria" w:hAnsi="Cambria"/>
          <w:b/>
          <w:bCs/>
          <w:color w:val="0B1220"/>
          <w:sz w:val="52"/>
          <w:szCs w:val="52"/>
        </w:rPr>
        <w:t xml:space="preserve">Executive Portfolio Report: Video Game Sales Intelligence Dashboard</w:t>
      </w:r>
    </w:p>
    <w:p>
      <w:pPr>
        <w:spacing w:after="600"/>
      </w:pPr>
      <w:r>
        <w:rPr>
          <w:rFonts w:ascii="Calibri" w:cs="Calibri" w:eastAsia="Calibri" w:hAnsi="Calibri"/>
          <w:i/>
          <w:iCs/>
          <w:color w:val="5B6B8C"/>
          <w:sz w:val="26"/>
          <w:szCs w:val="26"/>
        </w:rPr>
        <w:t xml:space="preserve">Project Documentation, Architecture &amp; Strategic Business Insights | GCS Analytics 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16213A" w:color="auto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40"/>
            </w:pPr>
            <w:r>
              <w:rPr>
                <w:rFonts w:ascii="Cambria" w:cs="Cambria" w:eastAsia="Cambria" w:hAnsi="Cambria"/>
                <w:b/>
                <w:bCs/>
                <w:color w:val="3B82F6"/>
                <w:sz w:val="44"/>
                <w:szCs w:val="44"/>
              </w:rPr>
              <w:t xml:space="preserve">$6.61B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C7D2E8"/>
                <w:sz w:val="20"/>
                <w:szCs w:val="20"/>
              </w:rPr>
              <w:t xml:space="preserve">Global sales</w:t>
            </w:r>
          </w:p>
        </w:tc>
        <w:tc>
          <w:tcPr>
            <w:tcW w:type="dxa" w:w="234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16213A" w:color="auto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40"/>
            </w:pPr>
            <w:r>
              <w:rPr>
                <w:rFonts w:ascii="Cambria" w:cs="Cambria" w:eastAsia="Cambria" w:hAnsi="Cambria"/>
                <w:b/>
                <w:bCs/>
                <w:color w:val="22C55E"/>
                <w:sz w:val="44"/>
                <w:szCs w:val="44"/>
              </w:rPr>
              <w:t xml:space="preserve">$95.7M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C7D2E8"/>
                <w:sz w:val="20"/>
                <w:szCs w:val="20"/>
              </w:rPr>
              <w:t xml:space="preserve">Dominant publisher metric</w:t>
            </w:r>
          </w:p>
        </w:tc>
        <w:tc>
          <w:tcPr>
            <w:tcW w:type="dxa" w:w="234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16213A" w:color="auto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40"/>
            </w:pPr>
            <w:r>
              <w:rPr>
                <w:rFonts w:ascii="Cambria" w:cs="Cambria" w:eastAsia="Cambria" w:hAnsi="Cambria"/>
                <w:b/>
                <w:bCs/>
                <w:color w:val="EAB308"/>
                <w:sz w:val="44"/>
                <w:szCs w:val="44"/>
              </w:rPr>
              <w:t xml:space="preserve">$0.51M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C7D2E8"/>
                <w:sz w:val="20"/>
                <w:szCs w:val="20"/>
              </w:rPr>
              <w:t xml:space="preserve">Average yield</w:t>
            </w:r>
          </w:p>
        </w:tc>
        <w:tc>
          <w:tcPr>
            <w:tcW w:type="dxa" w:w="234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16213A" w:color="auto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40"/>
            </w:pPr>
            <w:r>
              <w:rPr>
                <w:rFonts w:ascii="Cambria" w:cs="Cambria" w:eastAsia="Cambria" w:hAnsi="Cambria"/>
                <w:b/>
                <w:bCs/>
                <w:color w:val="EF4444"/>
                <w:sz w:val="44"/>
                <w:szCs w:val="44"/>
              </w:rPr>
              <w:t xml:space="preserve">39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C7D2E8"/>
                <w:sz w:val="20"/>
                <w:szCs w:val="20"/>
              </w:rPr>
              <w:t xml:space="preserve">Active consoles</w:t>
            </w:r>
          </w:p>
        </w:tc>
      </w:tr>
    </w:tbl>
    <w:p>
      <w:pPr>
        <w:spacing w:before="400"/>
      </w:pPr>
      <w:r>
        <w:rPr>
          <w:rFonts w:ascii="Calibri" w:cs="Calibri" w:eastAsia="Calibri" w:hAnsi="Calibri"/>
          <w:color w:val="5B6B8C"/>
          <w:sz w:val="20"/>
          <w:szCs w:val="20"/>
        </w:rPr>
        <w:t xml:space="preserve">Source: VGChartz video game sales dataset, release years 1977-2020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Title"/>
        <w:spacing w:after="80" w:before="0"/>
      </w:pPr>
      <w:r>
        <w:rPr>
          <w:rFonts w:ascii="Cambria" w:cs="Cambria" w:eastAsia="Cambria" w:hAnsi="Cambria"/>
          <w:b/>
          <w:bCs/>
          <w:color w:val="0B1220"/>
          <w:sz w:val="56"/>
          <w:szCs w:val="56"/>
        </w:rPr>
        <w:t xml:space="preserve">GCS Analytics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3B82F6"/>
          <w:sz w:val="30"/>
          <w:szCs w:val="30"/>
        </w:rPr>
        <w:t xml:space="preserve">Console &amp; Publisher Hub – Video Game Sales Report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Welcome! This document summarizes the insights from the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GCS Analytics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dashboard, built on the VGChartz video game sales dataset (release years 1977–2020). Charts in this report are drawn from the same data and use the dashboard’s colour theme.</w:t>
      </w:r>
    </w:p>
    <w:p>
      <w:pPr>
        <w:spacing w:after="120" w:before="2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Inside you will find five sections: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Key Performance Indicators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Console Performance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Sales Trend by Release Year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Regional Sales Analysis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Console &amp; Genre Breakdown and Key Takeaways</w:t>
      </w:r>
    </w:p>
    <w:p>
      <w:r>
        <w:br w:type="page"/>
      </w:r>
    </w:p>
    <w:p>
      <w:pPr>
        <w:pStyle w:val="Heading1"/>
        <w:keepNext/>
        <w:pBdr>
          <w:bottom w:val="single" w:color="3B82F6" w:sz="8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3B82F6"/>
          <w:sz w:val="34"/>
          <w:szCs w:val="34"/>
        </w:rPr>
        <w:t xml:space="preserve">1  </w:t>
      </w:r>
      <w:r>
        <w:rPr>
          <w:rFonts w:ascii="Cambria" w:cs="Cambria" w:eastAsia="Cambria" w:hAnsi="Cambria"/>
          <w:b/>
          <w:bCs/>
          <w:color w:val="0B1220"/>
          <w:sz w:val="34"/>
          <w:szCs w:val="34"/>
        </w:rPr>
        <w:t xml:space="preserve">Key Performance Indicators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top of the dashboard shows four headline cards: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rPr>
          <w:tblHeader/>
        </w:trPr>
        <w:tc>
          <w:tcPr>
            <w:tcW w:type="dxa" w:w="53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22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22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53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Global Sales</w:t>
            </w:r>
          </w:p>
        </w:tc>
        <w:tc>
          <w:tcPr>
            <w:tcW w:type="dxa" w:w="4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$6.61B</w:t>
            </w:r>
          </w:p>
        </w:tc>
      </w:tr>
      <w:tr>
        <w:trPr>
          <w:cantSplit/>
        </w:trPr>
        <w:tc>
          <w:tcPr>
            <w:tcW w:type="dxa" w:w="53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Dominant Publisher Metric</w:t>
            </w:r>
          </w:p>
        </w:tc>
        <w:tc>
          <w:tcPr>
            <w:tcW w:type="dxa" w:w="4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$95.7M</w:t>
            </w:r>
          </w:p>
        </w:tc>
      </w:tr>
      <w:tr>
        <w:trPr>
          <w:cantSplit/>
        </w:trPr>
        <w:tc>
          <w:tcPr>
            <w:tcW w:type="dxa" w:w="53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Average Yield</w:t>
            </w:r>
          </w:p>
        </w:tc>
        <w:tc>
          <w:tcPr>
            <w:tcW w:type="dxa" w:w="4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$0.51M</w:t>
            </w:r>
          </w:p>
        </w:tc>
      </w:tr>
      <w:tr>
        <w:trPr>
          <w:cantSplit/>
        </w:trPr>
        <w:tc>
          <w:tcPr>
            <w:tcW w:type="dxa" w:w="53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Active Consoles Count</w:t>
            </w:r>
          </w:p>
        </w:tc>
        <w:tc>
          <w:tcPr>
            <w:tcW w:type="dxa" w:w="4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39 systems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Across all 39 consoles in the dashboard, total sales reach $6.61 billion, with an average yield of about $0.51M per record.</w:t>
      </w:r>
    </w:p>
    <w:p>
      <w:pPr>
        <w:pStyle w:val="Heading1"/>
        <w:keepNext/>
        <w:pBdr>
          <w:bottom w:val="single" w:color="3B82F6" w:sz="8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3B82F6"/>
          <w:sz w:val="34"/>
          <w:szCs w:val="34"/>
        </w:rPr>
        <w:t xml:space="preserve">2  </w:t>
      </w:r>
      <w:r>
        <w:rPr>
          <w:rFonts w:ascii="Cambria" w:cs="Cambria" w:eastAsia="Cambria" w:hAnsi="Cambria"/>
          <w:b/>
          <w:bCs/>
          <w:color w:val="0B1220"/>
          <w:sz w:val="34"/>
          <w:szCs w:val="34"/>
        </w:rPr>
        <w:t xml:space="preserve">Console Performance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bar chart ranks consoles by total sales (in millions):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3105150"/>
            <wp:effectExtent t="0" r="0" b="0" l="0"/>
            <wp:docPr id="1" name="Top 10 consoles by total sales" descr="Top 10 consoles by total sales" title="Top 10 consoles by total s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B8C"/>
          <w:sz w:val="18"/>
          <w:szCs w:val="18"/>
        </w:rPr>
        <w:t xml:space="preserve">Figure 1. PlayStation systems (blue) take five of the top ten places.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80"/>
        <w:gridCol w:w="3680"/>
      </w:tblGrid>
      <w:tr>
        <w:trPr>
          <w:tblHeader/>
        </w:trPr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22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Rank</w:t>
            </w:r>
          </w:p>
        </w:tc>
        <w:tc>
          <w:tcPr>
            <w:tcW w:type="dxa" w:w="38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22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Console</w:t>
            </w:r>
          </w:p>
        </w:tc>
        <w:tc>
          <w:tcPr>
            <w:tcW w:type="dxa" w:w="36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22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Sales (M)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</w:t>
            </w:r>
          </w:p>
        </w:tc>
        <w:tc>
          <w:tcPr>
            <w:tcW w:type="dxa" w:w="38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PS2</w:t>
            </w:r>
          </w:p>
        </w:tc>
        <w:tc>
          <w:tcPr>
            <w:tcW w:type="dxa" w:w="36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1,028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</w:t>
            </w:r>
          </w:p>
        </w:tc>
        <w:tc>
          <w:tcPr>
            <w:tcW w:type="dxa" w:w="38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X360</w:t>
            </w:r>
          </w:p>
        </w:tc>
        <w:tc>
          <w:tcPr>
            <w:tcW w:type="dxa" w:w="36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860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3</w:t>
            </w:r>
          </w:p>
        </w:tc>
        <w:tc>
          <w:tcPr>
            <w:tcW w:type="dxa" w:w="38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PS3</w:t>
            </w:r>
          </w:p>
        </w:tc>
        <w:tc>
          <w:tcPr>
            <w:tcW w:type="dxa" w:w="36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840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4</w:t>
            </w:r>
          </w:p>
        </w:tc>
        <w:tc>
          <w:tcPr>
            <w:tcW w:type="dxa" w:w="38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PS</w:t>
            </w:r>
          </w:p>
        </w:tc>
        <w:tc>
          <w:tcPr>
            <w:tcW w:type="dxa" w:w="36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546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5</w:t>
            </w:r>
          </w:p>
        </w:tc>
        <w:tc>
          <w:tcPr>
            <w:tcW w:type="dxa" w:w="38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PS4</w:t>
            </w:r>
          </w:p>
        </w:tc>
        <w:tc>
          <w:tcPr>
            <w:tcW w:type="dxa" w:w="36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540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6</w:t>
            </w:r>
          </w:p>
        </w:tc>
        <w:tc>
          <w:tcPr>
            <w:tcW w:type="dxa" w:w="38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Wii</w:t>
            </w:r>
          </w:p>
        </w:tc>
        <w:tc>
          <w:tcPr>
            <w:tcW w:type="dxa" w:w="36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459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7</w:t>
            </w:r>
          </w:p>
        </w:tc>
        <w:tc>
          <w:tcPr>
            <w:tcW w:type="dxa" w:w="38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DS</w:t>
            </w:r>
          </w:p>
        </w:tc>
        <w:tc>
          <w:tcPr>
            <w:tcW w:type="dxa" w:w="36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458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8</w:t>
            </w:r>
          </w:p>
        </w:tc>
        <w:tc>
          <w:tcPr>
            <w:tcW w:type="dxa" w:w="38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XOne</w:t>
            </w:r>
          </w:p>
        </w:tc>
        <w:tc>
          <w:tcPr>
            <w:tcW w:type="dxa" w:w="36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269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9</w:t>
            </w:r>
          </w:p>
        </w:tc>
        <w:tc>
          <w:tcPr>
            <w:tcW w:type="dxa" w:w="38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PSP</w:t>
            </w:r>
          </w:p>
        </w:tc>
        <w:tc>
          <w:tcPr>
            <w:tcW w:type="dxa" w:w="36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245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10</w:t>
            </w:r>
          </w:p>
        </w:tc>
        <w:tc>
          <w:tcPr>
            <w:tcW w:type="dxa" w:w="38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XB</w:t>
            </w:r>
          </w:p>
        </w:tc>
        <w:tc>
          <w:tcPr>
            <w:tcW w:type="dxa" w:w="36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232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B82F6" w:sz="24"/>
              <w:bottom w:val="none" w:color="FFFFFF" w:sz="0"/>
              <w:right w:val="none" w:color="FFFFFF" w:sz="0"/>
            </w:tcBorders>
            <w:shd w:fill="EEF3F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2"/>
                <w:szCs w:val="22"/>
              </w:rPr>
              <w:t xml:space="preserve">Insight: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The PlayStation family (PS2, PS3, PS, PS4, PSP) dominates the top ten, and the PS2 leads clearly with over 1 billion in sales.</w:t>
            </w:r>
          </w:p>
        </w:tc>
      </w:tr>
    </w:tbl>
    <w:p>
      <w:pPr>
        <w:pStyle w:val="Heading1"/>
        <w:keepNext/>
        <w:pBdr>
          <w:bottom w:val="single" w:color="3B82F6" w:sz="8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3B82F6"/>
          <w:sz w:val="34"/>
          <w:szCs w:val="34"/>
        </w:rPr>
        <w:t xml:space="preserve">3  </w:t>
      </w:r>
      <w:r>
        <w:rPr>
          <w:rFonts w:ascii="Cambria" w:cs="Cambria" w:eastAsia="Cambria" w:hAnsi="Cambria"/>
          <w:b/>
          <w:bCs/>
          <w:color w:val="0B1220"/>
          <w:sz w:val="34"/>
          <w:szCs w:val="34"/>
        </w:rPr>
        <w:t xml:space="preserve">Sales Trend by Release Year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area chart shows total sales by release year from 1977 to 2020.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943225"/>
            <wp:effectExtent t="0" r="0" b="0" l="0"/>
            <wp:docPr id="1" name="Total sales by release year" descr="Total sales by release year" title="Total sales by release y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B8C"/>
          <w:sz w:val="18"/>
          <w:szCs w:val="18"/>
        </w:rPr>
        <w:t xml:space="preserve">Figure 2. Yearly sales rise from the late 1990s and peak in 2008.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Sales stay very low through the 1980s and early 1990s.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Growth begins in the late 1990s and reaches an early high of about 314 in 2002, with about 313 again in 2005.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all-time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peak is about 538 in 2008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After a dip to about 244 in 2006 and a drop to about 266 in 2013 (with a brief recovery to about 292 in 2014), sales decline steadily and then fall sharply to about 3 by 2019–2020, likely reflecting incomplete data for the final years.</w:t>
      </w:r>
    </w:p>
    <w:p>
      <w:pPr>
        <w:pStyle w:val="Heading1"/>
        <w:keepNext/>
        <w:pBdr>
          <w:bottom w:val="single" w:color="3B82F6" w:sz="8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3B82F6"/>
          <w:sz w:val="34"/>
          <w:szCs w:val="34"/>
        </w:rPr>
        <w:t xml:space="preserve">4  </w:t>
      </w:r>
      <w:r>
        <w:rPr>
          <w:rFonts w:ascii="Cambria" w:cs="Cambria" w:eastAsia="Cambria" w:hAnsi="Cambria"/>
          <w:b/>
          <w:bCs/>
          <w:color w:val="0B1220"/>
          <w:sz w:val="34"/>
          <w:szCs w:val="34"/>
        </w:rPr>
        <w:t xml:space="preserve">Regional Sales Analysis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943225"/>
            <wp:effectExtent t="0" r="0" b="0" l="0"/>
            <wp:docPr id="1" name="Regional share of global sales" descr="Regional share of global sales" title="Regional share of global s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B8C"/>
          <w:sz w:val="18"/>
          <w:szCs w:val="18"/>
        </w:rPr>
        <w:t xml:space="preserve">Figure 3. North America alone accounts for just over half of global sales.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22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Region</w:t>
            </w:r>
          </w:p>
        </w:tc>
        <w:tc>
          <w:tcPr>
            <w:tcW w:type="dxa" w:w="25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22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Sales</w:t>
            </w:r>
          </w:p>
        </w:tc>
        <w:tc>
          <w:tcPr>
            <w:tcW w:type="dxa" w:w="25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22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Share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North America</w:t>
            </w:r>
          </w:p>
        </w:tc>
        <w:tc>
          <w:tcPr>
            <w:tcW w:type="dxa" w:w="25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$3.35B</w:t>
            </w:r>
          </w:p>
        </w:tc>
        <w:tc>
          <w:tcPr>
            <w:tcW w:type="dxa" w:w="25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50.68%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Europe and Africa (PAL)</w:t>
            </w:r>
          </w:p>
        </w:tc>
        <w:tc>
          <w:tcPr>
            <w:tcW w:type="dxa" w:w="25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$1.92B</w:t>
            </w:r>
          </w:p>
        </w:tc>
        <w:tc>
          <w:tcPr>
            <w:tcW w:type="dxa" w:w="25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29.04%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Japan</w:t>
            </w:r>
          </w:p>
        </w:tc>
        <w:tc>
          <w:tcPr>
            <w:tcW w:type="dxa" w:w="25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$687.9M</w:t>
            </w:r>
          </w:p>
        </w:tc>
        <w:tc>
          <w:tcPr>
            <w:tcW w:type="dxa" w:w="25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10.42%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Other countries</w:t>
            </w:r>
          </w:p>
        </w:tc>
        <w:tc>
          <w:tcPr>
            <w:tcW w:type="dxa" w:w="25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$651.1M</w:t>
            </w:r>
          </w:p>
        </w:tc>
        <w:tc>
          <w:tcPr>
            <w:tcW w:type="dxa" w:w="25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9.86%</w:t>
            </w:r>
          </w:p>
        </w:tc>
      </w:tr>
    </w:tbl>
    <w:p>
      <w:pPr>
        <w:spacing w:after="12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943225"/>
            <wp:effectExtent t="0" r="0" b="0" l="0"/>
            <wp:docPr id="1" name="Regional sales by release year" descr="Regional sales by release year" title="Regional sales by release y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B8C"/>
          <w:sz w:val="18"/>
          <w:szCs w:val="18"/>
        </w:rPr>
        <w:t xml:space="preserve">Figure 4. All regions follow the same 2008-era peak and later decline.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North America alone accounts for just over half of all global sales.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Europe and Africa is the second-largest market at nearly 30%.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Japan and the rest of the world are each roughly 10%.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 the regional line chart, North America peaks at about 290, with PAL peaking at about 146, and all regions follow the same 2008-era peak and later decline.</w:t>
      </w:r>
    </w:p>
    <w:p>
      <w:pPr>
        <w:pStyle w:val="Heading1"/>
        <w:keepNext/>
        <w:pBdr>
          <w:bottom w:val="single" w:color="3B82F6" w:sz="8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3B82F6"/>
          <w:sz w:val="34"/>
          <w:szCs w:val="34"/>
        </w:rPr>
        <w:t xml:space="preserve">5  </w:t>
      </w:r>
      <w:r>
        <w:rPr>
          <w:rFonts w:ascii="Cambria" w:cs="Cambria" w:eastAsia="Cambria" w:hAnsi="Cambria"/>
          <w:b/>
          <w:bCs/>
          <w:color w:val="0B1220"/>
          <w:sz w:val="34"/>
          <w:szCs w:val="34"/>
        </w:rPr>
        <w:t xml:space="preserve">Console &amp; Genre Breakdown and Key Takeaways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detail table combines console, genre and regional sales. Selected rows: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160"/>
        <w:gridCol w:w="1300"/>
        <w:gridCol w:w="1100"/>
        <w:gridCol w:w="1700"/>
        <w:gridCol w:w="1300"/>
      </w:tblGrid>
      <w:tr>
        <w:trPr>
          <w:tblHeader/>
        </w:trPr>
        <w:tc>
          <w:tcPr>
            <w:tcW w:type="dxa" w:w="1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22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Console</w:t>
            </w:r>
          </w:p>
        </w:tc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22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Genre</w:t>
            </w:r>
          </w:p>
        </w:tc>
        <w:tc>
          <w:tcPr>
            <w:tcW w:type="dxa" w:w="11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22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Global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22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N. America</w:t>
            </w:r>
          </w:p>
        </w:tc>
        <w:tc>
          <w:tcPr>
            <w:tcW w:type="dxa" w:w="11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22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Japan</w:t>
            </w:r>
          </w:p>
        </w:tc>
        <w:tc>
          <w:tcPr>
            <w:tcW w:type="dxa" w:w="17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22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Europe &amp; Africa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22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Other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PS2</w:t>
            </w:r>
          </w:p>
        </w:tc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Platform</w:t>
            </w:r>
          </w:p>
        </w:tc>
        <w:tc>
          <w:tcPr>
            <w:tcW w:type="dxa" w:w="11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$59.6M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$30.7M</w:t>
            </w:r>
          </w:p>
        </w:tc>
        <w:tc>
          <w:tcPr>
            <w:tcW w:type="dxa" w:w="11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$1.2M</w:t>
            </w:r>
          </w:p>
        </w:tc>
        <w:tc>
          <w:tcPr>
            <w:tcW w:type="dxa" w:w="17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$18.3M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$9.5M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PS2</w:t>
            </w:r>
          </w:p>
        </w:tc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Fighting</w:t>
            </w:r>
          </w:p>
        </w:tc>
        <w:tc>
          <w:tcPr>
            <w:tcW w:type="dxa" w:w="11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$66.8M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$31.7M</w:t>
            </w:r>
          </w:p>
        </w:tc>
        <w:tc>
          <w:tcPr>
            <w:tcW w:type="dxa" w:w="11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$7.0M</w:t>
            </w:r>
          </w:p>
        </w:tc>
        <w:tc>
          <w:tcPr>
            <w:tcW w:type="dxa" w:w="17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$19.6M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$8.5M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PS3</w:t>
            </w:r>
          </w:p>
        </w:tc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Racing</w:t>
            </w:r>
          </w:p>
        </w:tc>
        <w:tc>
          <w:tcPr>
            <w:tcW w:type="dxa" w:w="11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$52.0M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$18.3M</w:t>
            </w:r>
          </w:p>
        </w:tc>
        <w:tc>
          <w:tcPr>
            <w:tcW w:type="dxa" w:w="11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$1.3M</w:t>
            </w:r>
          </w:p>
        </w:tc>
        <w:tc>
          <w:tcPr>
            <w:tcW w:type="dxa" w:w="17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$24.0M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$8.5M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XOne</w:t>
            </w:r>
          </w:p>
        </w:tc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Shooter</w:t>
            </w:r>
          </w:p>
        </w:tc>
        <w:tc>
          <w:tcPr>
            <w:tcW w:type="dxa" w:w="11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$90.3M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$56.0M</w:t>
            </w:r>
          </w:p>
        </w:tc>
        <w:tc>
          <w:tcPr>
            <w:tcW w:type="dxa" w:w="11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$0.2M</w:t>
            </w:r>
          </w:p>
        </w:tc>
        <w:tc>
          <w:tcPr>
            <w:tcW w:type="dxa" w:w="17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$25.9M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$8.3M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PS3</w:t>
            </w:r>
          </w:p>
        </w:tc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Misc</w:t>
            </w:r>
          </w:p>
        </w:tc>
        <w:tc>
          <w:tcPr>
            <w:tcW w:type="dxa" w:w="11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$57.6M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$25.6M</w:t>
            </w:r>
          </w:p>
        </w:tc>
        <w:tc>
          <w:tcPr>
            <w:tcW w:type="dxa" w:w="11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$4.0M</w:t>
            </w:r>
          </w:p>
        </w:tc>
        <w:tc>
          <w:tcPr>
            <w:tcW w:type="dxa" w:w="17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$20.1M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$8.0M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PS4</w:t>
            </w:r>
          </w:p>
        </w:tc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Action-Adventure</w:t>
            </w:r>
          </w:p>
        </w:tc>
        <w:tc>
          <w:tcPr>
            <w:tcW w:type="dxa" w:w="11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$51.2M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$17.3M</w:t>
            </w:r>
          </w:p>
        </w:tc>
        <w:tc>
          <w:tcPr>
            <w:tcW w:type="dxa" w:w="11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$2.2M</w:t>
            </w:r>
          </w:p>
        </w:tc>
        <w:tc>
          <w:tcPr>
            <w:tcW w:type="dxa" w:w="17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$23.7M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$7.9M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Wii</w:t>
            </w:r>
          </w:p>
        </w:tc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Sports</w:t>
            </w:r>
          </w:p>
        </w:tc>
        <w:tc>
          <w:tcPr>
            <w:tcW w:type="dxa" w:w="11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$92.2M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$58.9M</w:t>
            </w:r>
          </w:p>
        </w:tc>
        <w:tc>
          <w:tcPr>
            <w:tcW w:type="dxa" w:w="11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$2.4M</w:t>
            </w:r>
          </w:p>
        </w:tc>
        <w:tc>
          <w:tcPr>
            <w:tcW w:type="dxa" w:w="17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$23.0M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$7.8M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DS</w:t>
            </w:r>
          </w:p>
        </w:tc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Simulation</w:t>
            </w:r>
          </w:p>
        </w:tc>
        <w:tc>
          <w:tcPr>
            <w:tcW w:type="dxa" w:w="11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$89.0M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$55.5M</w:t>
            </w:r>
          </w:p>
        </w:tc>
        <w:tc>
          <w:tcPr>
            <w:tcW w:type="dxa" w:w="11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$4.9M</w:t>
            </w:r>
          </w:p>
        </w:tc>
        <w:tc>
          <w:tcPr>
            <w:tcW w:type="dxa" w:w="17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$21.0M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$7.5M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DCE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DCE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DCE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$6.61B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DCE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$3.35B</w:t>
            </w:r>
          </w:p>
        </w:tc>
        <w:tc>
          <w:tcPr>
            <w:tcW w:type="dxa" w:w="11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DCE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$687.9M</w:t>
            </w:r>
          </w:p>
        </w:tc>
        <w:tc>
          <w:tcPr>
            <w:tcW w:type="dxa" w:w="17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DCE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$1.92B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DCE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$651.1M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Across the full dataset, three genres lead total sales by a wide margin: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943225"/>
            <wp:effectExtent t="0" r="0" b="0" l="0"/>
            <wp:docPr id="1" name="Top genres by total sales" descr="Top genres by total sales" title="Top genres by total s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B8C"/>
          <w:sz w:val="18"/>
          <w:szCs w:val="18"/>
        </w:rPr>
        <w:t xml:space="preserve">Figure 5. Sports, Action and Shooter (gold) together account for roughly half of all sales.</w:t>
      </w:r>
    </w:p>
    <w:p>
      <w:pPr>
        <w:pStyle w:val="Heading3"/>
        <w:keepNext/>
        <w:spacing w:after="100" w:before="240"/>
      </w:pPr>
      <w:r>
        <w:rPr>
          <w:rFonts w:ascii="Cambria" w:cs="Cambria" w:eastAsia="Cambria" w:hAnsi="Cambria"/>
          <w:b/>
          <w:bCs/>
          <w:color w:val="0B1220"/>
          <w:sz w:val="26"/>
          <w:szCs w:val="26"/>
        </w:rPr>
        <w:t xml:space="preserve">Dashboard Controls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Genre slicer: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filter every visual by one or more genres (Action, Action-Adventure, Adventure, Board Game and more).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Release_Year slider: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limit the view to a range between 1977 and 2020.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Reset Slicers button: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clears all filters at once.</w:t>
      </w:r>
    </w:p>
    <w:p>
      <w:pPr>
        <w:pStyle w:val="Heading3"/>
        <w:keepNext/>
        <w:spacing w:after="100" w:before="240"/>
      </w:pPr>
      <w:r>
        <w:rPr>
          <w:rFonts w:ascii="Cambria" w:cs="Cambria" w:eastAsia="Cambria" w:hAnsi="Cambria"/>
          <w:b/>
          <w:bCs/>
          <w:color w:val="0B1220"/>
          <w:sz w:val="26"/>
          <w:szCs w:val="26"/>
        </w:rPr>
        <w:t xml:space="preserve">Key Takeaways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PS2 is the best-selling console, and Sony consoles dominate the top ranks.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Sales peaked around 2008, driven by the PS3, Xbox 360 and Wii era.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North America is the most important market at over 50% of sales.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Shooter and Sports titles on newer consoles (XOne, Wii) post some of the highest individual console-genre totals.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Japan is a small share overall, but it responds strongly to specific genres such as Fighting.</w:t>
      </w:r>
    </w:p>
    <w:sectPr>
      <w:headerReference w:type="default" r:id="rId7"/>
      <w:footerReference w:type="default" r:id="rId8"/>
      <w:pgSz w:w="12240" w:h="15840" w:orient="portrait"/>
      <w:pgMar w:top="1440" w:right="1440" w:bottom="1296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B8C"/>
        <w:sz w:val="18"/>
        <w:szCs w:val="18"/>
      </w:rPr>
      <w:t xml:space="preserve">Page </w:t>
    </w:r>
    <w:r>
      <w:rPr>
        <w:rFonts w:ascii="Calibri" w:cs="Calibri" w:eastAsia="Calibri" w:hAnsi="Calibri"/>
        <w:color w:val="5B6B8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DEE" w:sz="4" w:space="4"/>
      </w:pBdr>
      <w:jc w:val="right"/>
    </w:pPr>
    <w:r>
      <w:rPr>
        <w:rFonts w:ascii="Calibri" w:cs="Calibri" w:eastAsia="Calibri" w:hAnsi="Calibri"/>
        <w:color w:val="5B6B8C"/>
        <w:sz w:val="18"/>
        <w:szCs w:val="18"/>
      </w:rPr>
      <w:t xml:space="preserve">GCS Analytics  |  Video Game Sales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3B82F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82F6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82F6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mbria" w:cs="Cambria" w:eastAsia="Cambria" w:hAnsi="Cambria"/>
      <w:b/>
      <w:bCs/>
      <w:color w:val="0B1220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mbria" w:cs="Cambria" w:eastAsia="Cambria" w:hAnsi="Cambria"/>
      <w:b/>
      <w:bCs/>
      <w:color w:val="0B1220"/>
      <w:sz w:val="26"/>
      <w:szCs w:val="26"/>
    </w:rPr>
  </w:style>
  <w:style w:type="paragraph" w:styleId="Title">
    <w:name w:val="Title"/>
    <w:basedOn w:val="Normal"/>
    <w:next w:val="Normal"/>
    <w:qFormat/>
    <w:rPr>
      <w:rFonts w:ascii="Cambria" w:cs="Cambria" w:eastAsia="Cambria" w:hAnsi="Cambria"/>
      <w:b/>
      <w:bCs/>
      <w:color w:val="0B1220"/>
      <w:sz w:val="56"/>
      <w:szCs w:val="5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3202c9aac91018cb0706cbff2fde91da19072ce.png"/><Relationship Id="rId10" Type="http://schemas.openxmlformats.org/officeDocument/2006/relationships/image" Target="media/e31d461bc7d5ea9a768573ada45f485f23b3cd3f.png"/><Relationship Id="rId11" Type="http://schemas.openxmlformats.org/officeDocument/2006/relationships/image" Target="media/e07495d9f61b46864ea3e05c18b5dbb5161d5708.png"/><Relationship Id="rId12" Type="http://schemas.openxmlformats.org/officeDocument/2006/relationships/image" Target="media/2b81dc89ee97605e8b2a4616f2f2aede3e26444b.png"/><Relationship Id="rId13" Type="http://schemas.openxmlformats.org/officeDocument/2006/relationships/image" Target="media/af5c065349ee967dd5c330b12c11b2559848cc1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GCS Analytics - Video Game Sales Report</dc:title>
  <dc:creator>GCS Analytics</dc:creator>
  <cp:lastModifiedBy>Un-named</cp:lastModifiedBy>
  <cp:revision>1</cp:revision>
  <dcterms:created xsi:type="dcterms:W3CDTF">2026-10-09T11:32:32.040Z</dcterms:created>
  <dcterms:modified xsi:type="dcterms:W3CDTF">2026-10-09T11:32:32.040Z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