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
    <w:p>
      <w:pPr>
        <w:pStyle w:val="Heading1"/>
      </w:pPr>
      <w:r>
        <w:t xml:space="preserve">Convie Multivendor Marketplace PRD</w:t>
      </w:r>
    </w:p>
    <w:p>
      <w:pPr/>
      <w:r>
        <w:t xml:space="preserve">Oct 18, 2026</w:t>
      </w:r>
      <w:r>
        <w:t xml:space="preserve"> · </w:t>
      </w:r>
      <w:r>
        <w:t xml:space="preserve">@Prince Efik</w:t>
      </w:r>
    </w:p>
    <w:p>
      <w:pPr>
        <w:pStyle w:val="Heading2"/>
      </w:pPr>
      <w:r>
        <w:t xml:space="preserve">Summary</w:t>
      </w:r>
    </w:p>
    <w:p>
      <w:pPr/>
      <w:r>
        <w:t xml:space="preserve">Convie becomes a multivendor marketplace where independent vendors list products, buyers in several countries check out once across many vendors, and each vendor is paid out in their own currency. It is built on the existing Laravel 13 microservices (auth, user, product) behind one nginx gateway, adding vendor, cart, order, payment, payout and notification services.</w:t>
      </w:r>
    </w:p>
    <w:p>
      <w:pPr/>
      <w:r>
        <w:t xml:space="preserve">The success bar for launch: a buyer in Lagos, Accra or London can pay for a two-vendor basket in their local currency, and both vendors receive the correct net amount in their local bank account within their settlement window, with every kobo traceable in the ledger.</w:t>
      </w:r>
    </w:p>
    <w:p>
      <w:pPr/>
      <w:r>
        <w:rPr>
          <w:b/>
        </w:rPr>
        <w:t xml:space="preserve">Assumptions this PRD makes (confirm or correct):</w:t>
      </w:r>
    </w:p>
    <w:p>
      <w:pPr>
        <w:pStyle w:val="ListParagraph"/>
        <w:numPr>
          <w:ilvl w:val="0"/>
          <w:numId w:val="2"/>
        </w:numPr>
      </w:pPr>
      <w:r>
        <w:t xml:space="preserve">Launch markets are Nigeria, Ghana and Kenya for vendors and buyers, plus UK, EU and US buyers (diaspora demand).</w:t>
      </w:r>
    </w:p>
    <w:p>
      <w:pPr>
        <w:pStyle w:val="ListParagraph"/>
        <w:numPr>
          <w:ilvl w:val="0"/>
          <w:numId w:val="2"/>
        </w:numPr>
      </w:pPr>
      <w:r>
        <w:t xml:space="preserve">Gateways are Paystack (NG, GH, KE, ZA), Flutterwave (pan-African and multi-currency) and Stripe (UK, EU, US cards).</w:t>
      </w:r>
    </w:p>
    <w:p>
      <w:pPr>
        <w:pStyle w:val="ListParagraph"/>
        <w:numPr>
          <w:ilvl w:val="0"/>
          <w:numId w:val="2"/>
        </w:numPr>
      </w:pPr>
      <w:r>
        <w:t xml:space="preserve">Convie is the merchant of record and collects a commission per order; it does not hold buyer wallets in phase 1.</w:t>
      </w:r>
    </w:p>
    <w:p>
      <w:pPr>
        <w:pStyle w:val="Heading2"/>
      </w:pPr>
      <w:r>
        <w:t xml:space="preserve">Goals, non-goals and success metrics</w:t>
      </w:r>
    </w:p>
    <w:p>
      <w:pPr/>
      <w:r>
        <w:rPr>
          <w:b/>
        </w:rPr>
        <w:t xml:space="preserve">Goals</w:t>
      </w:r>
    </w:p>
    <w:p>
      <w:pPr>
        <w:pStyle w:val="ListParagraph"/>
        <w:numPr>
          <w:ilvl w:val="0"/>
          <w:numId w:val="3"/>
        </w:numPr>
      </w:pPr>
      <w:r>
        <w:t xml:space="preserve">Vendors self-onboard, pass KYC/KYB and publish a catalogue without staff help.</w:t>
      </w:r>
    </w:p>
    <w:p>
      <w:pPr>
        <w:pStyle w:val="ListParagraph"/>
        <w:numPr>
          <w:ilvl w:val="0"/>
          <w:numId w:val="3"/>
        </w:numPr>
      </w:pPr>
      <w:r>
        <w:t xml:space="preserve">Buyers check out a multi-vendor cart in one payment, in their own currency.</w:t>
      </w:r>
    </w:p>
    <w:p>
      <w:pPr>
        <w:pStyle w:val="ListParagraph"/>
        <w:numPr>
          <w:ilvl w:val="0"/>
          <w:numId w:val="3"/>
        </w:numPr>
      </w:pPr>
      <w:r>
        <w:t xml:space="preserve">Each payment is split automatically into vendor net, Convie commission, gateway fee and tax.</w:t>
      </w:r>
    </w:p>
    <w:p>
      <w:pPr>
        <w:pStyle w:val="ListParagraph"/>
        <w:numPr>
          <w:ilvl w:val="0"/>
          <w:numId w:val="3"/>
        </w:numPr>
      </w:pPr>
      <w:r>
        <w:t xml:space="preserve">Vendors are paid out on a predictable schedule to local bank or mobile money.</w:t>
      </w:r>
    </w:p>
    <w:p>
      <w:pPr>
        <w:pStyle w:val="ListParagraph"/>
        <w:numPr>
          <w:ilvl w:val="0"/>
          <w:numId w:val="3"/>
        </w:numPr>
      </w:pPr>
      <w:r>
        <w:t xml:space="preserve">Every money movement is recorded in a double-entry ledger and reconciles daily against gateway reports.</w:t>
      </w:r>
    </w:p>
    <w:p>
      <w:pPr/>
      <w:r>
        <w:rPr>
          <w:b/>
        </w:rPr>
        <w:t xml:space="preserve">Non-goals (phase 1)</w:t>
      </w:r>
    </w:p>
    <w:p>
      <w:pPr>
        <w:pStyle w:val="ListParagraph"/>
        <w:numPr>
          <w:ilvl w:val="0"/>
          <w:numId w:val="4"/>
        </w:numPr>
      </w:pPr>
      <w:r>
        <w:t xml:space="preserve">Buyer wallets, stored value or credit.</w:t>
      </w:r>
    </w:p>
    <w:p>
      <w:pPr>
        <w:pStyle w:val="ListParagraph"/>
        <w:numPr>
          <w:ilvl w:val="0"/>
          <w:numId w:val="4"/>
        </w:numPr>
      </w:pPr>
      <w:r>
        <w:t xml:space="preserve">Crypto or BNPL payment methods.</w:t>
      </w:r>
    </w:p>
    <w:p>
      <w:pPr>
        <w:pStyle w:val="ListParagraph"/>
        <w:numPr>
          <w:ilvl w:val="0"/>
          <w:numId w:val="4"/>
        </w:numPr>
      </w:pPr>
      <w:r>
        <w:t xml:space="preserve">Convie-run logistics; vendors ship themselves or via a third-party carrier API.</w:t>
      </w:r>
    </w:p>
    <w:p>
      <w:pPr>
        <w:pStyle w:val="ListParagraph"/>
        <w:numPr>
          <w:ilvl w:val="0"/>
          <w:numId w:val="4"/>
        </w:numPr>
      </w:pPr>
      <w:r>
        <w:t xml:space="preserve">Native mobile apps; the web front end is responsive.</w:t>
      </w:r>
    </w:p>
    <w:p>
      <w:pPr/>
      <w:r>
        <w:rPr>
          <w:b/>
        </w:rPr>
        <w:t xml:space="preserve">Success metrics (first 6 months after GA)</w:t>
      </w:r>
    </w:p>
    <w:tbl>
      <w:tblPr>
        <w:tblStyle w:val="TableGrid"/>
        <w:tblW w:w="0" w:type="auto"/>
        <w:tblLayout w:type="fixed"/>
        <w:tblLook w:val="04A0" w:firstRow="1" w:lastRow="0" w:firstColumn="0" w:lastColumn="0" w:noHBand="0" w:noVBand="1"/>
      </w:tblPr>
      <w:tblGrid>
        <w:gridCol w:w="3524"/>
        <w:gridCol w:w="3099"/>
        <w:gridCol w:w="2737"/>
      </w:tblGrid>
      <w:tr>
        <w:trPr>
          <w:tblHeader/>
        </w:trPr>
        <w:tc>
          <w:tcPr>
            <w:tcW w:w="3524" w:type="dxa"/>
            <w:shd w:val="clear" w:color="auto" w:fill="F2F2F2"/>
          </w:tcPr>
          <w:p>
            <w:pPr/>
            <w:r>
              <w:t xml:space="preserve">Metric</w:t>
            </w:r>
          </w:p>
        </w:tc>
        <w:tc>
          <w:tcPr>
            <w:tcW w:w="3099" w:type="dxa"/>
            <w:shd w:val="clear" w:color="auto" w:fill="F2F2F2"/>
          </w:tcPr>
          <w:p>
            <w:pPr/>
            <w:r>
              <w:t xml:space="preserve">Target</w:t>
            </w:r>
          </w:p>
        </w:tc>
        <w:tc>
          <w:tcPr>
            <w:tcW w:w="2737" w:type="dxa"/>
            <w:shd w:val="clear" w:color="auto" w:fill="F2F2F2"/>
          </w:tcPr>
          <w:p>
            <w:pPr/>
            <w:r>
              <w:t xml:space="preserve">Why it matters</w:t>
            </w:r>
          </w:p>
        </w:tc>
      </w:tr>
      <w:tr>
        <w:tc>
          <w:tcPr>
            <w:tcW w:w="3524" w:type="dxa"/>
          </w:tcPr>
          <w:p>
            <w:pPr/>
            <w:r>
              <w:t xml:space="preserve">Payment success rate (authorised / attempted)</w:t>
            </w:r>
          </w:p>
        </w:tc>
        <w:tc>
          <w:tcPr>
            <w:tcW w:w="3099" w:type="dxa"/>
          </w:tcPr>
          <w:p>
            <w:pPr/>
            <w:r>
              <w:t xml:space="preserve">≥ 92% NG, ≥ 95% UK/EU</w:t>
            </w:r>
          </w:p>
        </w:tc>
        <w:tc>
          <w:tcPr>
            <w:tcW w:w="2737" w:type="dxa"/>
          </w:tcPr>
          <w:p>
            <w:pPr/>
            <w:r>
              <w:t xml:space="preserve">Gateway routing quality</w:t>
            </w:r>
          </w:p>
        </w:tc>
      </w:tr>
      <w:tr>
        <w:tc>
          <w:tcPr>
            <w:tcW w:w="3524" w:type="dxa"/>
          </w:tcPr>
          <w:p>
            <w:pPr/>
            <w:r>
              <w:t xml:space="preserve">Checkout conversion (cart → paid)</w:t>
            </w:r>
          </w:p>
        </w:tc>
        <w:tc>
          <w:tcPr>
            <w:tcW w:w="3099" w:type="dxa"/>
          </w:tcPr>
          <w:p>
            <w:pPr/>
            <w:r>
              <w:t xml:space="preserve">≥ 3.5%</w:t>
            </w:r>
          </w:p>
        </w:tc>
        <w:tc>
          <w:tcPr>
            <w:tcW w:w="2737" w:type="dxa"/>
          </w:tcPr>
          <w:p>
            <w:pPr/>
            <w:r>
              <w:t xml:space="preserve">Core funnel health</w:t>
            </w:r>
          </w:p>
        </w:tc>
      </w:tr>
      <w:tr>
        <w:tc>
          <w:tcPr>
            <w:tcW w:w="3524" w:type="dxa"/>
          </w:tcPr>
          <w:p>
            <w:pPr/>
            <w:r>
              <w:t xml:space="preserve">Vendor onboarding time (sign-up → first live product)</w:t>
            </w:r>
          </w:p>
        </w:tc>
        <w:tc>
          <w:tcPr>
            <w:tcW w:w="3099" w:type="dxa"/>
          </w:tcPr>
          <w:p>
            <w:pPr/>
            <w:r>
              <w:t xml:space="preserve">≤ 48 h median</w:t>
            </w:r>
          </w:p>
        </w:tc>
        <w:tc>
          <w:tcPr>
            <w:tcW w:w="2737" w:type="dxa"/>
          </w:tcPr>
          <w:p>
            <w:pPr/>
            <w:r>
              <w:t xml:space="preserve">Supply growth</w:t>
            </w:r>
          </w:p>
        </w:tc>
      </w:tr>
      <w:tr>
        <w:tc>
          <w:tcPr>
            <w:tcW w:w="3524" w:type="dxa"/>
          </w:tcPr>
          <w:p>
            <w:pPr/>
            <w:r>
              <w:t xml:space="preserve">Payout on time (within stated window)</w:t>
            </w:r>
          </w:p>
        </w:tc>
        <w:tc>
          <w:tcPr>
            <w:tcW w:w="3099" w:type="dxa"/>
          </w:tcPr>
          <w:p>
            <w:pPr/>
            <w:r>
              <w:t xml:space="preserve">≥ 99%</w:t>
            </w:r>
          </w:p>
        </w:tc>
        <w:tc>
          <w:tcPr>
            <w:tcW w:w="2737" w:type="dxa"/>
          </w:tcPr>
          <w:p>
            <w:pPr/>
            <w:r>
              <w:t xml:space="preserve">Vendor trust</w:t>
            </w:r>
          </w:p>
        </w:tc>
      </w:tr>
      <w:tr>
        <w:tc>
          <w:tcPr>
            <w:tcW w:w="3524" w:type="dxa"/>
          </w:tcPr>
          <w:p>
            <w:pPr/>
            <w:r>
              <w:t xml:space="preserve">Daily reconciliation breaks</w:t>
            </w:r>
          </w:p>
        </w:tc>
        <w:tc>
          <w:tcPr>
            <w:tcW w:w="3099" w:type="dxa"/>
          </w:tcPr>
          <w:p>
            <w:pPr/>
            <w:r>
              <w:t xml:space="preserve">0 unresolved after 48 h</w:t>
            </w:r>
          </w:p>
        </w:tc>
        <w:tc>
          <w:tcPr>
            <w:tcW w:w="2737" w:type="dxa"/>
          </w:tcPr>
          <w:p>
            <w:pPr/>
            <w:r>
              <w:t xml:space="preserve">Financial integrity</w:t>
            </w:r>
          </w:p>
        </w:tc>
      </w:tr>
      <w:tr>
        <w:tc>
          <w:tcPr>
            <w:tcW w:w="3524" w:type="dxa"/>
          </w:tcPr>
          <w:p>
            <w:pPr/>
            <w:r>
              <w:t xml:space="preserve">Active vendors</w:t>
            </w:r>
          </w:p>
        </w:tc>
        <w:tc>
          <w:tcPr>
            <w:tcW w:w="3099" w:type="dxa"/>
          </w:tcPr>
          <w:p>
            <w:pPr/>
            <w:r>
              <w:t xml:space="preserve">300</w:t>
            </w:r>
          </w:p>
        </w:tc>
        <w:tc>
          <w:tcPr>
            <w:tcW w:w="2737" w:type="dxa"/>
          </w:tcPr>
          <w:p>
            <w:pPr/>
            <w:r>
              <w:t xml:space="preserve">Marketplace depth</w:t>
            </w:r>
          </w:p>
        </w:tc>
      </w:tr>
      <w:tr>
        <w:tc>
          <w:tcPr>
            <w:tcW w:w="3524" w:type="dxa"/>
          </w:tcPr>
          <w:p>
            <w:pPr/>
            <w:r>
              <w:t xml:space="preserve">GMV</w:t>
            </w:r>
          </w:p>
        </w:tc>
        <w:tc>
          <w:tcPr>
            <w:tcW w:w="3099" w:type="dxa"/>
          </w:tcPr>
          <w:p>
            <w:pPr/>
            <w:r>
              <w:t xml:space="preserve">$250k cumulative</w:t>
            </w:r>
          </w:p>
        </w:tc>
        <w:tc>
          <w:tcPr>
            <w:tcW w:w="2737" w:type="dxa"/>
          </w:tcPr>
          <w:p>
            <w:pPr/>
            <w:r>
              <w:t xml:space="preserve">Business viability</w:t>
            </w:r>
          </w:p>
        </w:tc>
      </w:tr>
      <w:tr>
        <w:tc>
          <w:tcPr>
            <w:tcW w:w="3524" w:type="dxa"/>
          </w:tcPr>
          <w:p>
            <w:pPr/>
            <w:r>
              <w:t xml:space="preserve">Dispute / chargeback rate</w:t>
            </w:r>
          </w:p>
        </w:tc>
        <w:tc>
          <w:tcPr>
            <w:tcW w:w="3099" w:type="dxa"/>
          </w:tcPr>
          <w:p>
            <w:pPr/>
            <w:r>
              <w:t xml:space="preserve">&lt; 0.5% of orders</w:t>
            </w:r>
          </w:p>
        </w:tc>
        <w:tc>
          <w:tcPr>
            <w:tcW w:w="2737" w:type="dxa"/>
          </w:tcPr>
          <w:p>
            <w:pPr/>
            <w:r>
              <w:t xml:space="preserve">Gateway standing</w:t>
            </w:r>
          </w:p>
        </w:tc>
      </w:tr>
    </w:tbl>
    <w:p>
      <w:pPr>
        <w:pStyle w:val="Heading2"/>
      </w:pPr>
      <w:r>
        <w:t xml:space="preserve">Users</w:t>
      </w:r>
    </w:p>
    <w:tbl>
      <w:tblPr>
        <w:tblStyle w:val="TableGrid"/>
        <w:tblW w:w="0" w:type="auto"/>
        <w:tblLayout w:type="fixed"/>
        <w:tblLook w:val="04A0" w:firstRow="1" w:lastRow="0" w:firstColumn="0" w:lastColumn="0" w:noHBand="0" w:noVBand="1"/>
      </w:tblPr>
      <w:tblGrid>
        <w:gridCol w:w="2064"/>
        <w:gridCol w:w="994"/>
        <w:gridCol w:w="4269"/>
        <w:gridCol w:w="2033"/>
      </w:tblGrid>
      <w:tr>
        <w:trPr>
          <w:tblHeader/>
        </w:trPr>
        <w:tc>
          <w:tcPr>
            <w:tcW w:w="2064" w:type="dxa"/>
            <w:shd w:val="clear" w:color="auto" w:fill="F2F2F2"/>
          </w:tcPr>
          <w:p>
            <w:pPr/>
            <w:r>
              <w:t xml:space="preserve">Persona</w:t>
            </w:r>
          </w:p>
        </w:tc>
        <w:tc>
          <w:tcPr>
            <w:tcW w:w="994" w:type="dxa"/>
            <w:shd w:val="clear" w:color="auto" w:fill="F2F2F2"/>
          </w:tcPr>
          <w:p>
            <w:pPr/>
            <w:r>
              <w:t xml:space="preserve">Where</w:t>
            </w:r>
          </w:p>
        </w:tc>
        <w:tc>
          <w:tcPr>
            <w:tcW w:w="4269" w:type="dxa"/>
            <w:shd w:val="clear" w:color="auto" w:fill="F2F2F2"/>
          </w:tcPr>
          <w:p>
            <w:pPr/>
            <w:r>
              <w:t xml:space="preserve">Needs</w:t>
            </w:r>
          </w:p>
        </w:tc>
        <w:tc>
          <w:tcPr>
            <w:tcW w:w="2033" w:type="dxa"/>
            <w:shd w:val="clear" w:color="auto" w:fill="F2F2F2"/>
          </w:tcPr>
          <w:p>
            <w:pPr/>
            <w:r>
              <w:t xml:space="preserve">Top pain today</w:t>
            </w:r>
          </w:p>
        </w:tc>
      </w:tr>
      <w:tr>
        <w:tc>
          <w:tcPr>
            <w:tcW w:w="2064" w:type="dxa"/>
          </w:tcPr>
          <w:p>
            <w:pPr/>
            <w:r>
              <w:t xml:space="preserve">Buyer</w:t>
            </w:r>
          </w:p>
        </w:tc>
        <w:tc>
          <w:tcPr>
            <w:tcW w:w="994" w:type="dxa"/>
          </w:tcPr>
          <w:p>
            <w:pPr/>
            <w:r>
              <w:t xml:space="preserve">NG, GH, KE, UK, EU, US</w:t>
            </w:r>
          </w:p>
        </w:tc>
        <w:tc>
          <w:tcPr>
            <w:tcW w:w="4269" w:type="dxa"/>
          </w:tcPr>
          <w:p>
            <w:pPr/>
            <w:r>
              <w:t xml:space="preserve">Find products, pay in own currency with a familiar method (card, bank transfer, USSD, M-Pesa), track orders</w:t>
            </w:r>
          </w:p>
        </w:tc>
        <w:tc>
          <w:tcPr>
            <w:tcW w:w="2033" w:type="dxa"/>
          </w:tcPr>
          <w:p>
            <w:pPr/>
            <w:r>
              <w:t xml:space="preserve">Cross-border card declines; unclear landed price</w:t>
            </w:r>
          </w:p>
        </w:tc>
      </w:tr>
      <w:tr>
        <w:tc>
          <w:tcPr>
            <w:tcW w:w="2064" w:type="dxa"/>
          </w:tcPr>
          <w:p>
            <w:pPr/>
            <w:r>
              <w:t xml:space="preserve">Vendor</w:t>
            </w:r>
          </w:p>
        </w:tc>
        <w:tc>
          <w:tcPr>
            <w:tcW w:w="994" w:type="dxa"/>
          </w:tcPr>
          <w:p>
            <w:pPr/>
            <w:r>
              <w:t xml:space="preserve">NG, GH, KE</w:t>
            </w:r>
          </w:p>
        </w:tc>
        <w:tc>
          <w:tcPr>
            <w:tcW w:w="4269" w:type="dxa"/>
          </w:tcPr>
          <w:p>
            <w:pPr/>
            <w:r>
              <w:t xml:space="preserve">List fast, get paid reliably in local currency, see fees clearly</w:t>
            </w:r>
          </w:p>
        </w:tc>
        <w:tc>
          <w:tcPr>
            <w:tcW w:w="2033" w:type="dxa"/>
          </w:tcPr>
          <w:p>
            <w:pPr/>
            <w:r>
              <w:t xml:space="preserve">Late or opaque payouts on other marketplaces</w:t>
            </w:r>
          </w:p>
        </w:tc>
      </w:tr>
      <w:tr>
        <w:tc>
          <w:tcPr>
            <w:tcW w:w="2064" w:type="dxa"/>
          </w:tcPr>
          <w:p>
            <w:pPr/>
            <w:r>
              <w:t xml:space="preserve">Operations admin</w:t>
            </w:r>
          </w:p>
        </w:tc>
        <w:tc>
          <w:tcPr>
            <w:tcW w:w="994" w:type="dxa"/>
          </w:tcPr>
          <w:p>
            <w:pPr/>
            <w:r>
              <w:t xml:space="preserve">Convie</w:t>
            </w:r>
          </w:p>
        </w:tc>
        <w:tc>
          <w:tcPr>
            <w:tcW w:w="4269" w:type="dxa"/>
          </w:tcPr>
          <w:p>
            <w:pPr/>
            <w:r>
              <w:t xml:space="preserve">Approve vendors, moderate listings, handle disputes and refunds</w:t>
            </w:r>
          </w:p>
        </w:tc>
        <w:tc>
          <w:tcPr>
            <w:tcW w:w="2033" w:type="dxa"/>
          </w:tcPr>
          <w:p>
            <w:pPr/>
            <w:r>
              <w:t xml:space="preserve">No tooling yet</w:t>
            </w:r>
          </w:p>
        </w:tc>
      </w:tr>
      <w:tr>
        <w:tc>
          <w:tcPr>
            <w:tcW w:w="2064" w:type="dxa"/>
          </w:tcPr>
          <w:p>
            <w:pPr/>
            <w:r>
              <w:t xml:space="preserve">Finance</w:t>
            </w:r>
          </w:p>
        </w:tc>
        <w:tc>
          <w:tcPr>
            <w:tcW w:w="994" w:type="dxa"/>
          </w:tcPr>
          <w:p>
            <w:pPr/>
            <w:r>
              <w:t xml:space="preserve">Convie</w:t>
            </w:r>
          </w:p>
        </w:tc>
        <w:tc>
          <w:tcPr>
            <w:tcW w:w="4269" w:type="dxa"/>
          </w:tcPr>
          <w:p>
            <w:pPr/>
            <w:r>
              <w:t xml:space="preserve">Reconcile gateway settlements, run payouts, report tax and FX</w:t>
            </w:r>
          </w:p>
        </w:tc>
        <w:tc>
          <w:tcPr>
            <w:tcW w:w="2033" w:type="dxa"/>
          </w:tcPr>
          <w:p>
            <w:pPr/>
            <w:r>
              <w:t xml:space="preserve">No ledger yet</w:t>
            </w:r>
          </w:p>
        </w:tc>
      </w:tr>
    </w:tbl>
    <w:p>
      <w:pPr>
        <w:pStyle w:val="Heading2"/>
      </w:pPr>
      <w:r>
        <w:t xml:space="preserve">Where the codebase stands today</w:t>
      </w:r>
    </w:p>
    <w:p>
      <w:pPr/>
      <w:r>
        <w:t xml:space="preserve">Three services run today behind nginx, each with its own MySQL 8.4 database. There is nothing yet for vendors, orders or payments. </w:t>
      </w:r>
      <w:r>
        <w:rPr>
          <w:rStyle w:val="CodeChar"/>
        </w:rPr>
        <w:t xml:space="preserve">develop</w:t>
      </w:r>
      <w:r>
        <w:t xml:space="preserve"> is at </w:t>
      </w:r>
      <w:r>
        <w:rPr>
          <w:rStyle w:val="CodeChar"/>
        </w:rPr>
        <w:t xml:space="preserve">618d17c</w:t>
      </w:r>
      <w:r>
        <w:t xml:space="preserve"> (5 weeks old). The product API lives on two unmerged branches.</w:t>
      </w:r>
    </w:p>
    <w:tbl>
      <w:tblPr>
        <w:tblStyle w:val="TableGrid"/>
        <w:tblW w:w="0" w:type="auto"/>
        <w:tblLayout w:type="fixed"/>
        <w:tblLook w:val="04A0" w:firstRow="1" w:lastRow="0" w:firstColumn="0" w:lastColumn="0" w:noHBand="0" w:noVBand="1"/>
      </w:tblPr>
      <w:tblGrid>
        <w:gridCol w:w="2714"/>
        <w:gridCol w:w="1707"/>
        <w:gridCol w:w="4937"/>
      </w:tblGrid>
      <w:tr>
        <w:trPr>
          <w:tblHeader/>
        </w:trPr>
        <w:tc>
          <w:tcPr>
            <w:tcW w:w="2714" w:type="dxa"/>
            <w:shd w:val="clear" w:color="auto" w:fill="F2F2F2"/>
          </w:tcPr>
          <w:p>
            <w:pPr/>
            <w:r>
              <w:t xml:space="preserve">Component</w:t>
            </w:r>
          </w:p>
        </w:tc>
        <w:tc>
          <w:tcPr>
            <w:tcW w:w="1707" w:type="dxa"/>
            <w:shd w:val="clear" w:color="auto" w:fill="F2F2F2"/>
          </w:tcPr>
          <w:p>
            <w:pPr/>
            <w:r>
              <w:t xml:space="preserve">State</w:t>
            </w:r>
          </w:p>
        </w:tc>
        <w:tc>
          <w:tcPr>
            <w:tcW w:w="4937" w:type="dxa"/>
            <w:shd w:val="clear" w:color="auto" w:fill="F2F2F2"/>
          </w:tcPr>
          <w:p>
            <w:pPr/>
            <w:r>
              <w:t xml:space="preserve">Notes</w:t>
            </w:r>
          </w:p>
        </w:tc>
      </w:tr>
      <w:tr>
        <w:tc>
          <w:tcPr>
            <w:tcW w:w="2714" w:type="dxa"/>
          </w:tcPr>
          <w:p>
            <w:pPr/>
            <w:r>
              <w:rPr>
                <w:rStyle w:val="CodeChar"/>
              </w:rPr>
              <w:t xml:space="preserve">auth-service</w:t>
            </w:r>
          </w:p>
        </w:tc>
        <w:tc>
          <w:tcPr>
            <w:tcW w:w="1707" w:type="dxa"/>
          </w:tcPr>
          <w:p>
            <w:pPr/>
            <w:r>
              <w:t xml:space="preserve">Working</w:t>
            </w:r>
          </w:p>
        </w:tc>
        <w:tc>
          <w:tcPr>
            <w:tcW w:w="4937" w:type="dxa"/>
          </w:tcPr>
          <w:p>
            <w:pPr/>
            <w:r>
              <w:t xml:space="preserve">Register, login, logout, </w:t>
            </w:r>
            <w:r>
              <w:rPr>
                <w:rStyle w:val="CodeChar"/>
              </w:rPr>
              <w:t xml:space="preserve">/auth/user</w:t>
            </w:r>
            <w:r>
              <w:t xml:space="preserve"> on Sanctum tokens. </w:t>
            </w:r>
            <w:r>
              <w:rPr>
                <w:rStyle w:val="CodeChar"/>
              </w:rPr>
              <w:t xml:space="preserve">/internal/auth/validate</w:t>
            </w:r>
            <w:r>
              <w:t xml:space="preserve"> is guarded by an </w:t>
            </w:r>
            <w:r>
              <w:rPr>
                <w:rStyle w:val="CodeChar"/>
              </w:rPr>
              <w:t xml:space="preserve">X-Service-Key</w:t>
            </w:r>
            <w:r>
              <w:t xml:space="preserve"> shared secret. No roles, email verification or password reset.</w:t>
            </w:r>
          </w:p>
        </w:tc>
      </w:tr>
      <w:tr>
        <w:tc>
          <w:tcPr>
            <w:tcW w:w="2714" w:type="dxa"/>
          </w:tcPr>
          <w:p>
            <w:pPr/>
            <w:r>
              <w:rPr>
                <w:rStyle w:val="CodeChar"/>
              </w:rPr>
              <w:t xml:space="preserve">user-service</w:t>
            </w:r>
          </w:p>
        </w:tc>
        <w:tc>
          <w:tcPr>
            <w:tcW w:w="1707" w:type="dxa"/>
          </w:tcPr>
          <w:p>
            <w:pPr/>
            <w:r>
              <w:t xml:space="preserve">Working</w:t>
            </w:r>
          </w:p>
        </w:tc>
        <w:tc>
          <w:tcPr>
            <w:tcW w:w="4937" w:type="dxa"/>
          </w:tcPr>
          <w:p>
            <w:pPr/>
            <w:r>
              <w:rPr>
                <w:rStyle w:val="CodeChar"/>
              </w:rPr>
              <w:t xml:space="preserve">/users/me</w:t>
            </w:r>
            <w:r>
              <w:t xml:space="preserve"> returns phone, avatar and bio. Calls auth-service on every request to validate the token.</w:t>
            </w:r>
          </w:p>
        </w:tc>
      </w:tr>
      <w:tr>
        <w:tc>
          <w:tcPr>
            <w:tcW w:w="2714" w:type="dxa"/>
          </w:tcPr>
          <w:p>
            <w:pPr/>
            <w:r>
              <w:rPr>
                <w:rStyle w:val="CodeChar"/>
              </w:rPr>
              <w:t xml:space="preserve">product-service</w:t>
            </w:r>
          </w:p>
        </w:tc>
        <w:tc>
          <w:tcPr>
            <w:tcW w:w="1707" w:type="dxa"/>
          </w:tcPr>
          <w:p>
            <w:pPr/>
            <w:r>
              <w:t xml:space="preserve">Branches only</w:t>
            </w:r>
          </w:p>
        </w:tc>
        <w:tc>
          <w:tcPr>
            <w:tcW w:w="4937" w:type="dxa"/>
          </w:tcPr>
          <w:p>
            <w:pPr/>
            <w:r>
              <w:rPr>
                <w:rStyle w:val="CodeChar"/>
              </w:rPr>
              <w:t xml:space="preserve">feature/product-service-api</w:t>
            </w:r>
            <w:r>
              <w:t xml:space="preserve"> (b23ea35): public list and search, soft deletes, slug, </w:t>
            </w:r>
            <w:r>
              <w:rPr>
                <w:rStyle w:val="CodeChar"/>
              </w:rPr>
              <w:t xml:space="preserve">currency</w:t>
            </w:r>
            <w:r>
              <w:t xml:space="preserve"> defaulting to NGN, rate limits on auth. </w:t>
            </w:r>
            <w:r>
              <w:rPr>
                <w:rStyle w:val="CodeChar"/>
              </w:rPr>
              <w:t xml:space="preserve">feat/product-service-wiring</w:t>
            </w:r>
            <w:r>
              <w:t xml:space="preserve"> (c05860a): simpler CRUD with no currency. The two overlap and conflict, so one must be chosen.</w:t>
            </w:r>
          </w:p>
        </w:tc>
      </w:tr>
      <w:tr>
        <w:tc>
          <w:tcPr>
            <w:tcW w:w="2714" w:type="dxa"/>
          </w:tcPr>
          <w:p>
            <w:pPr/>
            <w:r>
              <w:rPr>
                <w:rStyle w:val="CodeChar"/>
              </w:rPr>
              <w:t xml:space="preserve">convie</w:t>
            </w:r>
            <w:r>
              <w:t xml:space="preserve"> (monolith shell)</w:t>
            </w:r>
          </w:p>
        </w:tc>
        <w:tc>
          <w:tcPr>
            <w:tcW w:w="1707" w:type="dxa"/>
          </w:tcPr>
          <w:p>
            <w:pPr/>
            <w:r>
              <w:t xml:space="preserve">Scaffold</w:t>
            </w:r>
          </w:p>
        </w:tc>
        <w:tc>
          <w:tcPr>
            <w:tcW w:w="4937" w:type="dxa"/>
          </w:tcPr>
          <w:p>
            <w:pPr/>
            <w:r>
              <w:t xml:space="preserve">Default Laravel app served on </w:t>
            </w:r>
            <w:r>
              <w:rPr>
                <w:rStyle w:val="CodeChar"/>
              </w:rPr>
              <w:t xml:space="preserve">/</w:t>
            </w:r>
            <w:r>
              <w:t xml:space="preserve">. Its role is undefined: front end, BFF or retired.</w:t>
            </w:r>
          </w:p>
        </w:tc>
      </w:tr>
      <w:tr>
        <w:tc>
          <w:tcPr>
            <w:tcW w:w="2714" w:type="dxa"/>
          </w:tcPr>
          <w:p>
            <w:pPr/>
            <w:r>
              <w:t xml:space="preserve">Gateway</w:t>
            </w:r>
          </w:p>
        </w:tc>
        <w:tc>
          <w:tcPr>
            <w:tcW w:w="1707" w:type="dxa"/>
          </w:tcPr>
          <w:p>
            <w:pPr/>
            <w:r>
              <w:t xml:space="preserve">nginx</w:t>
            </w:r>
          </w:p>
        </w:tc>
        <w:tc>
          <w:tcPr>
            <w:tcW w:w="4937" w:type="dxa"/>
          </w:tcPr>
          <w:p>
            <w:pPr/>
            <w:r>
              <w:t xml:space="preserve">Path routing to php-fpm per service. No rate limiting, TLS or request IDs.</w:t>
            </w:r>
          </w:p>
        </w:tc>
      </w:tr>
      <w:tr>
        <w:tc>
          <w:tcPr>
            <w:tcW w:w="2714" w:type="dxa"/>
          </w:tcPr>
          <w:p>
            <w:pPr/>
            <w:r>
              <w:t xml:space="preserve">Async messaging</w:t>
            </w:r>
          </w:p>
        </w:tc>
        <w:tc>
          <w:tcPr>
            <w:tcW w:w="1707" w:type="dxa"/>
          </w:tcPr>
          <w:p>
            <w:pPr/>
            <w:r>
              <w:t xml:space="preserve">None</w:t>
            </w:r>
          </w:p>
        </w:tc>
        <w:tc>
          <w:tcPr>
            <w:tcW w:w="4937" w:type="dxa"/>
          </w:tcPr>
          <w:p>
            <w:pPr/>
            <w:r>
              <w:t xml:space="preserve">Redis runs but is unused. No events between services.</w:t>
            </w:r>
          </w:p>
        </w:tc>
      </w:tr>
      <w:tr>
        <w:tc>
          <w:tcPr>
            <w:tcW w:w="2714" w:type="dxa"/>
          </w:tcPr>
          <w:p>
            <w:pPr/>
            <w:r>
              <w:t xml:space="preserve">CI and tests</w:t>
            </w:r>
          </w:p>
        </w:tc>
        <w:tc>
          <w:tcPr>
            <w:tcW w:w="1707" w:type="dxa"/>
          </w:tcPr>
          <w:p>
            <w:pPr/>
            <w:r>
              <w:t xml:space="preserve">Minimal</w:t>
            </w:r>
          </w:p>
        </w:tc>
        <w:tc>
          <w:tcPr>
            <w:tcW w:w="4937" w:type="dxa"/>
          </w:tcPr>
          <w:p>
            <w:pPr/>
            <w:r>
              <w:t xml:space="preserve">Feature tests exist on the product branches only.</w:t>
            </w:r>
          </w:p>
        </w:tc>
      </w:tr>
    </w:tbl>
    <w:p>
      <w:pPr/>
      <w:r>
        <w:rPr>
          <w:b/>
        </w:rPr>
        <w:t xml:space="preserve">Gaps that block the marketplace:</w:t>
      </w:r>
      <w:r>
        <w:t xml:space="preserve"> no roles (buyer, vendor, admin), no vendor entity, product prices with no multi-currency model, no events bus, and token validation as a synchronous call on every request.</w:t>
      </w:r>
    </w:p>
    <w:p>
      <w:pPr>
        <w:pStyle w:val="Heading2"/>
      </w:pPr>
      <w:r>
        <w:t xml:space="preserve">Functional requirements</w:t>
      </w:r>
    </w:p>
    <w:p>
      <w:pPr/>
      <w:r>
        <w:t xml:space="preserve">P0 is required for launch, P1 is required within 90 days of launch, and P2 is planned later.</w:t>
      </w:r>
    </w:p>
    <w:tbl>
      <w:tblPr>
        <w:tblStyle w:val="TableGrid"/>
        <w:tblW w:w="0" w:type="auto"/>
        <w:tblLayout w:type="fixed"/>
        <w:tblLook w:val="04A0" w:firstRow="1" w:lastRow="0" w:firstColumn="0" w:lastColumn="0" w:noHBand="0" w:noVBand="1"/>
      </w:tblPr>
      <w:tblGrid>
        <w:gridCol w:w="868"/>
        <w:gridCol w:w="1582"/>
        <w:gridCol w:w="4459"/>
        <w:gridCol w:w="1424"/>
        <w:gridCol w:w="1027"/>
      </w:tblGrid>
      <w:tr>
        <w:trPr>
          <w:tblHeader/>
        </w:trPr>
        <w:tc>
          <w:tcPr>
            <w:tcW w:w="868" w:type="dxa"/>
            <w:shd w:val="clear" w:color="auto" w:fill="F2F2F2"/>
          </w:tcPr>
          <w:p>
            <w:pPr/>
            <w:r>
              <w:t xml:space="preserve">ID</w:t>
            </w:r>
          </w:p>
        </w:tc>
        <w:tc>
          <w:tcPr>
            <w:tcW w:w="1582" w:type="dxa"/>
            <w:shd w:val="clear" w:color="auto" w:fill="F2F2F2"/>
          </w:tcPr>
          <w:p>
            <w:pPr/>
            <w:r>
              <w:t xml:space="preserve">Area</w:t>
            </w:r>
          </w:p>
        </w:tc>
        <w:tc>
          <w:tcPr>
            <w:tcW w:w="4459" w:type="dxa"/>
            <w:shd w:val="clear" w:color="auto" w:fill="F2F2F2"/>
          </w:tcPr>
          <w:p>
            <w:pPr/>
            <w:r>
              <w:t xml:space="preserve">Requirement</w:t>
            </w:r>
          </w:p>
        </w:tc>
        <w:tc>
          <w:tcPr>
            <w:tcW w:w="1424" w:type="dxa"/>
            <w:shd w:val="clear" w:color="auto" w:fill="F2F2F2"/>
          </w:tcPr>
          <w:p>
            <w:pPr/>
            <w:r>
              <w:t xml:space="preserve">Owner service</w:t>
            </w:r>
          </w:p>
        </w:tc>
        <w:tc>
          <w:tcPr>
            <w:tcW w:w="1027" w:type="dxa"/>
            <w:shd w:val="clear" w:color="auto" w:fill="F2F2F2"/>
          </w:tcPr>
          <w:p>
            <w:pPr/>
            <w:r>
              <w:t xml:space="preserve">Priority</w:t>
            </w:r>
          </w:p>
        </w:tc>
      </w:tr>
      <w:tr>
        <w:tc>
          <w:tcPr>
            <w:tcW w:w="868" w:type="dxa"/>
          </w:tcPr>
          <w:p>
            <w:pPr/>
            <w:r>
              <w:t xml:space="preserve">FR-01</w:t>
            </w:r>
          </w:p>
        </w:tc>
        <w:tc>
          <w:tcPr>
            <w:tcW w:w="1582" w:type="dxa"/>
          </w:tcPr>
          <w:p>
            <w:pPr/>
            <w:r>
              <w:t xml:space="preserve">Identity</w:t>
            </w:r>
          </w:p>
        </w:tc>
        <w:tc>
          <w:tcPr>
            <w:tcW w:w="4459" w:type="dxa"/>
          </w:tcPr>
          <w:p>
            <w:pPr/>
            <w:r>
              <w:t xml:space="preserve">Roles: buyer, vendor_owner, vendor_staff, admin, finance. Roles are carried in token claims.</w:t>
            </w:r>
          </w:p>
        </w:tc>
        <w:tc>
          <w:tcPr>
            <w:tcW w:w="1424" w:type="dxa"/>
          </w:tcPr>
          <w:p>
            <w:pPr/>
            <w:r>
              <w:t xml:space="preserve">auth</w:t>
            </w:r>
          </w:p>
        </w:tc>
        <w:tc>
          <w:tcPr>
            <w:tcW w:w="1027" w:type="dxa"/>
          </w:tcPr>
          <w:p>
            <w:pPr/>
            <w:r>
              <w:t xml:space="preserve">P0</w:t>
            </w:r>
          </w:p>
        </w:tc>
      </w:tr>
      <w:tr>
        <w:tc>
          <w:tcPr>
            <w:tcW w:w="868" w:type="dxa"/>
          </w:tcPr>
          <w:p>
            <w:pPr/>
            <w:r>
              <w:t xml:space="preserve">FR-02</w:t>
            </w:r>
          </w:p>
        </w:tc>
        <w:tc>
          <w:tcPr>
            <w:tcW w:w="1582" w:type="dxa"/>
          </w:tcPr>
          <w:p>
            <w:pPr/>
            <w:r>
              <w:t xml:space="preserve">Identity</w:t>
            </w:r>
          </w:p>
        </w:tc>
        <w:tc>
          <w:tcPr>
            <w:tcW w:w="4459" w:type="dxa"/>
          </w:tcPr>
          <w:p>
            <w:pPr/>
            <w:r>
              <w:t xml:space="preserve">Email and phone verification, password reset, optional TOTP 2FA (required for vendors and admins)</w:t>
            </w:r>
          </w:p>
        </w:tc>
        <w:tc>
          <w:tcPr>
            <w:tcW w:w="1424" w:type="dxa"/>
          </w:tcPr>
          <w:p>
            <w:pPr/>
            <w:r>
              <w:t xml:space="preserve">auth</w:t>
            </w:r>
          </w:p>
        </w:tc>
        <w:tc>
          <w:tcPr>
            <w:tcW w:w="1027" w:type="dxa"/>
          </w:tcPr>
          <w:p>
            <w:pPr/>
            <w:r>
              <w:t xml:space="preserve">P0</w:t>
            </w:r>
          </w:p>
        </w:tc>
      </w:tr>
      <w:tr>
        <w:tc>
          <w:tcPr>
            <w:tcW w:w="868" w:type="dxa"/>
          </w:tcPr>
          <w:p>
            <w:pPr/>
            <w:r>
              <w:t xml:space="preserve">FR-03</w:t>
            </w:r>
          </w:p>
        </w:tc>
        <w:tc>
          <w:tcPr>
            <w:tcW w:w="1582" w:type="dxa"/>
          </w:tcPr>
          <w:p>
            <w:pPr/>
            <w:r>
              <w:t xml:space="preserve">Vendor</w:t>
            </w:r>
          </w:p>
        </w:tc>
        <w:tc>
          <w:tcPr>
            <w:tcW w:w="4459" w:type="dxa"/>
          </w:tcPr>
          <w:p>
            <w:pPr/>
            <w:r>
              <w:t xml:space="preserve">Vendor application with business details, country, settlement currency and bank or mobile-money account</w:t>
            </w:r>
          </w:p>
        </w:tc>
        <w:tc>
          <w:tcPr>
            <w:tcW w:w="1424" w:type="dxa"/>
          </w:tcPr>
          <w:p>
            <w:pPr/>
            <w:r>
              <w:t xml:space="preserve">vendor (new)</w:t>
            </w:r>
          </w:p>
        </w:tc>
        <w:tc>
          <w:tcPr>
            <w:tcW w:w="1027" w:type="dxa"/>
          </w:tcPr>
          <w:p>
            <w:pPr/>
            <w:r>
              <w:t xml:space="preserve">P0</w:t>
            </w:r>
          </w:p>
        </w:tc>
      </w:tr>
      <w:tr>
        <w:tc>
          <w:tcPr>
            <w:tcW w:w="868" w:type="dxa"/>
          </w:tcPr>
          <w:p>
            <w:pPr/>
            <w:r>
              <w:t xml:space="preserve">FR-04</w:t>
            </w:r>
          </w:p>
        </w:tc>
        <w:tc>
          <w:tcPr>
            <w:tcW w:w="1582" w:type="dxa"/>
          </w:tcPr>
          <w:p>
            <w:pPr/>
            <w:r>
              <w:t xml:space="preserve">Vendor</w:t>
            </w:r>
          </w:p>
        </w:tc>
        <w:tc>
          <w:tcPr>
            <w:tcW w:w="4459" w:type="dxa"/>
          </w:tcPr>
          <w:p>
            <w:pPr/>
            <w:r>
              <w:t xml:space="preserve">KYC/KYB using BVN or NIN (NG), Ghana Card (GH) or KRA PIN (KE), with an approve or reject workflow</w:t>
            </w:r>
          </w:p>
        </w:tc>
        <w:tc>
          <w:tcPr>
            <w:tcW w:w="1424" w:type="dxa"/>
          </w:tcPr>
          <w:p>
            <w:pPr/>
            <w:r>
              <w:t xml:space="preserve">vendor</w:t>
            </w:r>
          </w:p>
        </w:tc>
        <w:tc>
          <w:tcPr>
            <w:tcW w:w="1027" w:type="dxa"/>
          </w:tcPr>
          <w:p>
            <w:pPr/>
            <w:r>
              <w:t xml:space="preserve">P0</w:t>
            </w:r>
          </w:p>
        </w:tc>
      </w:tr>
      <w:tr>
        <w:tc>
          <w:tcPr>
            <w:tcW w:w="868" w:type="dxa"/>
          </w:tcPr>
          <w:p>
            <w:pPr/>
            <w:r>
              <w:t xml:space="preserve">FR-05</w:t>
            </w:r>
          </w:p>
        </w:tc>
        <w:tc>
          <w:tcPr>
            <w:tcW w:w="1582" w:type="dxa"/>
          </w:tcPr>
          <w:p>
            <w:pPr/>
            <w:r>
              <w:t xml:space="preserve">Vendor</w:t>
            </w:r>
          </w:p>
        </w:tc>
        <w:tc>
          <w:tcPr>
            <w:tcW w:w="4459" w:type="dxa"/>
          </w:tcPr>
          <w:p>
            <w:pPr/>
            <w:r>
              <w:t xml:space="preserve">Gateway subaccount created per vendor (Paystack or Flutterwave) or connected account (Stripe Connect)</w:t>
            </w:r>
          </w:p>
        </w:tc>
        <w:tc>
          <w:tcPr>
            <w:tcW w:w="1424" w:type="dxa"/>
          </w:tcPr>
          <w:p>
            <w:pPr/>
            <w:r>
              <w:t xml:space="preserve">payment (new)</w:t>
            </w:r>
          </w:p>
        </w:tc>
        <w:tc>
          <w:tcPr>
            <w:tcW w:w="1027" w:type="dxa"/>
          </w:tcPr>
          <w:p>
            <w:pPr/>
            <w:r>
              <w:t xml:space="preserve">P0</w:t>
            </w:r>
          </w:p>
        </w:tc>
      </w:tr>
      <w:tr>
        <w:tc>
          <w:tcPr>
            <w:tcW w:w="868" w:type="dxa"/>
          </w:tcPr>
          <w:p>
            <w:pPr/>
            <w:r>
              <w:t xml:space="preserve">FR-06</w:t>
            </w:r>
          </w:p>
        </w:tc>
        <w:tc>
          <w:tcPr>
            <w:tcW w:w="1582" w:type="dxa"/>
          </w:tcPr>
          <w:p>
            <w:pPr/>
            <w:r>
              <w:t xml:space="preserve">Catalogue</w:t>
            </w:r>
          </w:p>
        </w:tc>
        <w:tc>
          <w:tcPr>
            <w:tcW w:w="4459" w:type="dxa"/>
          </w:tcPr>
          <w:p>
            <w:pPr/>
            <w:r>
              <w:t xml:space="preserve">Products belong to a vendor and have variants (size, colour), SKU, stock, images and a category</w:t>
            </w:r>
          </w:p>
        </w:tc>
        <w:tc>
          <w:tcPr>
            <w:tcW w:w="1424" w:type="dxa"/>
          </w:tcPr>
          <w:p>
            <w:pPr/>
            <w:r>
              <w:t xml:space="preserve">product</w:t>
            </w:r>
          </w:p>
        </w:tc>
        <w:tc>
          <w:tcPr>
            <w:tcW w:w="1027" w:type="dxa"/>
          </w:tcPr>
          <w:p>
            <w:pPr/>
            <w:r>
              <w:t xml:space="preserve">P0</w:t>
            </w:r>
          </w:p>
        </w:tc>
      </w:tr>
      <w:tr>
        <w:tc>
          <w:tcPr>
            <w:tcW w:w="868" w:type="dxa"/>
          </w:tcPr>
          <w:p>
            <w:pPr/>
            <w:r>
              <w:t xml:space="preserve">FR-07</w:t>
            </w:r>
          </w:p>
        </w:tc>
        <w:tc>
          <w:tcPr>
            <w:tcW w:w="1582" w:type="dxa"/>
          </w:tcPr>
          <w:p>
            <w:pPr/>
            <w:r>
              <w:t xml:space="preserve">Catalogue</w:t>
            </w:r>
          </w:p>
        </w:tc>
        <w:tc>
          <w:tcPr>
            <w:tcW w:w="4459" w:type="dxa"/>
          </w:tcPr>
          <w:p>
            <w:pPr/>
            <w:r>
              <w:t xml:space="preserve">Base price in the vendor's currency, with display price converted at a quoted FX rate</w:t>
            </w:r>
          </w:p>
        </w:tc>
        <w:tc>
          <w:tcPr>
            <w:tcW w:w="1424" w:type="dxa"/>
          </w:tcPr>
          <w:p>
            <w:pPr/>
            <w:r>
              <w:t xml:space="preserve">product + pricing</w:t>
            </w:r>
          </w:p>
        </w:tc>
        <w:tc>
          <w:tcPr>
            <w:tcW w:w="1027" w:type="dxa"/>
          </w:tcPr>
          <w:p>
            <w:pPr/>
            <w:r>
              <w:t xml:space="preserve">P0</w:t>
            </w:r>
          </w:p>
        </w:tc>
      </w:tr>
      <w:tr>
        <w:tc>
          <w:tcPr>
            <w:tcW w:w="868" w:type="dxa"/>
          </w:tcPr>
          <w:p>
            <w:pPr/>
            <w:r>
              <w:t xml:space="preserve">FR-08</w:t>
            </w:r>
          </w:p>
        </w:tc>
        <w:tc>
          <w:tcPr>
            <w:tcW w:w="1582" w:type="dxa"/>
          </w:tcPr>
          <w:p>
            <w:pPr/>
            <w:r>
              <w:t xml:space="preserve">Catalogue</w:t>
            </w:r>
          </w:p>
        </w:tc>
        <w:tc>
          <w:tcPr>
            <w:tcW w:w="4459" w:type="dxa"/>
          </w:tcPr>
          <w:p>
            <w:pPr/>
            <w:r>
              <w:t xml:space="preserve">Search, filter (price, category, vendor, ships-to country) and sort</w:t>
            </w:r>
          </w:p>
        </w:tc>
        <w:tc>
          <w:tcPr>
            <w:tcW w:w="1424" w:type="dxa"/>
          </w:tcPr>
          <w:p>
            <w:pPr/>
            <w:r>
              <w:t xml:space="preserve">product</w:t>
            </w:r>
          </w:p>
        </w:tc>
        <w:tc>
          <w:tcPr>
            <w:tcW w:w="1027" w:type="dxa"/>
          </w:tcPr>
          <w:p>
            <w:pPr/>
            <w:r>
              <w:t xml:space="preserve">P0</w:t>
            </w:r>
          </w:p>
        </w:tc>
      </w:tr>
      <w:tr>
        <w:tc>
          <w:tcPr>
            <w:tcW w:w="868" w:type="dxa"/>
          </w:tcPr>
          <w:p>
            <w:pPr/>
            <w:r>
              <w:t xml:space="preserve">FR-09</w:t>
            </w:r>
          </w:p>
        </w:tc>
        <w:tc>
          <w:tcPr>
            <w:tcW w:w="1582" w:type="dxa"/>
          </w:tcPr>
          <w:p>
            <w:pPr/>
            <w:r>
              <w:t xml:space="preserve">Catalogue</w:t>
            </w:r>
          </w:p>
        </w:tc>
        <w:tc>
          <w:tcPr>
            <w:tcW w:w="4459" w:type="dxa"/>
          </w:tcPr>
          <w:p>
            <w:pPr/>
            <w:r>
              <w:t xml:space="preserve">Listings need admin approval for the first 10 products of a new vendor</w:t>
            </w:r>
          </w:p>
        </w:tc>
        <w:tc>
          <w:tcPr>
            <w:tcW w:w="1424" w:type="dxa"/>
          </w:tcPr>
          <w:p>
            <w:pPr/>
            <w:r>
              <w:t xml:space="preserve">product</w:t>
            </w:r>
          </w:p>
        </w:tc>
        <w:tc>
          <w:tcPr>
            <w:tcW w:w="1027" w:type="dxa"/>
          </w:tcPr>
          <w:p>
            <w:pPr/>
            <w:r>
              <w:t xml:space="preserve">P1</w:t>
            </w:r>
          </w:p>
        </w:tc>
      </w:tr>
      <w:tr>
        <w:tc>
          <w:tcPr>
            <w:tcW w:w="868" w:type="dxa"/>
          </w:tcPr>
          <w:p>
            <w:pPr/>
            <w:r>
              <w:t xml:space="preserve">FR-10</w:t>
            </w:r>
          </w:p>
        </w:tc>
        <w:tc>
          <w:tcPr>
            <w:tcW w:w="1582" w:type="dxa"/>
          </w:tcPr>
          <w:p>
            <w:pPr/>
            <w:r>
              <w:t xml:space="preserve">Cart</w:t>
            </w:r>
          </w:p>
        </w:tc>
        <w:tc>
          <w:tcPr>
            <w:tcW w:w="4459" w:type="dxa"/>
          </w:tcPr>
          <w:p>
            <w:pPr/>
            <w:r>
              <w:t xml:space="preserve">Persistent cart across sessions, grouped by vendor, with stock checked at add and at checkout</w:t>
            </w:r>
          </w:p>
        </w:tc>
        <w:tc>
          <w:tcPr>
            <w:tcW w:w="1424" w:type="dxa"/>
          </w:tcPr>
          <w:p>
            <w:pPr/>
            <w:r>
              <w:t xml:space="preserve">cart (new)</w:t>
            </w:r>
          </w:p>
        </w:tc>
        <w:tc>
          <w:tcPr>
            <w:tcW w:w="1027" w:type="dxa"/>
          </w:tcPr>
          <w:p>
            <w:pPr/>
            <w:r>
              <w:t xml:space="preserve">P0</w:t>
            </w:r>
          </w:p>
        </w:tc>
      </w:tr>
      <w:tr>
        <w:tc>
          <w:tcPr>
            <w:tcW w:w="868" w:type="dxa"/>
          </w:tcPr>
          <w:p>
            <w:pPr/>
            <w:r>
              <w:t xml:space="preserve">FR-11</w:t>
            </w:r>
          </w:p>
        </w:tc>
        <w:tc>
          <w:tcPr>
            <w:tcW w:w="1582" w:type="dxa"/>
          </w:tcPr>
          <w:p>
            <w:pPr/>
            <w:r>
              <w:t xml:space="preserve">Checkout</w:t>
            </w:r>
          </w:p>
        </w:tc>
        <w:tc>
          <w:tcPr>
            <w:tcW w:w="4459" w:type="dxa"/>
          </w:tcPr>
          <w:p>
            <w:pPr/>
            <w:r>
              <w:t xml:space="preserve">One payment for a multi-vendor cart, with shipping fee per vendor and tax per destination</w:t>
            </w:r>
          </w:p>
        </w:tc>
        <w:tc>
          <w:tcPr>
            <w:tcW w:w="1424" w:type="dxa"/>
          </w:tcPr>
          <w:p>
            <w:pPr/>
            <w:r>
              <w:t xml:space="preserve">order (new)</w:t>
            </w:r>
          </w:p>
        </w:tc>
        <w:tc>
          <w:tcPr>
            <w:tcW w:w="1027" w:type="dxa"/>
          </w:tcPr>
          <w:p>
            <w:pPr/>
            <w:r>
              <w:t xml:space="preserve">P0</w:t>
            </w:r>
          </w:p>
        </w:tc>
      </w:tr>
      <w:tr>
        <w:tc>
          <w:tcPr>
            <w:tcW w:w="868" w:type="dxa"/>
          </w:tcPr>
          <w:p>
            <w:pPr/>
            <w:r>
              <w:t xml:space="preserve">FR-12</w:t>
            </w:r>
          </w:p>
        </w:tc>
        <w:tc>
          <w:tcPr>
            <w:tcW w:w="1582" w:type="dxa"/>
          </w:tcPr>
          <w:p>
            <w:pPr/>
            <w:r>
              <w:t xml:space="preserve">Checkout</w:t>
            </w:r>
          </w:p>
        </w:tc>
        <w:tc>
          <w:tcPr>
            <w:tcW w:w="4459" w:type="dxa"/>
          </w:tcPr>
          <w:p>
            <w:pPr/>
            <w:r>
              <w:t xml:space="preserve">Price and FX rate locked for 15 minutes once checkout starts</w:t>
            </w:r>
          </w:p>
        </w:tc>
        <w:tc>
          <w:tcPr>
            <w:tcW w:w="1424" w:type="dxa"/>
          </w:tcPr>
          <w:p>
            <w:pPr/>
            <w:r>
              <w:t xml:space="preserve">pricing</w:t>
            </w:r>
          </w:p>
        </w:tc>
        <w:tc>
          <w:tcPr>
            <w:tcW w:w="1027" w:type="dxa"/>
          </w:tcPr>
          <w:p>
            <w:pPr/>
            <w:r>
              <w:t xml:space="preserve">P0</w:t>
            </w:r>
          </w:p>
        </w:tc>
      </w:tr>
      <w:tr>
        <w:tc>
          <w:tcPr>
            <w:tcW w:w="868" w:type="dxa"/>
          </w:tcPr>
          <w:p>
            <w:pPr/>
            <w:r>
              <w:t xml:space="preserve">FR-13</w:t>
            </w:r>
          </w:p>
        </w:tc>
        <w:tc>
          <w:tcPr>
            <w:tcW w:w="1582" w:type="dxa"/>
          </w:tcPr>
          <w:p>
            <w:pPr/>
            <w:r>
              <w:t xml:space="preserve">Orders</w:t>
            </w:r>
          </w:p>
        </w:tc>
        <w:tc>
          <w:tcPr>
            <w:tcW w:w="4459" w:type="dxa"/>
          </w:tcPr>
          <w:p>
            <w:pPr/>
            <w:r>
              <w:t xml:space="preserve">One parent order splits into vendor sub-orders, each with its own status lifecycle</w:t>
            </w:r>
          </w:p>
        </w:tc>
        <w:tc>
          <w:tcPr>
            <w:tcW w:w="1424" w:type="dxa"/>
          </w:tcPr>
          <w:p>
            <w:pPr/>
            <w:r>
              <w:t xml:space="preserve">order</w:t>
            </w:r>
          </w:p>
        </w:tc>
        <w:tc>
          <w:tcPr>
            <w:tcW w:w="1027" w:type="dxa"/>
          </w:tcPr>
          <w:p>
            <w:pPr/>
            <w:r>
              <w:t xml:space="preserve">P0</w:t>
            </w:r>
          </w:p>
        </w:tc>
      </w:tr>
      <w:tr>
        <w:tc>
          <w:tcPr>
            <w:tcW w:w="868" w:type="dxa"/>
          </w:tcPr>
          <w:p>
            <w:pPr/>
            <w:r>
              <w:t xml:space="preserve">FR-14</w:t>
            </w:r>
          </w:p>
        </w:tc>
        <w:tc>
          <w:tcPr>
            <w:tcW w:w="1582" w:type="dxa"/>
          </w:tcPr>
          <w:p>
            <w:pPr/>
            <w:r>
              <w:t xml:space="preserve">Orders</w:t>
            </w:r>
          </w:p>
        </w:tc>
        <w:tc>
          <w:tcPr>
            <w:tcW w:w="4459" w:type="dxa"/>
          </w:tcPr>
          <w:p>
            <w:pPr/>
            <w:r>
              <w:t xml:space="preserve">Vendor marks shipped with tracking. Buyer confirms receipt, or receipt auto-confirms after N days.</w:t>
            </w:r>
          </w:p>
        </w:tc>
        <w:tc>
          <w:tcPr>
            <w:tcW w:w="1424" w:type="dxa"/>
          </w:tcPr>
          <w:p>
            <w:pPr/>
            <w:r>
              <w:t xml:space="preserve">order</w:t>
            </w:r>
          </w:p>
        </w:tc>
        <w:tc>
          <w:tcPr>
            <w:tcW w:w="1027" w:type="dxa"/>
          </w:tcPr>
          <w:p>
            <w:pPr/>
            <w:r>
              <w:t xml:space="preserve">P0</w:t>
            </w:r>
          </w:p>
        </w:tc>
      </w:tr>
      <w:tr>
        <w:tc>
          <w:tcPr>
            <w:tcW w:w="868" w:type="dxa"/>
          </w:tcPr>
          <w:p>
            <w:pPr/>
            <w:r>
              <w:t xml:space="preserve">FR-15</w:t>
            </w:r>
          </w:p>
        </w:tc>
        <w:tc>
          <w:tcPr>
            <w:tcW w:w="1582" w:type="dxa"/>
          </w:tcPr>
          <w:p>
            <w:pPr/>
            <w:r>
              <w:t xml:space="preserve">Payments</w:t>
            </w:r>
          </w:p>
        </w:tc>
        <w:tc>
          <w:tcPr>
            <w:tcW w:w="4459" w:type="dxa"/>
          </w:tcPr>
          <w:p>
            <w:pPr/>
            <w:r>
              <w:t xml:space="preserve">Gateway chosen by buyer country, currency and method (see next section)</w:t>
            </w:r>
          </w:p>
        </w:tc>
        <w:tc>
          <w:tcPr>
            <w:tcW w:w="1424" w:type="dxa"/>
          </w:tcPr>
          <w:p>
            <w:pPr/>
            <w:r>
              <w:t xml:space="preserve">payment</w:t>
            </w:r>
          </w:p>
        </w:tc>
        <w:tc>
          <w:tcPr>
            <w:tcW w:w="1027" w:type="dxa"/>
          </w:tcPr>
          <w:p>
            <w:pPr/>
            <w:r>
              <w:t xml:space="preserve">P0</w:t>
            </w:r>
          </w:p>
        </w:tc>
      </w:tr>
      <w:tr>
        <w:tc>
          <w:tcPr>
            <w:tcW w:w="868" w:type="dxa"/>
          </w:tcPr>
          <w:p>
            <w:pPr/>
            <w:r>
              <w:t xml:space="preserve">FR-16</w:t>
            </w:r>
          </w:p>
        </w:tc>
        <w:tc>
          <w:tcPr>
            <w:tcW w:w="1582" w:type="dxa"/>
          </w:tcPr>
          <w:p>
            <w:pPr/>
            <w:r>
              <w:t xml:space="preserve">Payments</w:t>
            </w:r>
          </w:p>
        </w:tc>
        <w:tc>
          <w:tcPr>
            <w:tcW w:w="4459" w:type="dxa"/>
          </w:tcPr>
          <w:p>
            <w:pPr/>
            <w:r>
              <w:t xml:space="preserve">Webhooks verified by signature and processed idempotently. Status is always re-queried from the gateway before an order is marked paid.</w:t>
            </w:r>
          </w:p>
        </w:tc>
        <w:tc>
          <w:tcPr>
            <w:tcW w:w="1424" w:type="dxa"/>
          </w:tcPr>
          <w:p>
            <w:pPr/>
            <w:r>
              <w:t xml:space="preserve">payment</w:t>
            </w:r>
          </w:p>
        </w:tc>
        <w:tc>
          <w:tcPr>
            <w:tcW w:w="1027" w:type="dxa"/>
          </w:tcPr>
          <w:p>
            <w:pPr/>
            <w:r>
              <w:t xml:space="preserve">P0</w:t>
            </w:r>
          </w:p>
        </w:tc>
      </w:tr>
      <w:tr>
        <w:tc>
          <w:tcPr>
            <w:tcW w:w="868" w:type="dxa"/>
          </w:tcPr>
          <w:p>
            <w:pPr/>
            <w:r>
              <w:t xml:space="preserve">FR-17</w:t>
            </w:r>
          </w:p>
        </w:tc>
        <w:tc>
          <w:tcPr>
            <w:tcW w:w="1582" w:type="dxa"/>
          </w:tcPr>
          <w:p>
            <w:pPr/>
            <w:r>
              <w:t xml:space="preserve">Payments</w:t>
            </w:r>
          </w:p>
        </w:tc>
        <w:tc>
          <w:tcPr>
            <w:tcW w:w="4459" w:type="dxa"/>
          </w:tcPr>
          <w:p>
            <w:pPr/>
            <w:r>
              <w:t xml:space="preserve">Full and partial refunds per vendor sub-order</w:t>
            </w:r>
          </w:p>
        </w:tc>
        <w:tc>
          <w:tcPr>
            <w:tcW w:w="1424" w:type="dxa"/>
          </w:tcPr>
          <w:p>
            <w:pPr/>
            <w:r>
              <w:t xml:space="preserve">payment</w:t>
            </w:r>
          </w:p>
        </w:tc>
        <w:tc>
          <w:tcPr>
            <w:tcW w:w="1027" w:type="dxa"/>
          </w:tcPr>
          <w:p>
            <w:pPr/>
            <w:r>
              <w:t xml:space="preserve">P0</w:t>
            </w:r>
          </w:p>
        </w:tc>
      </w:tr>
      <w:tr>
        <w:tc>
          <w:tcPr>
            <w:tcW w:w="868" w:type="dxa"/>
          </w:tcPr>
          <w:p>
            <w:pPr/>
            <w:r>
              <w:t xml:space="preserve">FR-18</w:t>
            </w:r>
          </w:p>
        </w:tc>
        <w:tc>
          <w:tcPr>
            <w:tcW w:w="1582" w:type="dxa"/>
          </w:tcPr>
          <w:p>
            <w:pPr/>
            <w:r>
              <w:t xml:space="preserve">Payouts</w:t>
            </w:r>
          </w:p>
        </w:tc>
        <w:tc>
          <w:tcPr>
            <w:tcW w:w="4459" w:type="dxa"/>
          </w:tcPr>
          <w:p>
            <w:pPr/>
            <w:r>
              <w:t xml:space="preserve">Vendor balance moves from pending to available after the hold period, then is paid out on a schedule (weekly by default)</w:t>
            </w:r>
          </w:p>
        </w:tc>
        <w:tc>
          <w:tcPr>
            <w:tcW w:w="1424" w:type="dxa"/>
          </w:tcPr>
          <w:p>
            <w:pPr/>
            <w:r>
              <w:t xml:space="preserve">payout (new)</w:t>
            </w:r>
          </w:p>
        </w:tc>
        <w:tc>
          <w:tcPr>
            <w:tcW w:w="1027" w:type="dxa"/>
          </w:tcPr>
          <w:p>
            <w:pPr/>
            <w:r>
              <w:t xml:space="preserve">P0</w:t>
            </w:r>
          </w:p>
        </w:tc>
      </w:tr>
      <w:tr>
        <w:tc>
          <w:tcPr>
            <w:tcW w:w="868" w:type="dxa"/>
          </w:tcPr>
          <w:p>
            <w:pPr/>
            <w:r>
              <w:t xml:space="preserve">FR-19</w:t>
            </w:r>
          </w:p>
        </w:tc>
        <w:tc>
          <w:tcPr>
            <w:tcW w:w="1582" w:type="dxa"/>
          </w:tcPr>
          <w:p>
            <w:pPr/>
            <w:r>
              <w:t xml:space="preserve">Ledger</w:t>
            </w:r>
          </w:p>
        </w:tc>
        <w:tc>
          <w:tcPr>
            <w:tcW w:w="4459" w:type="dxa"/>
          </w:tcPr>
          <w:p>
            <w:pPr/>
            <w:r>
              <w:t xml:space="preserve">Double-entry ledger records every capture, fee, commission, refund, payout and FX conversion</w:t>
            </w:r>
          </w:p>
        </w:tc>
        <w:tc>
          <w:tcPr>
            <w:tcW w:w="1424" w:type="dxa"/>
          </w:tcPr>
          <w:p>
            <w:pPr/>
            <w:r>
              <w:t xml:space="preserve">ledger (new)</w:t>
            </w:r>
          </w:p>
        </w:tc>
        <w:tc>
          <w:tcPr>
            <w:tcW w:w="1027" w:type="dxa"/>
          </w:tcPr>
          <w:p>
            <w:pPr/>
            <w:r>
              <w:t xml:space="preserve">P0</w:t>
            </w:r>
          </w:p>
        </w:tc>
      </w:tr>
      <w:tr>
        <w:tc>
          <w:tcPr>
            <w:tcW w:w="868" w:type="dxa"/>
          </w:tcPr>
          <w:p>
            <w:pPr/>
            <w:r>
              <w:t xml:space="preserve">FR-20</w:t>
            </w:r>
          </w:p>
        </w:tc>
        <w:tc>
          <w:tcPr>
            <w:tcW w:w="1582" w:type="dxa"/>
          </w:tcPr>
          <w:p>
            <w:pPr/>
            <w:r>
              <w:t xml:space="preserve">Ledger</w:t>
            </w:r>
          </w:p>
        </w:tc>
        <w:tc>
          <w:tcPr>
            <w:tcW w:w="4459" w:type="dxa"/>
          </w:tcPr>
          <w:p>
            <w:pPr/>
            <w:r>
              <w:t xml:space="preserve">Daily reconciliation against gateway settlement reports, with breaks flagged</w:t>
            </w:r>
          </w:p>
        </w:tc>
        <w:tc>
          <w:tcPr>
            <w:tcW w:w="1424" w:type="dxa"/>
          </w:tcPr>
          <w:p>
            <w:pPr/>
            <w:r>
              <w:t xml:space="preserve">ledger</w:t>
            </w:r>
          </w:p>
        </w:tc>
        <w:tc>
          <w:tcPr>
            <w:tcW w:w="1027" w:type="dxa"/>
          </w:tcPr>
          <w:p>
            <w:pPr/>
            <w:r>
              <w:t xml:space="preserve">P0</w:t>
            </w:r>
          </w:p>
        </w:tc>
      </w:tr>
      <w:tr>
        <w:tc>
          <w:tcPr>
            <w:tcW w:w="868" w:type="dxa"/>
          </w:tcPr>
          <w:p>
            <w:pPr/>
            <w:r>
              <w:t xml:space="preserve">FR-21</w:t>
            </w:r>
          </w:p>
        </w:tc>
        <w:tc>
          <w:tcPr>
            <w:tcW w:w="1582" w:type="dxa"/>
          </w:tcPr>
          <w:p>
            <w:pPr/>
            <w:r>
              <w:t xml:space="preserve">Disputes</w:t>
            </w:r>
          </w:p>
        </w:tc>
        <w:tc>
          <w:tcPr>
            <w:tcW w:w="4459" w:type="dxa"/>
          </w:tcPr>
          <w:p>
            <w:pPr/>
            <w:r>
              <w:t xml:space="preserve">Buyer opens a dispute, the vendor responds, an admin decides, and refund or release follows</w:t>
            </w:r>
          </w:p>
        </w:tc>
        <w:tc>
          <w:tcPr>
            <w:tcW w:w="1424" w:type="dxa"/>
          </w:tcPr>
          <w:p>
            <w:pPr/>
            <w:r>
              <w:t xml:space="preserve">order + admin</w:t>
            </w:r>
          </w:p>
        </w:tc>
        <w:tc>
          <w:tcPr>
            <w:tcW w:w="1027" w:type="dxa"/>
          </w:tcPr>
          <w:p>
            <w:pPr/>
            <w:r>
              <w:t xml:space="preserve">P1</w:t>
            </w:r>
          </w:p>
        </w:tc>
      </w:tr>
      <w:tr>
        <w:tc>
          <w:tcPr>
            <w:tcW w:w="868" w:type="dxa"/>
          </w:tcPr>
          <w:p>
            <w:pPr/>
            <w:r>
              <w:t xml:space="preserve">FR-22</w:t>
            </w:r>
          </w:p>
        </w:tc>
        <w:tc>
          <w:tcPr>
            <w:tcW w:w="1582" w:type="dxa"/>
          </w:tcPr>
          <w:p>
            <w:pPr/>
            <w:r>
              <w:t xml:space="preserve">Notifications</w:t>
            </w:r>
          </w:p>
        </w:tc>
        <w:tc>
          <w:tcPr>
            <w:tcW w:w="4459" w:type="dxa"/>
          </w:tcPr>
          <w:p>
            <w:pPr/>
            <w:r>
              <w:t xml:space="preserve">Email and SMS for order, payment, shipping, payout and KYC events</w:t>
            </w:r>
          </w:p>
        </w:tc>
        <w:tc>
          <w:tcPr>
            <w:tcW w:w="1424" w:type="dxa"/>
          </w:tcPr>
          <w:p>
            <w:pPr/>
            <w:r>
              <w:t xml:space="preserve">notification (new)</w:t>
            </w:r>
          </w:p>
        </w:tc>
        <w:tc>
          <w:tcPr>
            <w:tcW w:w="1027" w:type="dxa"/>
          </w:tcPr>
          <w:p>
            <w:pPr/>
            <w:r>
              <w:t xml:space="preserve">P0</w:t>
            </w:r>
          </w:p>
        </w:tc>
      </w:tr>
      <w:tr>
        <w:tc>
          <w:tcPr>
            <w:tcW w:w="868" w:type="dxa"/>
          </w:tcPr>
          <w:p>
            <w:pPr/>
            <w:r>
              <w:t xml:space="preserve">FR-23</w:t>
            </w:r>
          </w:p>
        </w:tc>
        <w:tc>
          <w:tcPr>
            <w:tcW w:w="1582" w:type="dxa"/>
          </w:tcPr>
          <w:p>
            <w:pPr/>
            <w:r>
              <w:t xml:space="preserve">Vendor dashboard</w:t>
            </w:r>
          </w:p>
        </w:tc>
        <w:tc>
          <w:tcPr>
            <w:tcW w:w="4459" w:type="dxa"/>
          </w:tcPr>
          <w:p>
            <w:pPr/>
            <w:r>
              <w:t xml:space="preserve">Sales, balance (pending and available), payouts, fees and a downloadable statement</w:t>
            </w:r>
          </w:p>
        </w:tc>
        <w:tc>
          <w:tcPr>
            <w:tcW w:w="1424" w:type="dxa"/>
          </w:tcPr>
          <w:p>
            <w:pPr/>
            <w:r>
              <w:t xml:space="preserve">vendor</w:t>
            </w:r>
          </w:p>
        </w:tc>
        <w:tc>
          <w:tcPr>
            <w:tcW w:w="1027" w:type="dxa"/>
          </w:tcPr>
          <w:p>
            <w:pPr/>
            <w:r>
              <w:t xml:space="preserve">P0</w:t>
            </w:r>
          </w:p>
        </w:tc>
      </w:tr>
      <w:tr>
        <w:tc>
          <w:tcPr>
            <w:tcW w:w="868" w:type="dxa"/>
          </w:tcPr>
          <w:p>
            <w:pPr/>
            <w:r>
              <w:t xml:space="preserve">FR-24</w:t>
            </w:r>
          </w:p>
        </w:tc>
        <w:tc>
          <w:tcPr>
            <w:tcW w:w="1582" w:type="dxa"/>
          </w:tcPr>
          <w:p>
            <w:pPr/>
            <w:r>
              <w:t xml:space="preserve">Admin</w:t>
            </w:r>
          </w:p>
        </w:tc>
        <w:tc>
          <w:tcPr>
            <w:tcW w:w="4459" w:type="dxa"/>
          </w:tcPr>
          <w:p>
            <w:pPr/>
            <w:r>
              <w:t xml:space="preserve">Vendor approval, listing moderation, order lookup, refund override, payout hold</w:t>
            </w:r>
          </w:p>
        </w:tc>
        <w:tc>
          <w:tcPr>
            <w:tcW w:w="1424" w:type="dxa"/>
          </w:tcPr>
          <w:p>
            <w:pPr/>
            <w:r>
              <w:t xml:space="preserve">admin (new)</w:t>
            </w:r>
          </w:p>
        </w:tc>
        <w:tc>
          <w:tcPr>
            <w:tcW w:w="1027" w:type="dxa"/>
          </w:tcPr>
          <w:p>
            <w:pPr/>
            <w:r>
              <w:t xml:space="preserve">P0</w:t>
            </w:r>
          </w:p>
        </w:tc>
      </w:tr>
      <w:tr>
        <w:tc>
          <w:tcPr>
            <w:tcW w:w="868" w:type="dxa"/>
          </w:tcPr>
          <w:p>
            <w:pPr/>
            <w:r>
              <w:t xml:space="preserve">FR-25</w:t>
            </w:r>
          </w:p>
        </w:tc>
        <w:tc>
          <w:tcPr>
            <w:tcW w:w="1582" w:type="dxa"/>
          </w:tcPr>
          <w:p>
            <w:pPr/>
            <w:r>
              <w:t xml:space="preserve">Reviews</w:t>
            </w:r>
          </w:p>
        </w:tc>
        <w:tc>
          <w:tcPr>
            <w:tcW w:w="4459" w:type="dxa"/>
          </w:tcPr>
          <w:p>
            <w:pPr/>
            <w:r>
              <w:t xml:space="preserve">Ratings and reviews limited to verified purchases</w:t>
            </w:r>
          </w:p>
        </w:tc>
        <w:tc>
          <w:tcPr>
            <w:tcW w:w="1424" w:type="dxa"/>
          </w:tcPr>
          <w:p>
            <w:pPr/>
            <w:r>
              <w:t xml:space="preserve">review (new)</w:t>
            </w:r>
          </w:p>
        </w:tc>
        <w:tc>
          <w:tcPr>
            <w:tcW w:w="1027" w:type="dxa"/>
          </w:tcPr>
          <w:p>
            <w:pPr/>
            <w:r>
              <w:t xml:space="preserve">P2</w:t>
            </w:r>
          </w:p>
        </w:tc>
      </w:tr>
    </w:tbl>
    <w:p>
      <w:pPr>
        <w:pStyle w:val="Heading2"/>
      </w:pPr>
      <w:r>
        <w:t xml:space="preserve">Cross-border payments</w:t>
      </w:r>
    </w:p>
    <w:p>
      <w:pPr/>
      <w:r>
        <w:t xml:space="preserve">A new </w:t>
      </w:r>
      <w:r>
        <w:rPr>
          <w:rStyle w:val="CodeChar"/>
        </w:rPr>
        <w:t xml:space="preserve">payment-service</w:t>
      </w:r>
      <w:r>
        <w:t xml:space="preserve"> sits behind one internal interface (</w:t>
      </w:r>
      <w:r>
        <w:rPr>
          <w:rStyle w:val="CodeChar"/>
        </w:rPr>
        <w:t xml:space="preserve">PaymentGateway</w:t>
      </w:r>
      <w:r>
        <w:t xml:space="preserve">: initialize, verify, refund, createSubaccount, payout). Each provider is an adapter behind that interface, and a routing table picks one per transaction. No other service calls a gateway directly.</w:t>
      </w:r>
    </w:p>
    <w:p>
      <w:pPr/>
      <w:r>
        <w:rPr>
          <w:b/>
        </w:rPr>
        <w:t xml:space="preserve">Routing rules (phase 1)</w:t>
      </w:r>
    </w:p>
    <w:tbl>
      <w:tblPr>
        <w:tblStyle w:val="TableGrid"/>
        <w:tblW w:w="0" w:type="auto"/>
        <w:tblLayout w:type="fixed"/>
        <w:tblLook w:val="04A0" w:firstRow="1" w:lastRow="0" w:firstColumn="0" w:lastColumn="0" w:noHBand="0" w:noVBand="1"/>
      </w:tblPr>
      <w:tblGrid>
        <w:gridCol w:w="1661"/>
        <w:gridCol w:w="1186"/>
        <w:gridCol w:w="1724"/>
        <w:gridCol w:w="1509"/>
        <w:gridCol w:w="3280"/>
      </w:tblGrid>
      <w:tr>
        <w:trPr>
          <w:tblHeader/>
        </w:trPr>
        <w:tc>
          <w:tcPr>
            <w:tcW w:w="1661" w:type="dxa"/>
            <w:shd w:val="clear" w:color="auto" w:fill="F2F2F2"/>
          </w:tcPr>
          <w:p>
            <w:pPr/>
            <w:r>
              <w:t xml:space="preserve">Buyer country</w:t>
            </w:r>
          </w:p>
        </w:tc>
        <w:tc>
          <w:tcPr>
            <w:tcW w:w="1186" w:type="dxa"/>
            <w:shd w:val="clear" w:color="auto" w:fill="F2F2F2"/>
          </w:tcPr>
          <w:p>
            <w:pPr/>
            <w:r>
              <w:t xml:space="preserve">Currency charged</w:t>
            </w:r>
          </w:p>
        </w:tc>
        <w:tc>
          <w:tcPr>
            <w:tcW w:w="1724" w:type="dxa"/>
            <w:shd w:val="clear" w:color="auto" w:fill="F2F2F2"/>
          </w:tcPr>
          <w:p>
            <w:pPr/>
            <w:r>
              <w:t xml:space="preserve">Primary gateway</w:t>
            </w:r>
          </w:p>
        </w:tc>
        <w:tc>
          <w:tcPr>
            <w:tcW w:w="1509" w:type="dxa"/>
            <w:shd w:val="clear" w:color="auto" w:fill="F2F2F2"/>
          </w:tcPr>
          <w:p>
            <w:pPr/>
            <w:r>
              <w:t xml:space="preserve">Fallback</w:t>
            </w:r>
          </w:p>
        </w:tc>
        <w:tc>
          <w:tcPr>
            <w:tcW w:w="3280" w:type="dxa"/>
            <w:shd w:val="clear" w:color="auto" w:fill="F2F2F2"/>
          </w:tcPr>
          <w:p>
            <w:pPr/>
            <w:r>
              <w:t xml:space="preserve">Methods</w:t>
            </w:r>
          </w:p>
        </w:tc>
      </w:tr>
      <w:tr>
        <w:tc>
          <w:tcPr>
            <w:tcW w:w="1661" w:type="dxa"/>
          </w:tcPr>
          <w:p>
            <w:pPr/>
            <w:r>
              <w:t xml:space="preserve">Nigeria</w:t>
            </w:r>
          </w:p>
        </w:tc>
        <w:tc>
          <w:tcPr>
            <w:tcW w:w="1186" w:type="dxa"/>
          </w:tcPr>
          <w:p>
            <w:pPr/>
            <w:r>
              <w:t xml:space="preserve">NGN</w:t>
            </w:r>
          </w:p>
        </w:tc>
        <w:tc>
          <w:tcPr>
            <w:tcW w:w="1724" w:type="dxa"/>
          </w:tcPr>
          <w:p>
            <w:pPr/>
            <w:r>
              <w:t xml:space="preserve">Paystack</w:t>
            </w:r>
          </w:p>
        </w:tc>
        <w:tc>
          <w:tcPr>
            <w:tcW w:w="1509" w:type="dxa"/>
          </w:tcPr>
          <w:p>
            <w:pPr/>
            <w:r>
              <w:t xml:space="preserve">Flutterwave</w:t>
            </w:r>
          </w:p>
        </w:tc>
        <w:tc>
          <w:tcPr>
            <w:tcW w:w="3280" w:type="dxa"/>
          </w:tcPr>
          <w:p>
            <w:pPr/>
            <w:r>
              <w:t xml:space="preserve">Card, bank transfer, USSD</w:t>
            </w:r>
          </w:p>
        </w:tc>
      </w:tr>
      <w:tr>
        <w:tc>
          <w:tcPr>
            <w:tcW w:w="1661" w:type="dxa"/>
          </w:tcPr>
          <w:p>
            <w:pPr/>
            <w:r>
              <w:t xml:space="preserve">Ghana</w:t>
            </w:r>
          </w:p>
        </w:tc>
        <w:tc>
          <w:tcPr>
            <w:tcW w:w="1186" w:type="dxa"/>
          </w:tcPr>
          <w:p>
            <w:pPr/>
            <w:r>
              <w:t xml:space="preserve">GHS</w:t>
            </w:r>
          </w:p>
        </w:tc>
        <w:tc>
          <w:tcPr>
            <w:tcW w:w="1724" w:type="dxa"/>
          </w:tcPr>
          <w:p>
            <w:pPr/>
            <w:r>
              <w:t xml:space="preserve">Paystack</w:t>
            </w:r>
          </w:p>
        </w:tc>
        <w:tc>
          <w:tcPr>
            <w:tcW w:w="1509" w:type="dxa"/>
          </w:tcPr>
          <w:p>
            <w:pPr/>
            <w:r>
              <w:t xml:space="preserve">Flutterwave</w:t>
            </w:r>
          </w:p>
        </w:tc>
        <w:tc>
          <w:tcPr>
            <w:tcW w:w="3280" w:type="dxa"/>
          </w:tcPr>
          <w:p>
            <w:pPr/>
            <w:r>
              <w:t xml:space="preserve">Card, mobile money</w:t>
            </w:r>
          </w:p>
        </w:tc>
      </w:tr>
      <w:tr>
        <w:tc>
          <w:tcPr>
            <w:tcW w:w="1661" w:type="dxa"/>
          </w:tcPr>
          <w:p>
            <w:pPr/>
            <w:r>
              <w:t xml:space="preserve">Kenya</w:t>
            </w:r>
          </w:p>
        </w:tc>
        <w:tc>
          <w:tcPr>
            <w:tcW w:w="1186" w:type="dxa"/>
          </w:tcPr>
          <w:p>
            <w:pPr/>
            <w:r>
              <w:t xml:space="preserve">KES</w:t>
            </w:r>
          </w:p>
        </w:tc>
        <w:tc>
          <w:tcPr>
            <w:tcW w:w="1724" w:type="dxa"/>
          </w:tcPr>
          <w:p>
            <w:pPr/>
            <w:r>
              <w:t xml:space="preserve">Flutterwave</w:t>
            </w:r>
          </w:p>
        </w:tc>
        <w:tc>
          <w:tcPr>
            <w:tcW w:w="1509" w:type="dxa"/>
          </w:tcPr>
          <w:p>
            <w:pPr/>
            <w:r>
              <w:t xml:space="preserve">Paystack</w:t>
            </w:r>
          </w:p>
        </w:tc>
        <w:tc>
          <w:tcPr>
            <w:tcW w:w="3280" w:type="dxa"/>
          </w:tcPr>
          <w:p>
            <w:pPr/>
            <w:r>
              <w:t xml:space="preserve">M-Pesa, card</w:t>
            </w:r>
          </w:p>
        </w:tc>
      </w:tr>
      <w:tr>
        <w:tc>
          <w:tcPr>
            <w:tcW w:w="1661" w:type="dxa"/>
          </w:tcPr>
          <w:p>
            <w:pPr/>
            <w:r>
              <w:t xml:space="preserve">UK</w:t>
            </w:r>
          </w:p>
        </w:tc>
        <w:tc>
          <w:tcPr>
            <w:tcW w:w="1186" w:type="dxa"/>
          </w:tcPr>
          <w:p>
            <w:pPr/>
            <w:r>
              <w:t xml:space="preserve">GBP</w:t>
            </w:r>
          </w:p>
        </w:tc>
        <w:tc>
          <w:tcPr>
            <w:tcW w:w="1724" w:type="dxa"/>
          </w:tcPr>
          <w:p>
            <w:pPr/>
            <w:r>
              <w:t xml:space="preserve">Stripe*</w:t>
            </w:r>
          </w:p>
        </w:tc>
        <w:tc>
          <w:tcPr>
            <w:tcW w:w="1509" w:type="dxa"/>
          </w:tcPr>
          <w:p>
            <w:pPr/>
            <w:r>
              <w:t xml:space="preserve">Flutterwave</w:t>
            </w:r>
          </w:p>
        </w:tc>
        <w:tc>
          <w:tcPr>
            <w:tcW w:w="3280" w:type="dxa"/>
          </w:tcPr>
          <w:p>
            <w:pPr/>
            <w:r>
              <w:t xml:space="preserve">Card, Apple Pay, Google Pay</w:t>
            </w:r>
          </w:p>
        </w:tc>
      </w:tr>
      <w:tr>
        <w:tc>
          <w:tcPr>
            <w:tcW w:w="1661" w:type="dxa"/>
          </w:tcPr>
          <w:p>
            <w:pPr/>
            <w:r>
              <w:t xml:space="preserve">EU</w:t>
            </w:r>
          </w:p>
        </w:tc>
        <w:tc>
          <w:tcPr>
            <w:tcW w:w="1186" w:type="dxa"/>
          </w:tcPr>
          <w:p>
            <w:pPr/>
            <w:r>
              <w:t xml:space="preserve">EUR</w:t>
            </w:r>
          </w:p>
        </w:tc>
        <w:tc>
          <w:tcPr>
            <w:tcW w:w="1724" w:type="dxa"/>
          </w:tcPr>
          <w:p>
            <w:pPr/>
            <w:r>
              <w:t xml:space="preserve">Stripe*</w:t>
            </w:r>
          </w:p>
        </w:tc>
        <w:tc>
          <w:tcPr>
            <w:tcW w:w="1509" w:type="dxa"/>
          </w:tcPr>
          <w:p>
            <w:pPr/>
            <w:r>
              <w:t xml:space="preserve">Flutterwave</w:t>
            </w:r>
          </w:p>
        </w:tc>
        <w:tc>
          <w:tcPr>
            <w:tcW w:w="3280" w:type="dxa"/>
          </w:tcPr>
          <w:p>
            <w:pPr/>
            <w:r>
              <w:t xml:space="preserve">Card, Apple Pay, Google Pay</w:t>
            </w:r>
          </w:p>
        </w:tc>
      </w:tr>
      <w:tr>
        <w:tc>
          <w:tcPr>
            <w:tcW w:w="1661" w:type="dxa"/>
          </w:tcPr>
          <w:p>
            <w:pPr/>
            <w:r>
              <w:t xml:space="preserve">US</w:t>
            </w:r>
          </w:p>
        </w:tc>
        <w:tc>
          <w:tcPr>
            <w:tcW w:w="1186" w:type="dxa"/>
          </w:tcPr>
          <w:p>
            <w:pPr/>
            <w:r>
              <w:t xml:space="preserve">USD</w:t>
            </w:r>
          </w:p>
        </w:tc>
        <w:tc>
          <w:tcPr>
            <w:tcW w:w="1724" w:type="dxa"/>
          </w:tcPr>
          <w:p>
            <w:pPr/>
            <w:r>
              <w:t xml:space="preserve">Stripe*</w:t>
            </w:r>
          </w:p>
        </w:tc>
        <w:tc>
          <w:tcPr>
            <w:tcW w:w="1509" w:type="dxa"/>
          </w:tcPr>
          <w:p>
            <w:pPr/>
            <w:r>
              <w:t xml:space="preserve">Flutterwave</w:t>
            </w:r>
          </w:p>
        </w:tc>
        <w:tc>
          <w:tcPr>
            <w:tcW w:w="3280" w:type="dxa"/>
          </w:tcPr>
          <w:p>
            <w:pPr/>
            <w:r>
              <w:t xml:space="preserve">Card, Apple Pay, Google Pay</w:t>
            </w:r>
          </w:p>
        </w:tc>
      </w:tr>
    </w:tbl>
    <w:p>
      <w:pPr/>
      <w:r>
        <w:t xml:space="preserve">*Stripe requires Convie to hold a business entity in a Stripe-supported country, because Nigerian businesses cannot open Stripe accounts directly. Until then, international cards route through Flutterwave. This is open question Q1.</w:t>
      </w:r>
    </w:p>
    <w:p>
      <w:pPr/>
      <w:r>
        <w:rPr>
          <w:b/>
        </w:rPr>
        <w:t xml:space="preserve">Money model</w:t>
      </w:r>
    </w:p>
    <w:p>
      <w:pPr>
        <w:pStyle w:val="ListParagraph"/>
        <w:numPr>
          <w:ilvl w:val="0"/>
          <w:numId w:val="5"/>
        </w:numPr>
      </w:pPr>
      <w:r>
        <w:t xml:space="preserve">Amounts are stored as integers in minor units (kobo, pesewa, cents) with an ISO 4217 currency code. Floats and </w:t>
      </w:r>
      <w:r>
        <w:rPr>
          <w:rStyle w:val="CodeChar"/>
        </w:rPr>
        <w:t xml:space="preserve">decimal(12,2)</w:t>
      </w:r>
      <w:r>
        <w:t xml:space="preserve"> are not used for money in the ledger.</w:t>
      </w:r>
    </w:p>
    <w:p>
      <w:pPr>
        <w:pStyle w:val="ListParagraph"/>
        <w:numPr>
          <w:ilvl w:val="0"/>
          <w:numId w:val="5"/>
        </w:numPr>
      </w:pPr>
      <w:r>
        <w:t xml:space="preserve">Each product has a base currency, which is the vendor's settlement currency.</w:t>
      </w:r>
    </w:p>
    <w:p>
      <w:pPr>
        <w:pStyle w:val="ListParagraph"/>
        <w:numPr>
          <w:ilvl w:val="0"/>
          <w:numId w:val="5"/>
        </w:numPr>
      </w:pPr>
      <w:r>
        <w:t xml:space="preserve">The buyer sees a converted price. The FX rate comes from a rate provider plus a configurable spread of 1.5% by default, and is locked for 15 minutes at checkout.</w:t>
      </w:r>
    </w:p>
    <w:p>
      <w:pPr>
        <w:pStyle w:val="ListParagraph"/>
        <w:numPr>
          <w:ilvl w:val="0"/>
          <w:numId w:val="5"/>
        </w:numPr>
      </w:pPr>
      <w:r>
        <w:t xml:space="preserve">The order stores four values per line: base amount, charged amount, rate ID and spread.</w:t>
      </w:r>
    </w:p>
    <w:p>
      <w:pPr/>
      <w:r>
        <w:rPr>
          <w:b/>
        </w:rPr>
        <w:t xml:space="preserve">Split settlement</w:t>
      </w:r>
    </w:p>
    <w:p>
      <w:pPr>
        <w:pStyle w:val="ListParagraph"/>
        <w:numPr>
          <w:ilvl w:val="0"/>
          <w:numId w:val="6"/>
        </w:numPr>
      </w:pPr>
      <w:r>
        <w:t xml:space="preserve">If the buyer's currency equals the vendor's currency and the gateway supports splits (Paystack or Flutterwave subaccounts), the split happens at the gateway: vendor share goes to the subaccount and commission stays with Convie.</w:t>
      </w:r>
    </w:p>
    <w:p>
      <w:pPr>
        <w:pStyle w:val="ListParagraph"/>
        <w:numPr>
          <w:ilvl w:val="0"/>
          <w:numId w:val="6"/>
        </w:numPr>
      </w:pPr>
      <w:r>
        <w:t xml:space="preserve">If the currencies differ, Convie collects the full amount. The ledger records the vendor's share in the vendor's currency at the locked rate, and the payout-service pays out later through the gateway's transfer API. FX risk between lock and payout sits with Convie and is reported daily.</w:t>
      </w:r>
    </w:p>
    <w:p>
      <w:pPr>
        <w:pStyle w:val="ListParagraph"/>
        <w:numPr>
          <w:ilvl w:val="0"/>
          <w:numId w:val="6"/>
        </w:numPr>
      </w:pPr>
      <w:r>
        <w:t xml:space="preserve">Commission is a percentage per category (default 8%) plus an optional fixed fee. Gateway fees are borne by Convie in phase 1.</w:t>
      </w:r>
    </w:p>
    <w:p>
      <w:pPr/>
      <w:r>
        <w:rPr>
          <w:b/>
        </w:rPr>
        <w:t xml:space="preserve">Payouts</w:t>
      </w:r>
    </w:p>
    <w:p>
      <w:pPr>
        <w:pStyle w:val="ListParagraph"/>
        <w:numPr>
          <w:ilvl w:val="0"/>
          <w:numId w:val="7"/>
        </w:numPr>
      </w:pPr>
      <w:r>
        <w:t xml:space="preserve">Pending funds move to available after the delivery confirmation plus a hold period (7 days default, 14 days for new vendors).</w:t>
      </w:r>
    </w:p>
    <w:p>
      <w:pPr>
        <w:pStyle w:val="ListParagraph"/>
        <w:numPr>
          <w:ilvl w:val="0"/>
          <w:numId w:val="7"/>
        </w:numPr>
      </w:pPr>
      <w:r>
        <w:t xml:space="preserve">Payouts run weekly to a bank account (NG, GH, KE) or mobile money (GH, KE), with a minimum payout threshold per currency.</w:t>
      </w:r>
    </w:p>
    <w:p>
      <w:pPr>
        <w:pStyle w:val="ListParagraph"/>
        <w:numPr>
          <w:ilvl w:val="0"/>
          <w:numId w:val="7"/>
        </w:numPr>
      </w:pPr>
      <w:r>
        <w:t xml:space="preserve">Every payout has a reference, a ledger entry and a status callback. A failed payout reverts to the available balance and triggers an alert.</w:t>
      </w:r>
    </w:p>
    <w:p>
      <w:pPr>
        <w:pStyle w:val="Heading2"/>
      </w:pPr>
      <w:r>
        <w:t xml:space="preserve">Non-functional requirements</w:t>
      </w:r>
    </w:p>
    <w:tbl>
      <w:tblPr>
        <w:tblStyle w:val="TableGrid"/>
        <w:tblW w:w="0" w:type="auto"/>
        <w:tblLayout w:type="fixed"/>
        <w:tblLook w:val="04A0" w:firstRow="1" w:lastRow="0" w:firstColumn="0" w:lastColumn="0" w:noHBand="0" w:noVBand="1"/>
      </w:tblPr>
      <w:tblGrid>
        <w:gridCol w:w="1235"/>
        <w:gridCol w:w="2192"/>
        <w:gridCol w:w="5931"/>
      </w:tblGrid>
      <w:tr>
        <w:trPr>
          <w:tblHeader/>
        </w:trPr>
        <w:tc>
          <w:tcPr>
            <w:tcW w:w="1235" w:type="dxa"/>
            <w:shd w:val="clear" w:color="auto" w:fill="F2F2F2"/>
          </w:tcPr>
          <w:p>
            <w:pPr/>
            <w:r>
              <w:t xml:space="preserve">ID</w:t>
            </w:r>
          </w:p>
        </w:tc>
        <w:tc>
          <w:tcPr>
            <w:tcW w:w="2192" w:type="dxa"/>
            <w:shd w:val="clear" w:color="auto" w:fill="F2F2F2"/>
          </w:tcPr>
          <w:p>
            <w:pPr/>
            <w:r>
              <w:t xml:space="preserve">Category</w:t>
            </w:r>
          </w:p>
        </w:tc>
        <w:tc>
          <w:tcPr>
            <w:tcW w:w="5931" w:type="dxa"/>
            <w:shd w:val="clear" w:color="auto" w:fill="F2F2F2"/>
          </w:tcPr>
          <w:p>
            <w:pPr/>
            <w:r>
              <w:t xml:space="preserve">Requirement</w:t>
            </w:r>
          </w:p>
        </w:tc>
      </w:tr>
      <w:tr>
        <w:tc>
          <w:tcPr>
            <w:tcW w:w="1235" w:type="dxa"/>
          </w:tcPr>
          <w:p>
            <w:pPr/>
            <w:r>
              <w:t xml:space="preserve">NFR-01</w:t>
            </w:r>
          </w:p>
        </w:tc>
        <w:tc>
          <w:tcPr>
            <w:tcW w:w="2192" w:type="dxa"/>
          </w:tcPr>
          <w:p>
            <w:pPr/>
            <w:r>
              <w:t xml:space="preserve">Security</w:t>
            </w:r>
          </w:p>
        </w:tc>
        <w:tc>
          <w:tcPr>
            <w:tcW w:w="5931" w:type="dxa"/>
          </w:tcPr>
          <w:p>
            <w:pPr/>
            <w:r>
              <w:t xml:space="preserve">PCI DSS SAQ-A scope only. Card data never touches Convie servers; hosted or inline gateway checkout only.</w:t>
            </w:r>
          </w:p>
        </w:tc>
      </w:tr>
      <w:tr>
        <w:tc>
          <w:tcPr>
            <w:tcW w:w="1235" w:type="dxa"/>
          </w:tcPr>
          <w:p>
            <w:pPr/>
            <w:r>
              <w:t xml:space="preserve">NFR-02</w:t>
            </w:r>
          </w:p>
        </w:tc>
        <w:tc>
          <w:tcPr>
            <w:tcW w:w="2192" w:type="dxa"/>
          </w:tcPr>
          <w:p>
            <w:pPr/>
            <w:r>
              <w:t xml:space="preserve">Security</w:t>
            </w:r>
          </w:p>
        </w:tc>
        <w:tc>
          <w:tcPr>
            <w:tcW w:w="5931" w:type="dxa"/>
          </w:tcPr>
          <w:p>
            <w:pPr/>
            <w:r>
              <w:t xml:space="preserve">Service-to-service auth via signed JWT (auth-service issues it and services verify it locally with a public key), replacing the per-request </w:t>
            </w:r>
            <w:r>
              <w:rPr>
                <w:rStyle w:val="CodeChar"/>
              </w:rPr>
              <w:t xml:space="preserve">/internal/auth/validate</w:t>
            </w:r>
            <w:r>
              <w:t xml:space="preserve"> call. The shared </w:t>
            </w:r>
            <w:r>
              <w:rPr>
                <w:rStyle w:val="CodeChar"/>
              </w:rPr>
              <w:t xml:space="preserve">X-Service-Key</w:t>
            </w:r>
            <w:r>
              <w:t xml:space="preserve"> is kept only for internal admin calls and rotated quarterly.</w:t>
            </w:r>
          </w:p>
        </w:tc>
      </w:tr>
      <w:tr>
        <w:tc>
          <w:tcPr>
            <w:tcW w:w="1235" w:type="dxa"/>
          </w:tcPr>
          <w:p>
            <w:pPr/>
            <w:r>
              <w:t xml:space="preserve">NFR-03</w:t>
            </w:r>
          </w:p>
        </w:tc>
        <w:tc>
          <w:tcPr>
            <w:tcW w:w="2192" w:type="dxa"/>
          </w:tcPr>
          <w:p>
            <w:pPr/>
            <w:r>
              <w:t xml:space="preserve">Security</w:t>
            </w:r>
          </w:p>
        </w:tc>
        <w:tc>
          <w:tcPr>
            <w:tcW w:w="5931" w:type="dxa"/>
          </w:tcPr>
          <w:p>
            <w:pPr/>
            <w:r>
              <w:t xml:space="preserve">Secrets live in a secret manager, never in </w:t>
            </w:r>
            <w:r>
              <w:rPr>
                <w:rStyle w:val="CodeChar"/>
              </w:rPr>
              <w:t xml:space="preserve">.env</w:t>
            </w:r>
            <w:r>
              <w:t xml:space="preserve"> in git. Gateway keys are per environment, and live keys exist only in Production.</w:t>
            </w:r>
          </w:p>
        </w:tc>
      </w:tr>
      <w:tr>
        <w:tc>
          <w:tcPr>
            <w:tcW w:w="1235" w:type="dxa"/>
          </w:tcPr>
          <w:p>
            <w:pPr/>
            <w:r>
              <w:t xml:space="preserve">NFR-04</w:t>
            </w:r>
          </w:p>
        </w:tc>
        <w:tc>
          <w:tcPr>
            <w:tcW w:w="2192" w:type="dxa"/>
          </w:tcPr>
          <w:p>
            <w:pPr/>
            <w:r>
              <w:t xml:space="preserve">Data protection</w:t>
            </w:r>
          </w:p>
        </w:tc>
        <w:tc>
          <w:tcPr>
            <w:tcW w:w="5931" w:type="dxa"/>
          </w:tcPr>
          <w:p>
            <w:pPr/>
            <w:r>
              <w:t xml:space="preserve">NDPA 2023 (NG), Ghana DPA 2012, Kenya DPA 2019 and UK/EU GDPR. KYC documents are encrypted at rest, kept for the statutory period, then purged.</w:t>
            </w:r>
          </w:p>
        </w:tc>
      </w:tr>
      <w:tr>
        <w:tc>
          <w:tcPr>
            <w:tcW w:w="1235" w:type="dxa"/>
          </w:tcPr>
          <w:p>
            <w:pPr/>
            <w:r>
              <w:t xml:space="preserve">NFR-05</w:t>
            </w:r>
          </w:p>
        </w:tc>
        <w:tc>
          <w:tcPr>
            <w:tcW w:w="2192" w:type="dxa"/>
          </w:tcPr>
          <w:p>
            <w:pPr/>
            <w:r>
              <w:t xml:space="preserve">Reliability</w:t>
            </w:r>
          </w:p>
        </w:tc>
        <w:tc>
          <w:tcPr>
            <w:tcW w:w="5931" w:type="dxa"/>
          </w:tcPr>
          <w:p>
            <w:pPr/>
            <w:r>
              <w:t xml:space="preserve">Payment, order and ledger services reach 99.9% monthly availability. Webhook processing is at-least-once and idempotent by gateway event ID.</w:t>
            </w:r>
          </w:p>
        </w:tc>
      </w:tr>
      <w:tr>
        <w:tc>
          <w:tcPr>
            <w:tcW w:w="1235" w:type="dxa"/>
          </w:tcPr>
          <w:p>
            <w:pPr/>
            <w:r>
              <w:t xml:space="preserve">NFR-06</w:t>
            </w:r>
          </w:p>
        </w:tc>
        <w:tc>
          <w:tcPr>
            <w:tcW w:w="2192" w:type="dxa"/>
          </w:tcPr>
          <w:p>
            <w:pPr/>
            <w:r>
              <w:t xml:space="preserve">Consistency</w:t>
            </w:r>
          </w:p>
        </w:tc>
        <w:tc>
          <w:tcPr>
            <w:tcW w:w="5931" w:type="dxa"/>
          </w:tcPr>
          <w:p>
            <w:pPr/>
            <w:r>
              <w:t xml:space="preserve">Cross-service workflows (checkout, refund, payout) run as sagas over an event bus with an outbox table per service. No distributed transactions.</w:t>
            </w:r>
          </w:p>
        </w:tc>
      </w:tr>
      <w:tr>
        <w:tc>
          <w:tcPr>
            <w:tcW w:w="1235" w:type="dxa"/>
          </w:tcPr>
          <w:p>
            <w:pPr/>
            <w:r>
              <w:t xml:space="preserve">NFR-07</w:t>
            </w:r>
          </w:p>
        </w:tc>
        <w:tc>
          <w:tcPr>
            <w:tcW w:w="2192" w:type="dxa"/>
          </w:tcPr>
          <w:p>
            <w:pPr/>
            <w:r>
              <w:t xml:space="preserve">Performance</w:t>
            </w:r>
          </w:p>
        </w:tc>
        <w:tc>
          <w:tcPr>
            <w:tcW w:w="5931" w:type="dxa"/>
          </w:tcPr>
          <w:p>
            <w:pPr/>
            <w:r>
              <w:t xml:space="preserve">p95 latency: catalogue read 300 ms, add to cart 400 ms, checkout initialize 1.5 s excluding the gateway redirect</w:t>
            </w:r>
          </w:p>
        </w:tc>
      </w:tr>
      <w:tr>
        <w:tc>
          <w:tcPr>
            <w:tcW w:w="1235" w:type="dxa"/>
          </w:tcPr>
          <w:p>
            <w:pPr/>
            <w:r>
              <w:t xml:space="preserve">NFR-08</w:t>
            </w:r>
          </w:p>
        </w:tc>
        <w:tc>
          <w:tcPr>
            <w:tcW w:w="2192" w:type="dxa"/>
          </w:tcPr>
          <w:p>
            <w:pPr/>
            <w:r>
              <w:t xml:space="preserve">Observability</w:t>
            </w:r>
          </w:p>
        </w:tc>
        <w:tc>
          <w:tcPr>
            <w:tcW w:w="5931" w:type="dxa"/>
          </w:tcPr>
          <w:p>
            <w:pPr/>
            <w:r>
              <w:t xml:space="preserve">Request ID propagated through nginx and every service. Structured JSON logs and metrics per service. Alerts on payment success rate, webhook lag and reconciliation breaks.</w:t>
            </w:r>
          </w:p>
        </w:tc>
      </w:tr>
      <w:tr>
        <w:tc>
          <w:tcPr>
            <w:tcW w:w="1235" w:type="dxa"/>
          </w:tcPr>
          <w:p>
            <w:pPr/>
            <w:r>
              <w:t xml:space="preserve">NFR-09</w:t>
            </w:r>
          </w:p>
        </w:tc>
        <w:tc>
          <w:tcPr>
            <w:tcW w:w="2192" w:type="dxa"/>
          </w:tcPr>
          <w:p>
            <w:pPr/>
            <w:r>
              <w:t xml:space="preserve">Auditability</w:t>
            </w:r>
          </w:p>
        </w:tc>
        <w:tc>
          <w:tcPr>
            <w:tcW w:w="5931" w:type="dxa"/>
          </w:tcPr>
          <w:p>
            <w:pPr/>
            <w:r>
              <w:t xml:space="preserve">Ledger entries are append-only. Corrections are reversing entries. Admin actions on money are logged with actor and reason.</w:t>
            </w:r>
          </w:p>
        </w:tc>
      </w:tr>
      <w:tr>
        <w:tc>
          <w:tcPr>
            <w:tcW w:w="1235" w:type="dxa"/>
          </w:tcPr>
          <w:p>
            <w:pPr/>
            <w:r>
              <w:t xml:space="preserve">NFR-10</w:t>
            </w:r>
          </w:p>
        </w:tc>
        <w:tc>
          <w:tcPr>
            <w:tcW w:w="2192" w:type="dxa"/>
          </w:tcPr>
          <w:p>
            <w:pPr/>
            <w:r>
              <w:t xml:space="preserve">Localisation</w:t>
            </w:r>
          </w:p>
        </w:tc>
        <w:tc>
          <w:tcPr>
            <w:tcW w:w="5931" w:type="dxa"/>
          </w:tcPr>
          <w:p>
            <w:pPr/>
            <w:r>
              <w:t xml:space="preserve">Currency and number formatting per locale. English at launch, with copy externalised for French (francophone West Africa) later.</w:t>
            </w:r>
          </w:p>
        </w:tc>
      </w:tr>
    </w:tbl>
    <w:p>
      <w:pPr>
        <w:pStyle w:val="Heading2"/>
      </w:pPr>
      <w:r>
        <w:t xml:space="preserve">Target architecture</w:t>
      </w:r>
    </w:p>
    <w:p>
      <w:pPr/>
      <w:r>
        <w:drawing>
          <wp:inline distT="0" distB="0" distL="0" distR="0">
            <wp:extent cx="5486400" cy="3918857"/>
            <wp:docPr id="1" name="image1" descr="target architecture · 10 services, 3 external providers"/>
            <a:graphic xmlns:a="http://schemas.openxmlformats.org/drawingml/2006/main">
              <a:graphicData uri="http://schemas.openxmlformats.org/drawingml/2006/picture">
                <pic:pic xmlns:pic="http://schemas.openxmlformats.org/drawingml/2006/picture">
                  <pic:nvPicPr>
                    <pic:cNvPr id="1" name="image1" descr="target architecture · 10 services, 3 external providers"/>
                    <pic:cNvPicPr/>
                  </pic:nvPicPr>
                  <pic:blipFill>
                    <a:blip r:embed="rId3"/>
                    <a:stretch>
                      <a:fillRect/>
                    </a:stretch>
                  </pic:blipFill>
                  <pic:spPr>
                    <a:xfrm>
                      <a:off x="0" y="0"/>
                      <a:ext cx="5486400" cy="3918857"/>
                    </a:xfrm>
                    <a:prstGeom prst="rect">
                      <a:avLst/>
                    </a:prstGeom>
                  </pic:spPr>
                </pic:pic>
              </a:graphicData>
            </a:graphic>
          </wp:inline>
        </w:drawing>
      </w:r>
    </w:p>
    <w:p>
      <w:pPr/>
      <w:r>
        <w:t xml:space="preserve">target architecture · 10 services, 3 external providers</w:t>
      </w:r>
    </w:p>
    <w:p>
      <w:pPr/>
      <w:r>
        <w:t xml:space="preserve">Services only talk synchronously through the gateway for reads. Every state change that another service cares about (order paid, refund issued, payout settled) is published as an event, and gateway webhooks land only on the payment service.</w:t>
      </w:r>
    </w:p>
    <w:p>
      <w:pPr>
        <w:pStyle w:val="Heading2"/>
      </w:pPr>
      <w:r>
        <w:t xml:space="preserve">Checkout and payment flow</w:t>
      </w:r>
    </w:p>
    <w:p>
      <w:pPr/>
      <w:r>
        <w:drawing>
          <wp:inline distT="0" distB="0" distL="0" distR="0">
            <wp:extent cx="5486400" cy="4384221"/>
            <wp:docPr id="2" name="image2" descr="checkout to payout · 15 messages in 3 phases"/>
            <a:graphic xmlns:a="http://schemas.openxmlformats.org/drawingml/2006/main">
              <a:graphicData uri="http://schemas.openxmlformats.org/drawingml/2006/picture">
                <pic:pic xmlns:pic="http://schemas.openxmlformats.org/drawingml/2006/picture">
                  <pic:nvPicPr>
                    <pic:cNvPr id="2" name="image2" descr="checkout to payout · 15 messages in 3 phases"/>
                    <pic:cNvPicPr/>
                  </pic:nvPicPr>
                  <pic:blipFill>
                    <a:blip r:embed="rId4"/>
                    <a:stretch>
                      <a:fillRect/>
                    </a:stretch>
                  </pic:blipFill>
                  <pic:spPr>
                    <a:xfrm>
                      <a:off x="0" y="0"/>
                      <a:ext cx="5486400" cy="4384221"/>
                    </a:xfrm>
                    <a:prstGeom prst="rect">
                      <a:avLst/>
                    </a:prstGeom>
                  </pic:spPr>
                </pic:pic>
              </a:graphicData>
            </a:graphic>
          </wp:inline>
        </w:drawing>
      </w:r>
    </w:p>
    <w:p>
      <w:pPr/>
      <w:r>
        <w:t xml:space="preserve">checkout to payout · 15 messages in 3 phases</w:t>
      </w:r>
    </w:p>
    <w:p>
      <w:pPr/>
      <w:r>
        <w:t xml:space="preserve">Step 7 is the control that matters: a webhook alone never marks an order paid. Payment-service re-queries the gateway, checks amount and currency against the order, then posts to the ledger before any vendor is told to ship.</w:t>
      </w:r>
    </w:p>
    <w:p>
      <w:pPr>
        <w:pStyle w:val="Heading2"/>
      </w:pPr>
      <w:r>
        <w:t xml:space="preserve">Release plan</w:t>
      </w:r>
    </w:p>
    <w:p>
      <w:pPr/>
      <w:r>
        <w:drawing>
          <wp:inline distT="0" distB="0" distL="0" distR="0">
            <wp:extent cx="5486400" cy="2334985"/>
            <wp:docPr id="3" name="image3" descr="release plan · 4 phases, 4 gates"/>
            <a:graphic xmlns:a="http://schemas.openxmlformats.org/drawingml/2006/main">
              <a:graphicData uri="http://schemas.openxmlformats.org/drawingml/2006/picture">
                <pic:pic xmlns:pic="http://schemas.openxmlformats.org/drawingml/2006/picture">
                  <pic:nvPicPr>
                    <pic:cNvPr id="3" name="image3" descr="release plan · 4 phases, 4 gates"/>
                    <pic:cNvPicPr/>
                  </pic:nvPicPr>
                  <pic:blipFill>
                    <a:blip r:embed="rId5"/>
                    <a:stretch>
                      <a:fillRect/>
                    </a:stretch>
                  </pic:blipFill>
                  <pic:spPr>
                    <a:xfrm>
                      <a:off x="0" y="0"/>
                      <a:ext cx="5486400" cy="2334985"/>
                    </a:xfrm>
                    <a:prstGeom prst="rect">
                      <a:avLst/>
                    </a:prstGeom>
                  </pic:spPr>
                </pic:pic>
              </a:graphicData>
            </a:graphic>
          </wp:inline>
        </w:drawing>
      </w:r>
    </w:p>
    <w:p>
      <w:pPr/>
      <w:r>
        <w:t xml:space="preserve">release plan · 4 phases, 4 gates</w:t>
      </w:r>
    </w:p>
    <w:p>
      <w:pPr/>
      <w:r>
        <w:t xml:space="preserve">Each phase ships to </w:t>
      </w:r>
      <w:r>
        <w:rPr>
          <w:rStyle w:val="CodeChar"/>
        </w:rPr>
        <w:t xml:space="preserve">staging</w:t>
      </w:r>
      <w:r>
        <w:t xml:space="preserve"> first and is promoted to </w:t>
      </w:r>
      <w:r>
        <w:rPr>
          <w:rStyle w:val="CodeChar"/>
        </w:rPr>
        <w:t xml:space="preserve">Production</w:t>
      </w:r>
      <w:r>
        <w:t xml:space="preserve"> only when its gate is met. Phase 1 keeps a single currency (NGN) so the ledger and payouts are proven before FX enters.</w:t>
      </w:r>
    </w:p>
    <w:p>
      <w:pPr>
        <w:pStyle w:val="Heading2"/>
      </w:pPr>
      <w:r>
        <w:t xml:space="preserve">Risks and open questions</w:t>
      </w:r>
    </w:p>
    <w:tbl>
      <w:tblPr>
        <w:tblStyle w:val="TableGrid"/>
        <w:tblW w:w="0" w:type="auto"/>
        <w:tblLayout w:type="fixed"/>
        <w:tblLook w:val="04A0" w:firstRow="1" w:lastRow="0" w:firstColumn="0" w:lastColumn="0" w:noHBand="0" w:noVBand="1"/>
      </w:tblPr>
      <w:tblGrid>
        <w:gridCol w:w="2261"/>
        <w:gridCol w:w="1344"/>
        <w:gridCol w:w="1081"/>
        <w:gridCol w:w="4674"/>
      </w:tblGrid>
      <w:tr>
        <w:trPr>
          <w:tblHeader/>
        </w:trPr>
        <w:tc>
          <w:tcPr>
            <w:tcW w:w="2261" w:type="dxa"/>
            <w:shd w:val="clear" w:color="auto" w:fill="F2F2F2"/>
          </w:tcPr>
          <w:p>
            <w:pPr/>
            <w:r>
              <w:t xml:space="preserve">Risk</w:t>
            </w:r>
          </w:p>
        </w:tc>
        <w:tc>
          <w:tcPr>
            <w:tcW w:w="1344" w:type="dxa"/>
            <w:shd w:val="clear" w:color="auto" w:fill="F2F2F2"/>
          </w:tcPr>
          <w:p>
            <w:pPr/>
            <w:r>
              <w:t xml:space="preserve">Likelihood</w:t>
            </w:r>
          </w:p>
        </w:tc>
        <w:tc>
          <w:tcPr>
            <w:tcW w:w="1081" w:type="dxa"/>
            <w:shd w:val="clear" w:color="auto" w:fill="F2F2F2"/>
          </w:tcPr>
          <w:p>
            <w:pPr/>
            <w:r>
              <w:t xml:space="preserve">Impact</w:t>
            </w:r>
          </w:p>
        </w:tc>
        <w:tc>
          <w:tcPr>
            <w:tcW w:w="4674" w:type="dxa"/>
            <w:shd w:val="clear" w:color="auto" w:fill="F2F2F2"/>
          </w:tcPr>
          <w:p>
            <w:pPr/>
            <w:r>
              <w:t xml:space="preserve">Mitigation</w:t>
            </w:r>
          </w:p>
        </w:tc>
      </w:tr>
      <w:tr>
        <w:tc>
          <w:tcPr>
            <w:tcW w:w="2261" w:type="dxa"/>
          </w:tcPr>
          <w:p>
            <w:pPr/>
            <w:r>
              <w:t xml:space="preserve">FX loss between rate lock and vendor payout</w:t>
            </w:r>
          </w:p>
        </w:tc>
        <w:tc>
          <w:tcPr>
            <w:tcW w:w="1344" w:type="dxa"/>
          </w:tcPr>
          <w:p>
            <w:pPr/>
            <w:r>
              <w:t xml:space="preserve">High</w:t>
            </w:r>
          </w:p>
        </w:tc>
        <w:tc>
          <w:tcPr>
            <w:tcW w:w="1081" w:type="dxa"/>
          </w:tcPr>
          <w:p>
            <w:pPr/>
            <w:r>
              <w:t xml:space="preserve">Medium</w:t>
            </w:r>
          </w:p>
        </w:tc>
        <w:tc>
          <w:tcPr>
            <w:tcW w:w="4674" w:type="dxa"/>
          </w:tcPr>
          <w:p>
            <w:pPr/>
            <w:r>
              <w:t xml:space="preserve">Spread on the quoted rate, short payout cycles, daily FX exposure report, and a cap on cross-currency volume per day</w:t>
            </w:r>
          </w:p>
        </w:tc>
      </w:tr>
      <w:tr>
        <w:tc>
          <w:tcPr>
            <w:tcW w:w="2261" w:type="dxa"/>
          </w:tcPr>
          <w:p>
            <w:pPr/>
            <w:r>
              <w:t xml:space="preserve">Gateway outage or decline spike in one market</w:t>
            </w:r>
          </w:p>
        </w:tc>
        <w:tc>
          <w:tcPr>
            <w:tcW w:w="1344" w:type="dxa"/>
          </w:tcPr>
          <w:p>
            <w:pPr/>
            <w:r>
              <w:t xml:space="preserve">Medium</w:t>
            </w:r>
          </w:p>
        </w:tc>
        <w:tc>
          <w:tcPr>
            <w:tcW w:w="1081" w:type="dxa"/>
          </w:tcPr>
          <w:p>
            <w:pPr/>
            <w:r>
              <w:t xml:space="preserve">High</w:t>
            </w:r>
          </w:p>
        </w:tc>
        <w:tc>
          <w:tcPr>
            <w:tcW w:w="4674" w:type="dxa"/>
          </w:tcPr>
          <w:p>
            <w:pPr/>
            <w:r>
              <w:t xml:space="preserve">Fallback gateway per route, with an automatic switch when success rate drops below the threshold over 15 minutes</w:t>
            </w:r>
          </w:p>
        </w:tc>
      </w:tr>
      <w:tr>
        <w:tc>
          <w:tcPr>
            <w:tcW w:w="2261" w:type="dxa"/>
          </w:tcPr>
          <w:p>
            <w:pPr/>
            <w:r>
              <w:t xml:space="preserve">Webhook loss or duplication leading to wrong order state</w:t>
            </w:r>
          </w:p>
        </w:tc>
        <w:tc>
          <w:tcPr>
            <w:tcW w:w="1344" w:type="dxa"/>
          </w:tcPr>
          <w:p>
            <w:pPr/>
            <w:r>
              <w:t xml:space="preserve">Medium</w:t>
            </w:r>
          </w:p>
        </w:tc>
        <w:tc>
          <w:tcPr>
            <w:tcW w:w="1081" w:type="dxa"/>
          </w:tcPr>
          <w:p>
            <w:pPr/>
            <w:r>
              <w:t xml:space="preserve">High</w:t>
            </w:r>
          </w:p>
        </w:tc>
        <w:tc>
          <w:tcPr>
            <w:tcW w:w="4674" w:type="dxa"/>
          </w:tcPr>
          <w:p>
            <w:pPr/>
            <w:r>
              <w:t xml:space="preserve">Idempotency keys, verify-before-fulfil, and a 5-minute reconciliation poller for pending payments</w:t>
            </w:r>
          </w:p>
        </w:tc>
      </w:tr>
      <w:tr>
        <w:tc>
          <w:tcPr>
            <w:tcW w:w="2261" w:type="dxa"/>
          </w:tcPr>
          <w:p>
            <w:pPr/>
            <w:r>
              <w:t xml:space="preserve">Vendor fraud (fake listings, non-delivery)</w:t>
            </w:r>
          </w:p>
        </w:tc>
        <w:tc>
          <w:tcPr>
            <w:tcW w:w="1344" w:type="dxa"/>
          </w:tcPr>
          <w:p>
            <w:pPr/>
            <w:r>
              <w:t xml:space="preserve">Medium</w:t>
            </w:r>
          </w:p>
        </w:tc>
        <w:tc>
          <w:tcPr>
            <w:tcW w:w="1081" w:type="dxa"/>
          </w:tcPr>
          <w:p>
            <w:pPr/>
            <w:r>
              <w:t xml:space="preserve">High</w:t>
            </w:r>
          </w:p>
        </w:tc>
        <w:tc>
          <w:tcPr>
            <w:tcW w:w="4674" w:type="dxa"/>
          </w:tcPr>
          <w:p>
            <w:pPr/>
            <w:r>
              <w:t xml:space="preserve">KYB, payout hold for new vendors, listing approval, buyer protection window</w:t>
            </w:r>
          </w:p>
        </w:tc>
      </w:tr>
      <w:tr>
        <w:tc>
          <w:tcPr>
            <w:tcW w:w="2261" w:type="dxa"/>
          </w:tcPr>
          <w:p>
            <w:pPr/>
            <w:r>
              <w:t xml:space="preserve">Regulatory change on FX repatriation (CBN) or payment licensing</w:t>
            </w:r>
          </w:p>
        </w:tc>
        <w:tc>
          <w:tcPr>
            <w:tcW w:w="1344" w:type="dxa"/>
          </w:tcPr>
          <w:p>
            <w:pPr/>
            <w:r>
              <w:t xml:space="preserve">Medium</w:t>
            </w:r>
          </w:p>
        </w:tc>
        <w:tc>
          <w:tcPr>
            <w:tcW w:w="1081" w:type="dxa"/>
          </w:tcPr>
          <w:p>
            <w:pPr/>
            <w:r>
              <w:t xml:space="preserve">High</w:t>
            </w:r>
          </w:p>
        </w:tc>
        <w:tc>
          <w:tcPr>
            <w:tcW w:w="4674" w:type="dxa"/>
          </w:tcPr>
          <w:p>
            <w:pPr/>
            <w:r>
              <w:t xml:space="preserve">Convie stays a merchant on licensed gateways rather than a payment service provider, with legal review before each new market</w:t>
            </w:r>
          </w:p>
        </w:tc>
      </w:tr>
      <w:tr>
        <w:tc>
          <w:tcPr>
            <w:tcW w:w="2261" w:type="dxa"/>
          </w:tcPr>
          <w:p>
            <w:pPr/>
            <w:r>
              <w:t xml:space="preserve">Microservice sprawl slowing a small team</w:t>
            </w:r>
          </w:p>
        </w:tc>
        <w:tc>
          <w:tcPr>
            <w:tcW w:w="1344" w:type="dxa"/>
          </w:tcPr>
          <w:p>
            <w:pPr/>
            <w:r>
              <w:t xml:space="preserve">High</w:t>
            </w:r>
          </w:p>
        </w:tc>
        <w:tc>
          <w:tcPr>
            <w:tcW w:w="1081" w:type="dxa"/>
          </w:tcPr>
          <w:p>
            <w:pPr/>
            <w:r>
              <w:t xml:space="preserve">Medium</w:t>
            </w:r>
          </w:p>
        </w:tc>
        <w:tc>
          <w:tcPr>
            <w:tcW w:w="4674" w:type="dxa"/>
          </w:tcPr>
          <w:p>
            <w:pPr/>
            <w:r>
              <w:t xml:space="preserve">Add services only where data ownership differs. Admin, notification and review can start inside existing services.</w:t>
            </w:r>
          </w:p>
        </w:tc>
      </w:tr>
    </w:tbl>
    <w:p>
      <w:pPr/>
      <w:r>
        <w:rPr>
          <w:b/>
        </w:rPr>
        <w:t xml:space="preserve">Open questions</w:t>
      </w:r>
    </w:p>
    <w:p>
      <w:pPr>
        <w:pStyle w:val="ListParagraph"/>
        <w:numPr>
          <w:ilvl w:val="0"/>
          <w:numId w:val="8"/>
        </w:numPr>
      </w:pPr>
      <w:r>
        <w:t xml:space="preserve">☐ Q1: Will Convie register a UK or US entity to use Stripe, or route all international cards through Flutterwave?</w:t>
      </w:r>
    </w:p>
    <w:p>
      <w:pPr>
        <w:pStyle w:val="ListParagraph"/>
        <w:numPr>
          <w:ilvl w:val="0"/>
          <w:numId w:val="8"/>
        </w:numPr>
      </w:pPr>
      <w:r>
        <w:t xml:space="preserve">☐ Q2: Which product branch is the base: </w:t>
      </w:r>
      <w:r>
        <w:rPr>
          <w:rStyle w:val="CodeChar"/>
        </w:rPr>
        <w:t xml:space="preserve">feature/product-service-api</w:t>
      </w:r>
      <w:r>
        <w:t xml:space="preserve"> or </w:t>
      </w:r>
      <w:r>
        <w:rPr>
          <w:rStyle w:val="CodeChar"/>
        </w:rPr>
        <w:t xml:space="preserve">feat/product-service-wiring</w:t>
      </w:r>
      <w:r>
        <w:t xml:space="preserve">?</w:t>
      </w:r>
    </w:p>
    <w:p>
      <w:pPr>
        <w:pStyle w:val="ListParagraph"/>
        <w:numPr>
          <w:ilvl w:val="0"/>
          <w:numId w:val="8"/>
        </w:numPr>
      </w:pPr>
      <w:r>
        <w:t xml:space="preserve">☐ Q3: What role does the </w:t>
      </w:r>
      <w:r>
        <w:rPr>
          <w:rStyle w:val="CodeChar"/>
        </w:rPr>
        <w:t xml:space="preserve">convie</w:t>
      </w:r>
      <w:r>
        <w:t xml:space="preserve"> app play: front end, BFF or retired?</w:t>
      </w:r>
    </w:p>
    <w:p>
      <w:pPr>
        <w:pStyle w:val="ListParagraph"/>
        <w:numPr>
          <w:ilvl w:val="0"/>
          <w:numId w:val="8"/>
        </w:numPr>
      </w:pPr>
      <w:r>
        <w:t xml:space="preserve">☐ Q4: Who carries gateway fees and FX spread, Convie or the vendor? This affects pricing transparency.</w:t>
      </w:r>
    </w:p>
    <w:p>
      <w:pPr>
        <w:pStyle w:val="ListParagraph"/>
        <w:numPr>
          <w:ilvl w:val="0"/>
          <w:numId w:val="8"/>
        </w:numPr>
      </w:pPr>
      <w:r>
        <w:t xml:space="preserve">☐ Q5: Is VAT collected per destination (UK, EU OSS) at launch, or are those buyers held back to phase 2?</w:t>
      </w:r>
    </w:p>
    <w:p>
      <w:pPr>
        <w:pStyle w:val="ListParagraph"/>
        <w:numPr>
          <w:ilvl w:val="0"/>
          <w:numId w:val="8"/>
        </w:numPr>
      </w:pPr>
      <w:r>
        <w:t xml:space="preserve">☐ Q6: Is there an event bus choice? Redis Streams (already running) or RabbitMQ.</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0"/>
  </w:num>
  <w:num w:numId="3">
    <w:abstractNumId w:val="1"/>
    <w:lvlOverride w:ilvl="0">
      <w:startOverride w:val="1"/>
    </w:lvlOverride>
  </w:num>
  <w:num w:numId="4">
    <w:abstractNumId w:val="0"/>
  </w:num>
  <w:num w:numId="5">
    <w:abstractNumId w:val="0"/>
  </w:num>
  <w:num w:numId="6">
    <w:abstractNumId w:val="0"/>
  </w:num>
  <w:num w:numId="7">
    <w:abstractNumId w:val="0"/>
  </w:num>
  <w:num w:numId="8">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image" Target="media/image1.png"/><Relationship Id="rId4" Type="http://schemas.openxmlformats.org/officeDocument/2006/relationships/image" Target="media/image2.png"/><Relationship Id="rId5" Type="http://schemas.openxmlformats.org/officeDocument/2006/relationships/image" Target="media/image3.png"/></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Convie Multivendor Marketplace PRD</dc:title>
  <dc:description>Claude Docs node/a213e0b5-4b83@12 docx-w7</dc:description>
  <cp:revision>12</cp:revision>
</cp:coreProperties>
</file>