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Convie Multivendor Marketplace BRD</w:t>
      </w:r>
    </w:p>
    <w:p>
      <w:pPr/>
      <w:r>
        <w:t xml:space="preserve">Oct 18, 2026</w:t>
      </w:r>
      <w:r>
        <w:t xml:space="preserve"> · </w:t>
      </w:r>
      <w:r>
        <w:t xml:space="preserve">@Prince Efik</w:t>
      </w:r>
    </w:p>
    <w:p>
      <w:pPr>
        <w:pStyle w:val="Heading2"/>
      </w:pPr>
      <w:r>
        <w:t xml:space="preserve">Executive summary</w:t>
      </w:r>
    </w:p>
    <w:p>
      <w:pPr/>
      <w:r>
        <w:t xml:space="preserve">Convie will earn a commission on every order by running a multivendor marketplace for small African vendors. Buyers at home and in the diaspora can pay those vendors in their own currency. The business problem is that these vendors cannot reliably reach buyers outside their country: cross-border card payments fail, FX is opaque, and payouts are slow.</w:t>
      </w:r>
    </w:p>
    <w:p>
      <w:pPr/>
      <w:r>
        <w:t xml:space="preserve">Convie solves this by being the merchant of record on licensed gateways (Paystack, Flutterwave and Stripe), splitting each payment between vendor and platform, and paying vendors locally. This BRD sets the business case, obligations and approvals. The companion PRD sets what the product does.</w:t>
      </w:r>
    </w:p>
    <w:p>
      <w:pPr/>
      <w:r>
        <w:rPr>
          <w:b/>
        </w:rPr>
        <w:t xml:space="preserve">Decision requested:</w:t>
      </w:r>
      <w:r>
        <w:t xml:space="preserve"> approve phases 0 and 1, Foundation and a Nigeria beta from Nov 2026 to Mar 2027, and the open decisions listed under sign-off.</w:t>
      </w:r>
    </w:p>
    <w:p>
      <w:pPr>
        <w:pStyle w:val="Heading2"/>
      </w:pPr>
      <w:r>
        <w:t xml:space="preserve">Business objectives</w:t>
      </w:r>
    </w:p>
    <w:tbl>
      <w:tblPr>
        <w:tblStyle w:val="TableGrid"/>
        <w:tblW w:w="0" w:type="auto"/>
        <w:tblLayout w:type="fixed"/>
        <w:tblLook w:val="04A0" w:firstRow="1" w:lastRow="0" w:firstColumn="0" w:lastColumn="0" w:noHBand="0" w:noVBand="1"/>
      </w:tblPr>
      <w:tblGrid>
        <w:gridCol w:w="749"/>
        <w:gridCol w:w="2400"/>
        <w:gridCol w:w="3158"/>
        <w:gridCol w:w="1735"/>
        <w:gridCol w:w="1318"/>
      </w:tblGrid>
      <w:tr>
        <w:trPr>
          <w:tblHeader/>
        </w:trPr>
        <w:tc>
          <w:tcPr>
            <w:tcW w:w="749" w:type="dxa"/>
            <w:shd w:val="clear" w:color="auto" w:fill="F2F2F2"/>
          </w:tcPr>
          <w:p>
            <w:pPr/>
            <w:r>
              <w:t xml:space="preserve">ID</w:t>
            </w:r>
          </w:p>
        </w:tc>
        <w:tc>
          <w:tcPr>
            <w:tcW w:w="2400" w:type="dxa"/>
            <w:shd w:val="clear" w:color="auto" w:fill="F2F2F2"/>
          </w:tcPr>
          <w:p>
            <w:pPr/>
            <w:r>
              <w:t xml:space="preserve">Objective</w:t>
            </w:r>
          </w:p>
        </w:tc>
        <w:tc>
          <w:tcPr>
            <w:tcW w:w="3158" w:type="dxa"/>
            <w:shd w:val="clear" w:color="auto" w:fill="F2F2F2"/>
          </w:tcPr>
          <w:p>
            <w:pPr/>
            <w:r>
              <w:t xml:space="preserve">Measure</w:t>
            </w:r>
          </w:p>
        </w:tc>
        <w:tc>
          <w:tcPr>
            <w:tcW w:w="1735" w:type="dxa"/>
            <w:shd w:val="clear" w:color="auto" w:fill="F2F2F2"/>
          </w:tcPr>
          <w:p>
            <w:pPr/>
            <w:r>
              <w:t xml:space="preserve">Target</w:t>
            </w:r>
          </w:p>
        </w:tc>
        <w:tc>
          <w:tcPr>
            <w:tcW w:w="1318" w:type="dxa"/>
            <w:shd w:val="clear" w:color="auto" w:fill="F2F2F2"/>
          </w:tcPr>
          <w:p>
            <w:pPr/>
            <w:r>
              <w:t xml:space="preserve">By</w:t>
            </w:r>
          </w:p>
        </w:tc>
      </w:tr>
      <w:tr>
        <w:tc>
          <w:tcPr>
            <w:tcW w:w="749" w:type="dxa"/>
          </w:tcPr>
          <w:p>
            <w:pPr/>
            <w:r>
              <w:t xml:space="preserve">BO-1</w:t>
            </w:r>
          </w:p>
        </w:tc>
        <w:tc>
          <w:tcPr>
            <w:tcW w:w="2400" w:type="dxa"/>
          </w:tcPr>
          <w:p>
            <w:pPr/>
            <w:r>
              <w:t xml:space="preserve">Build vendor supply</w:t>
            </w:r>
          </w:p>
        </w:tc>
        <w:tc>
          <w:tcPr>
            <w:tcW w:w="3158" w:type="dxa"/>
          </w:tcPr>
          <w:p>
            <w:pPr/>
            <w:r>
              <w:t xml:space="preserve">Active vendors (≥ 1 sale in 30 days)</w:t>
            </w:r>
          </w:p>
        </w:tc>
        <w:tc>
          <w:tcPr>
            <w:tcW w:w="1735" w:type="dxa"/>
          </w:tcPr>
          <w:p>
            <w:pPr/>
            <w:r>
              <w:t xml:space="preserve">300</w:t>
            </w:r>
          </w:p>
        </w:tc>
        <w:tc>
          <w:tcPr>
            <w:tcW w:w="1318" w:type="dxa"/>
          </w:tcPr>
          <w:p>
            <w:pPr/>
            <w:r>
              <w:t xml:space="preserve">6 months after GA</w:t>
            </w:r>
          </w:p>
        </w:tc>
      </w:tr>
      <w:tr>
        <w:tc>
          <w:tcPr>
            <w:tcW w:w="749" w:type="dxa"/>
          </w:tcPr>
          <w:p>
            <w:pPr/>
            <w:r>
              <w:t xml:space="preserve">BO-2</w:t>
            </w:r>
          </w:p>
        </w:tc>
        <w:tc>
          <w:tcPr>
            <w:tcW w:w="2400" w:type="dxa"/>
          </w:tcPr>
          <w:p>
            <w:pPr/>
            <w:r>
              <w:t xml:space="preserve">Prove demand across borders</w:t>
            </w:r>
          </w:p>
        </w:tc>
        <w:tc>
          <w:tcPr>
            <w:tcW w:w="3158" w:type="dxa"/>
          </w:tcPr>
          <w:p>
            <w:pPr/>
            <w:r>
              <w:t xml:space="preserve">Share of GMV from buyers outside the vendor's country</w:t>
            </w:r>
          </w:p>
        </w:tc>
        <w:tc>
          <w:tcPr>
            <w:tcW w:w="1735" w:type="dxa"/>
          </w:tcPr>
          <w:p>
            <w:pPr/>
            <w:r>
              <w:t xml:space="preserve">≥ 25%</w:t>
            </w:r>
          </w:p>
        </w:tc>
        <w:tc>
          <w:tcPr>
            <w:tcW w:w="1318" w:type="dxa"/>
          </w:tcPr>
          <w:p>
            <w:pPr/>
            <w:r>
              <w:t xml:space="preserve">6 months after GA</w:t>
            </w:r>
          </w:p>
        </w:tc>
      </w:tr>
      <w:tr>
        <w:tc>
          <w:tcPr>
            <w:tcW w:w="749" w:type="dxa"/>
          </w:tcPr>
          <w:p>
            <w:pPr/>
            <w:r>
              <w:t xml:space="preserve">BO-3</w:t>
            </w:r>
          </w:p>
        </w:tc>
        <w:tc>
          <w:tcPr>
            <w:tcW w:w="2400" w:type="dxa"/>
          </w:tcPr>
          <w:p>
            <w:pPr/>
            <w:r>
              <w:t xml:space="preserve">Reach transaction scale</w:t>
            </w:r>
          </w:p>
        </w:tc>
        <w:tc>
          <w:tcPr>
            <w:tcW w:w="3158" w:type="dxa"/>
          </w:tcPr>
          <w:p>
            <w:pPr/>
            <w:r>
              <w:t xml:space="preserve">Cumulative GMV</w:t>
            </w:r>
          </w:p>
        </w:tc>
        <w:tc>
          <w:tcPr>
            <w:tcW w:w="1735" w:type="dxa"/>
          </w:tcPr>
          <w:p>
            <w:pPr/>
            <w:r>
              <w:t xml:space="preserve">$250k</w:t>
            </w:r>
          </w:p>
        </w:tc>
        <w:tc>
          <w:tcPr>
            <w:tcW w:w="1318" w:type="dxa"/>
          </w:tcPr>
          <w:p>
            <w:pPr/>
            <w:r>
              <w:t xml:space="preserve">6 months after GA</w:t>
            </w:r>
          </w:p>
        </w:tc>
      </w:tr>
      <w:tr>
        <w:tc>
          <w:tcPr>
            <w:tcW w:w="749" w:type="dxa"/>
          </w:tcPr>
          <w:p>
            <w:pPr/>
            <w:r>
              <w:t xml:space="preserve">BO-4</w:t>
            </w:r>
          </w:p>
        </w:tc>
        <w:tc>
          <w:tcPr>
            <w:tcW w:w="2400" w:type="dxa"/>
          </w:tcPr>
          <w:p>
            <w:pPr/>
            <w:r>
              <w:t xml:space="preserve">Earn a positive contribution margin per order</w:t>
            </w:r>
          </w:p>
        </w:tc>
        <w:tc>
          <w:tcPr>
            <w:tcW w:w="3158" w:type="dxa"/>
          </w:tcPr>
          <w:p>
            <w:pPr/>
            <w:r>
              <w:t xml:space="preserve">Take rate minus gateway fees, FX cost and refunds</w:t>
            </w:r>
          </w:p>
        </w:tc>
        <w:tc>
          <w:tcPr>
            <w:tcW w:w="1735" w:type="dxa"/>
          </w:tcPr>
          <w:p>
            <w:pPr/>
            <w:r>
              <w:t xml:space="preserve">≥ 4% of GMV</w:t>
            </w:r>
          </w:p>
        </w:tc>
        <w:tc>
          <w:tcPr>
            <w:tcW w:w="1318" w:type="dxa"/>
          </w:tcPr>
          <w:p>
            <w:pPr/>
            <w:r>
              <w:t xml:space="preserve">Phase 2 exit</w:t>
            </w:r>
          </w:p>
        </w:tc>
      </w:tr>
      <w:tr>
        <w:tc>
          <w:tcPr>
            <w:tcW w:w="749" w:type="dxa"/>
          </w:tcPr>
          <w:p>
            <w:pPr/>
            <w:r>
              <w:t xml:space="preserve">BO-5</w:t>
            </w:r>
          </w:p>
        </w:tc>
        <w:tc>
          <w:tcPr>
            <w:tcW w:w="2400" w:type="dxa"/>
          </w:tcPr>
          <w:p>
            <w:pPr/>
            <w:r>
              <w:t xml:space="preserve">Earn vendor trust</w:t>
            </w:r>
          </w:p>
        </w:tc>
        <w:tc>
          <w:tcPr>
            <w:tcW w:w="3158" w:type="dxa"/>
          </w:tcPr>
          <w:p>
            <w:pPr/>
            <w:r>
              <w:t xml:space="preserve">Payouts on time</w:t>
            </w:r>
          </w:p>
        </w:tc>
        <w:tc>
          <w:tcPr>
            <w:tcW w:w="1735" w:type="dxa"/>
          </w:tcPr>
          <w:p>
            <w:pPr/>
            <w:r>
              <w:t xml:space="preserve">≥ 99%</w:t>
            </w:r>
          </w:p>
        </w:tc>
        <w:tc>
          <w:tcPr>
            <w:tcW w:w="1318" w:type="dxa"/>
          </w:tcPr>
          <w:p>
            <w:pPr/>
            <w:r>
              <w:t xml:space="preserve">From phase 1</w:t>
            </w:r>
          </w:p>
        </w:tc>
      </w:tr>
      <w:tr>
        <w:tc>
          <w:tcPr>
            <w:tcW w:w="749" w:type="dxa"/>
          </w:tcPr>
          <w:p>
            <w:pPr/>
            <w:r>
              <w:t xml:space="preserve">BO-6</w:t>
            </w:r>
          </w:p>
        </w:tc>
        <w:tc>
          <w:tcPr>
            <w:tcW w:w="2400" w:type="dxa"/>
          </w:tcPr>
          <w:p>
            <w:pPr/>
            <w:r>
              <w:t xml:space="preserve">Keep financial and regulatory standing</w:t>
            </w:r>
          </w:p>
        </w:tc>
        <w:tc>
          <w:tcPr>
            <w:tcW w:w="3158" w:type="dxa"/>
          </w:tcPr>
          <w:p>
            <w:pPr/>
            <w:r>
              <w:t xml:space="preserve">Unresolved reconciliation breaks after 48 h; chargeback rate</w:t>
            </w:r>
          </w:p>
        </w:tc>
        <w:tc>
          <w:tcPr>
            <w:tcW w:w="1735" w:type="dxa"/>
          </w:tcPr>
          <w:p>
            <w:pPr/>
            <w:r>
              <w:t xml:space="preserve">0; &lt; 0.5%</w:t>
            </w:r>
          </w:p>
        </w:tc>
        <w:tc>
          <w:tcPr>
            <w:tcW w:w="1318" w:type="dxa"/>
          </w:tcPr>
          <w:p>
            <w:pPr/>
            <w:r>
              <w:t xml:space="preserve">Always</w:t>
            </w:r>
          </w:p>
        </w:tc>
      </w:tr>
    </w:tbl>
    <w:p>
      <w:pPr>
        <w:pStyle w:val="Heading2"/>
      </w:pPr>
      <w:r>
        <w:t xml:space="preserve">Business scope</w:t>
      </w:r>
    </w:p>
    <w:p>
      <w:pPr/>
      <w:r>
        <w:rPr>
          <w:b/>
        </w:rPr>
        <w:t xml:space="preserve">In scope</w:t>
      </w:r>
    </w:p>
    <w:p>
      <w:pPr>
        <w:pStyle w:val="ListParagraph"/>
        <w:numPr>
          <w:ilvl w:val="0"/>
          <w:numId w:val="2"/>
        </w:numPr>
      </w:pPr>
      <w:r>
        <w:t xml:space="preserve">Vendor recruitment, onboarding and KYC/KYB in Nigeria, Ghana and Kenya</w:t>
      </w:r>
    </w:p>
    <w:p>
      <w:pPr>
        <w:pStyle w:val="ListParagraph"/>
        <w:numPr>
          <w:ilvl w:val="0"/>
          <w:numId w:val="2"/>
        </w:numPr>
      </w:pPr>
      <w:r>
        <w:t xml:space="preserve">A marketplace for physical goods shipped by vendors</w:t>
      </w:r>
    </w:p>
    <w:p>
      <w:pPr>
        <w:pStyle w:val="ListParagraph"/>
        <w:numPr>
          <w:ilvl w:val="0"/>
          <w:numId w:val="2"/>
        </w:numPr>
      </w:pPr>
      <w:r>
        <w:t xml:space="preserve">Buyer payments in NGN, GHS, KES, GBP, EUR and USD</w:t>
      </w:r>
    </w:p>
    <w:p>
      <w:pPr>
        <w:pStyle w:val="ListParagraph"/>
        <w:numPr>
          <w:ilvl w:val="0"/>
          <w:numId w:val="2"/>
        </w:numPr>
      </w:pPr>
      <w:r>
        <w:t xml:space="preserve">Commission-based revenue, vendor payouts in local currency, refunds and disputes</w:t>
      </w:r>
    </w:p>
    <w:p>
      <w:pPr>
        <w:pStyle w:val="ListParagraph"/>
        <w:numPr>
          <w:ilvl w:val="0"/>
          <w:numId w:val="2"/>
        </w:numPr>
      </w:pPr>
      <w:r>
        <w:t xml:space="preserve">Finance operations: daily reconciliation, FX exposure reporting, tax collection where Convie is liable</w:t>
      </w:r>
    </w:p>
    <w:p>
      <w:pPr/>
      <w:r>
        <w:rPr>
          <w:b/>
        </w:rPr>
        <w:t xml:space="preserve">Out of scope</w:t>
      </w:r>
    </w:p>
    <w:p>
      <w:pPr>
        <w:pStyle w:val="ListParagraph"/>
        <w:numPr>
          <w:ilvl w:val="0"/>
          <w:numId w:val="3"/>
        </w:numPr>
      </w:pPr>
      <w:r>
        <w:t xml:space="preserve">Convie-run warehousing or delivery</w:t>
      </w:r>
    </w:p>
    <w:p>
      <w:pPr>
        <w:pStyle w:val="ListParagraph"/>
        <w:numPr>
          <w:ilvl w:val="0"/>
          <w:numId w:val="3"/>
        </w:numPr>
      </w:pPr>
      <w:r>
        <w:t xml:space="preserve">Digital goods, services, regulated goods (alcohol, pharmaceuticals, weapons)</w:t>
      </w:r>
    </w:p>
    <w:p>
      <w:pPr>
        <w:pStyle w:val="ListParagraph"/>
        <w:numPr>
          <w:ilvl w:val="0"/>
          <w:numId w:val="3"/>
        </w:numPr>
      </w:pPr>
      <w:r>
        <w:t xml:space="preserve">Buyer wallets, credit, BNPL or crypto</w:t>
      </w:r>
    </w:p>
    <w:p>
      <w:pPr>
        <w:pStyle w:val="ListParagraph"/>
        <w:numPr>
          <w:ilvl w:val="0"/>
          <w:numId w:val="3"/>
        </w:numPr>
      </w:pPr>
      <w:r>
        <w:t xml:space="preserve">Vendors outside the three launch countries</w:t>
      </w:r>
    </w:p>
    <w:p>
      <w:pPr>
        <w:pStyle w:val="ListParagraph"/>
        <w:numPr>
          <w:ilvl w:val="0"/>
          <w:numId w:val="3"/>
        </w:numPr>
      </w:pPr>
      <w:r>
        <w:t xml:space="preserve">Holding a payment licence. Convie stays a merchant on licensed gateways.</w:t>
      </w:r>
    </w:p>
    <w:p>
      <w:pPr>
        <w:pStyle w:val="Heading2"/>
      </w:pPr>
      <w:r>
        <w:t xml:space="preserve">Stakeholders</w:t>
      </w:r>
    </w:p>
    <w:p>
      <w:pPr/>
      <w:r>
        <w:t xml:space="preserve">R = responsible, A = accountable, C = consulted, I = informed. Names are to be filled in. Today one person may hold several roles.</w:t>
      </w:r>
    </w:p>
    <w:tbl>
      <w:tblPr>
        <w:tblStyle w:val="TableGrid"/>
        <w:tblW w:w="0" w:type="auto"/>
        <w:tblLayout w:type="fixed"/>
        <w:tblLook w:val="04A0" w:firstRow="1" w:lastRow="0" w:firstColumn="0" w:lastColumn="0" w:noHBand="0" w:noVBand="1"/>
      </w:tblPr>
      <w:tblGrid>
        <w:gridCol w:w="3028"/>
        <w:gridCol w:w="1027"/>
        <w:gridCol w:w="1463"/>
        <w:gridCol w:w="1067"/>
        <w:gridCol w:w="1431"/>
        <w:gridCol w:w="1344"/>
      </w:tblGrid>
      <w:tr>
        <w:trPr>
          <w:tblHeader/>
        </w:trPr>
        <w:tc>
          <w:tcPr>
            <w:tcW w:w="3028" w:type="dxa"/>
            <w:shd w:val="clear" w:color="auto" w:fill="F2F2F2"/>
          </w:tcPr>
          <w:p>
            <w:pPr/>
            <w:r>
              <w:t xml:space="preserve">Decision area</w:t>
            </w:r>
          </w:p>
        </w:tc>
        <w:tc>
          <w:tcPr>
            <w:tcW w:w="1027" w:type="dxa"/>
            <w:shd w:val="clear" w:color="auto" w:fill="F2F2F2"/>
          </w:tcPr>
          <w:p>
            <w:pPr/>
            <w:r>
              <w:t xml:space="preserve">Product owner</w:t>
            </w:r>
          </w:p>
        </w:tc>
        <w:tc>
          <w:tcPr>
            <w:tcW w:w="1463" w:type="dxa"/>
            <w:shd w:val="clear" w:color="auto" w:fill="F2F2F2"/>
          </w:tcPr>
          <w:p>
            <w:pPr/>
            <w:r>
              <w:t xml:space="preserve">Engineering lead</w:t>
            </w:r>
          </w:p>
        </w:tc>
        <w:tc>
          <w:tcPr>
            <w:tcW w:w="1067" w:type="dxa"/>
            <w:shd w:val="clear" w:color="auto" w:fill="F2F2F2"/>
          </w:tcPr>
          <w:p>
            <w:pPr/>
            <w:r>
              <w:t xml:space="preserve">Finance</w:t>
            </w:r>
          </w:p>
        </w:tc>
        <w:tc>
          <w:tcPr>
            <w:tcW w:w="1431" w:type="dxa"/>
            <w:shd w:val="clear" w:color="auto" w:fill="F2F2F2"/>
          </w:tcPr>
          <w:p>
            <w:pPr/>
            <w:r>
              <w:t xml:space="preserve">Legal and compliance</w:t>
            </w:r>
          </w:p>
        </w:tc>
        <w:tc>
          <w:tcPr>
            <w:tcW w:w="1344" w:type="dxa"/>
            <w:shd w:val="clear" w:color="auto" w:fill="F2F2F2"/>
          </w:tcPr>
          <w:p>
            <w:pPr/>
            <w:r>
              <w:t xml:space="preserve">Operations</w:t>
            </w:r>
          </w:p>
        </w:tc>
      </w:tr>
      <w:tr>
        <w:tc>
          <w:tcPr>
            <w:tcW w:w="3028" w:type="dxa"/>
          </w:tcPr>
          <w:p>
            <w:pPr/>
            <w:r>
              <w:t xml:space="preserve">Scope and priorities</w:t>
            </w:r>
          </w:p>
        </w:tc>
        <w:tc>
          <w:tcPr>
            <w:tcW w:w="1027" w:type="dxa"/>
          </w:tcPr>
          <w:p>
            <w:pPr/>
            <w:r>
              <w:t xml:space="preserve">A</w:t>
            </w:r>
          </w:p>
        </w:tc>
        <w:tc>
          <w:tcPr>
            <w:tcW w:w="1463" w:type="dxa"/>
          </w:tcPr>
          <w:p>
            <w:pPr/>
            <w:r>
              <w:t xml:space="preserve">C</w:t>
            </w:r>
          </w:p>
        </w:tc>
        <w:tc>
          <w:tcPr>
            <w:tcW w:w="1067" w:type="dxa"/>
          </w:tcPr>
          <w:p>
            <w:pPr/>
            <w:r>
              <w:t xml:space="preserve">C</w:t>
            </w:r>
          </w:p>
        </w:tc>
        <w:tc>
          <w:tcPr>
            <w:tcW w:w="1431" w:type="dxa"/>
          </w:tcPr>
          <w:p>
            <w:pPr/>
            <w:r>
              <w:t xml:space="preserve">C</w:t>
            </w:r>
          </w:p>
        </w:tc>
        <w:tc>
          <w:tcPr>
            <w:tcW w:w="1344" w:type="dxa"/>
          </w:tcPr>
          <w:p>
            <w:pPr/>
            <w:r>
              <w:t xml:space="preserve">C</w:t>
            </w:r>
          </w:p>
        </w:tc>
      </w:tr>
      <w:tr>
        <w:tc>
          <w:tcPr>
            <w:tcW w:w="3028" w:type="dxa"/>
          </w:tcPr>
          <w:p>
            <w:pPr/>
            <w:r>
              <w:t xml:space="preserve">Architecture and gateways</w:t>
            </w:r>
          </w:p>
        </w:tc>
        <w:tc>
          <w:tcPr>
            <w:tcW w:w="1027" w:type="dxa"/>
          </w:tcPr>
          <w:p>
            <w:pPr/>
            <w:r>
              <w:t xml:space="preserve">C</w:t>
            </w:r>
          </w:p>
        </w:tc>
        <w:tc>
          <w:tcPr>
            <w:tcW w:w="1463" w:type="dxa"/>
          </w:tcPr>
          <w:p>
            <w:pPr/>
            <w:r>
              <w:t xml:space="preserve">A</w:t>
            </w:r>
          </w:p>
        </w:tc>
        <w:tc>
          <w:tcPr>
            <w:tcW w:w="1067" w:type="dxa"/>
          </w:tcPr>
          <w:p>
            <w:pPr/>
            <w:r>
              <w:t xml:space="preserve">C</w:t>
            </w:r>
          </w:p>
        </w:tc>
        <w:tc>
          <w:tcPr>
            <w:tcW w:w="1431" w:type="dxa"/>
          </w:tcPr>
          <w:p>
            <w:pPr/>
            <w:r>
              <w:t xml:space="preserve">C</w:t>
            </w:r>
          </w:p>
        </w:tc>
        <w:tc>
          <w:tcPr>
            <w:tcW w:w="1344" w:type="dxa"/>
          </w:tcPr>
          <w:p>
            <w:pPr/>
            <w:r>
              <w:t xml:space="preserve">I</w:t>
            </w:r>
          </w:p>
        </w:tc>
      </w:tr>
      <w:tr>
        <w:tc>
          <w:tcPr>
            <w:tcW w:w="3028" w:type="dxa"/>
          </w:tcPr>
          <w:p>
            <w:pPr/>
            <w:r>
              <w:t xml:space="preserve">Commission, fees and pricing</w:t>
            </w:r>
          </w:p>
        </w:tc>
        <w:tc>
          <w:tcPr>
            <w:tcW w:w="1027" w:type="dxa"/>
          </w:tcPr>
          <w:p>
            <w:pPr/>
            <w:r>
              <w:t xml:space="preserve">A</w:t>
            </w:r>
          </w:p>
        </w:tc>
        <w:tc>
          <w:tcPr>
            <w:tcW w:w="1463" w:type="dxa"/>
          </w:tcPr>
          <w:p>
            <w:pPr/>
            <w:r>
              <w:t xml:space="preserve">I</w:t>
            </w:r>
          </w:p>
        </w:tc>
        <w:tc>
          <w:tcPr>
            <w:tcW w:w="1067" w:type="dxa"/>
          </w:tcPr>
          <w:p>
            <w:pPr/>
            <w:r>
              <w:t xml:space="preserve">R</w:t>
            </w:r>
          </w:p>
        </w:tc>
        <w:tc>
          <w:tcPr>
            <w:tcW w:w="1431" w:type="dxa"/>
          </w:tcPr>
          <w:p>
            <w:pPr/>
            <w:r>
              <w:t xml:space="preserve">C</w:t>
            </w:r>
          </w:p>
        </w:tc>
        <w:tc>
          <w:tcPr>
            <w:tcW w:w="1344" w:type="dxa"/>
          </w:tcPr>
          <w:p>
            <w:pPr/>
            <w:r>
              <w:t xml:space="preserve">I</w:t>
            </w:r>
          </w:p>
        </w:tc>
      </w:tr>
      <w:tr>
        <w:tc>
          <w:tcPr>
            <w:tcW w:w="3028" w:type="dxa"/>
          </w:tcPr>
          <w:p>
            <w:pPr/>
            <w:r>
              <w:t xml:space="preserve">Vendor KYC policy</w:t>
            </w:r>
          </w:p>
        </w:tc>
        <w:tc>
          <w:tcPr>
            <w:tcW w:w="1027" w:type="dxa"/>
          </w:tcPr>
          <w:p>
            <w:pPr/>
            <w:r>
              <w:t xml:space="preserve">C</w:t>
            </w:r>
          </w:p>
        </w:tc>
        <w:tc>
          <w:tcPr>
            <w:tcW w:w="1463" w:type="dxa"/>
          </w:tcPr>
          <w:p>
            <w:pPr/>
            <w:r>
              <w:t xml:space="preserve">C</w:t>
            </w:r>
          </w:p>
        </w:tc>
        <w:tc>
          <w:tcPr>
            <w:tcW w:w="1067" w:type="dxa"/>
          </w:tcPr>
          <w:p>
            <w:pPr/>
            <w:r>
              <w:t xml:space="preserve">I</w:t>
            </w:r>
          </w:p>
        </w:tc>
        <w:tc>
          <w:tcPr>
            <w:tcW w:w="1431" w:type="dxa"/>
          </w:tcPr>
          <w:p>
            <w:pPr/>
            <w:r>
              <w:t xml:space="preserve">A</w:t>
            </w:r>
          </w:p>
        </w:tc>
        <w:tc>
          <w:tcPr>
            <w:tcW w:w="1344" w:type="dxa"/>
          </w:tcPr>
          <w:p>
            <w:pPr/>
            <w:r>
              <w:t xml:space="preserve">R</w:t>
            </w:r>
          </w:p>
        </w:tc>
      </w:tr>
      <w:tr>
        <w:tc>
          <w:tcPr>
            <w:tcW w:w="3028" w:type="dxa"/>
          </w:tcPr>
          <w:p>
            <w:pPr/>
            <w:r>
              <w:t xml:space="preserve">Payout schedule and holds</w:t>
            </w:r>
          </w:p>
        </w:tc>
        <w:tc>
          <w:tcPr>
            <w:tcW w:w="1027" w:type="dxa"/>
          </w:tcPr>
          <w:p>
            <w:pPr/>
            <w:r>
              <w:t xml:space="preserve">C</w:t>
            </w:r>
          </w:p>
        </w:tc>
        <w:tc>
          <w:tcPr>
            <w:tcW w:w="1463" w:type="dxa"/>
          </w:tcPr>
          <w:p>
            <w:pPr/>
            <w:r>
              <w:t xml:space="preserve">C</w:t>
            </w:r>
          </w:p>
        </w:tc>
        <w:tc>
          <w:tcPr>
            <w:tcW w:w="1067" w:type="dxa"/>
          </w:tcPr>
          <w:p>
            <w:pPr/>
            <w:r>
              <w:t xml:space="preserve">A</w:t>
            </w:r>
          </w:p>
        </w:tc>
        <w:tc>
          <w:tcPr>
            <w:tcW w:w="1431" w:type="dxa"/>
          </w:tcPr>
          <w:p>
            <w:pPr/>
            <w:r>
              <w:t xml:space="preserve">C</w:t>
            </w:r>
          </w:p>
        </w:tc>
        <w:tc>
          <w:tcPr>
            <w:tcW w:w="1344" w:type="dxa"/>
          </w:tcPr>
          <w:p>
            <w:pPr/>
            <w:r>
              <w:t xml:space="preserve">R</w:t>
            </w:r>
          </w:p>
        </w:tc>
      </w:tr>
      <w:tr>
        <w:tc>
          <w:tcPr>
            <w:tcW w:w="3028" w:type="dxa"/>
          </w:tcPr>
          <w:p>
            <w:pPr/>
            <w:r>
              <w:t xml:space="preserve">Market entry (new country)</w:t>
            </w:r>
          </w:p>
        </w:tc>
        <w:tc>
          <w:tcPr>
            <w:tcW w:w="1027" w:type="dxa"/>
          </w:tcPr>
          <w:p>
            <w:pPr/>
            <w:r>
              <w:t xml:space="preserve">A</w:t>
            </w:r>
          </w:p>
        </w:tc>
        <w:tc>
          <w:tcPr>
            <w:tcW w:w="1463" w:type="dxa"/>
          </w:tcPr>
          <w:p>
            <w:pPr/>
            <w:r>
              <w:t xml:space="preserve">C</w:t>
            </w:r>
          </w:p>
        </w:tc>
        <w:tc>
          <w:tcPr>
            <w:tcW w:w="1067" w:type="dxa"/>
          </w:tcPr>
          <w:p>
            <w:pPr/>
            <w:r>
              <w:t xml:space="preserve">C</w:t>
            </w:r>
          </w:p>
        </w:tc>
        <w:tc>
          <w:tcPr>
            <w:tcW w:w="1431" w:type="dxa"/>
          </w:tcPr>
          <w:p>
            <w:pPr/>
            <w:r>
              <w:t xml:space="preserve">R</w:t>
            </w:r>
          </w:p>
        </w:tc>
        <w:tc>
          <w:tcPr>
            <w:tcW w:w="1344" w:type="dxa"/>
          </w:tcPr>
          <w:p>
            <w:pPr/>
            <w:r>
              <w:t xml:space="preserve">C</w:t>
            </w:r>
          </w:p>
        </w:tc>
      </w:tr>
      <w:tr>
        <w:tc>
          <w:tcPr>
            <w:tcW w:w="3028" w:type="dxa"/>
          </w:tcPr>
          <w:p>
            <w:pPr/>
            <w:r>
              <w:t xml:space="preserve">Production release</w:t>
            </w:r>
          </w:p>
        </w:tc>
        <w:tc>
          <w:tcPr>
            <w:tcW w:w="1027" w:type="dxa"/>
          </w:tcPr>
          <w:p>
            <w:pPr/>
            <w:r>
              <w:t xml:space="preserve">C</w:t>
            </w:r>
          </w:p>
        </w:tc>
        <w:tc>
          <w:tcPr>
            <w:tcW w:w="1463" w:type="dxa"/>
          </w:tcPr>
          <w:p>
            <w:pPr/>
            <w:r>
              <w:t xml:space="preserve">A</w:t>
            </w:r>
          </w:p>
        </w:tc>
        <w:tc>
          <w:tcPr>
            <w:tcW w:w="1067" w:type="dxa"/>
          </w:tcPr>
          <w:p>
            <w:pPr/>
            <w:r>
              <w:t xml:space="preserve">I</w:t>
            </w:r>
          </w:p>
        </w:tc>
        <w:tc>
          <w:tcPr>
            <w:tcW w:w="1431" w:type="dxa"/>
          </w:tcPr>
          <w:p>
            <w:pPr/>
            <w:r>
              <w:t xml:space="preserve">I</w:t>
            </w:r>
          </w:p>
        </w:tc>
        <w:tc>
          <w:tcPr>
            <w:tcW w:w="1344" w:type="dxa"/>
          </w:tcPr>
          <w:p>
            <w:pPr/>
            <w:r>
              <w:t xml:space="preserve">I</w:t>
            </w:r>
          </w:p>
        </w:tc>
      </w:tr>
    </w:tbl>
    <w:p>
      <w:pPr>
        <w:pStyle w:val="Heading2"/>
      </w:pPr>
      <w:r>
        <w:t xml:space="preserve">Business requirements</w:t>
      </w:r>
    </w:p>
    <w:p>
      <w:pPr/>
      <w:r>
        <w:t xml:space="preserve">Each business requirement states an outcome the business needs. The PRD column names the product requirements that deliver it.</w:t>
      </w:r>
    </w:p>
    <w:tbl>
      <w:tblPr>
        <w:tblStyle w:val="TableGrid"/>
        <w:tblW w:w="0" w:type="auto"/>
        <w:tblLayout w:type="fixed"/>
        <w:tblLook w:val="04A0" w:firstRow="1" w:lastRow="0" w:firstColumn="0" w:lastColumn="0" w:noHBand="0" w:noVBand="1"/>
      </w:tblPr>
      <w:tblGrid>
        <w:gridCol w:w="868"/>
        <w:gridCol w:w="4833"/>
        <w:gridCol w:w="2208"/>
        <w:gridCol w:w="1451"/>
      </w:tblGrid>
      <w:tr>
        <w:trPr>
          <w:tblHeader/>
        </w:trPr>
        <w:tc>
          <w:tcPr>
            <w:tcW w:w="868" w:type="dxa"/>
            <w:shd w:val="clear" w:color="auto" w:fill="F2F2F2"/>
          </w:tcPr>
          <w:p>
            <w:pPr/>
            <w:r>
              <w:t xml:space="preserve">ID</w:t>
            </w:r>
          </w:p>
        </w:tc>
        <w:tc>
          <w:tcPr>
            <w:tcW w:w="4833" w:type="dxa"/>
            <w:shd w:val="clear" w:color="auto" w:fill="F2F2F2"/>
          </w:tcPr>
          <w:p>
            <w:pPr/>
            <w:r>
              <w:t xml:space="preserve">Business requirement</w:t>
            </w:r>
          </w:p>
        </w:tc>
        <w:tc>
          <w:tcPr>
            <w:tcW w:w="2208" w:type="dxa"/>
            <w:shd w:val="clear" w:color="auto" w:fill="F2F2F2"/>
          </w:tcPr>
          <w:p>
            <w:pPr/>
            <w:r>
              <w:t xml:space="preserve">Rationale</w:t>
            </w:r>
          </w:p>
        </w:tc>
        <w:tc>
          <w:tcPr>
            <w:tcW w:w="1451" w:type="dxa"/>
            <w:shd w:val="clear" w:color="auto" w:fill="F2F2F2"/>
          </w:tcPr>
          <w:p>
            <w:pPr/>
            <w:r>
              <w:t xml:space="preserve">PRD trace</w:t>
            </w:r>
          </w:p>
        </w:tc>
      </w:tr>
      <w:tr>
        <w:tc>
          <w:tcPr>
            <w:tcW w:w="868" w:type="dxa"/>
          </w:tcPr>
          <w:p>
            <w:pPr/>
            <w:r>
              <w:t xml:space="preserve">BR-01</w:t>
            </w:r>
          </w:p>
        </w:tc>
        <w:tc>
          <w:tcPr>
            <w:tcW w:w="4833" w:type="dxa"/>
          </w:tcPr>
          <w:p>
            <w:pPr/>
            <w:r>
              <w:t xml:space="preserve">A vendor in NG, GH or KE can start selling within 48 hours of applying, without staff contact</w:t>
            </w:r>
          </w:p>
        </w:tc>
        <w:tc>
          <w:tcPr>
            <w:tcW w:w="2208" w:type="dxa"/>
          </w:tcPr>
          <w:p>
            <w:pPr/>
            <w:r>
              <w:t xml:space="preserve">Supply growth (BO-1)</w:t>
            </w:r>
          </w:p>
        </w:tc>
        <w:tc>
          <w:tcPr>
            <w:tcW w:w="1451" w:type="dxa"/>
          </w:tcPr>
          <w:p>
            <w:pPr/>
            <w:r>
              <w:t xml:space="preserve">FR-03, FR-04, FR-06</w:t>
            </w:r>
          </w:p>
        </w:tc>
      </w:tr>
      <w:tr>
        <w:tc>
          <w:tcPr>
            <w:tcW w:w="868" w:type="dxa"/>
          </w:tcPr>
          <w:p>
            <w:pPr/>
            <w:r>
              <w:t xml:space="preserve">BR-02</w:t>
            </w:r>
          </w:p>
        </w:tc>
        <w:tc>
          <w:tcPr>
            <w:tcW w:w="4833" w:type="dxa"/>
          </w:tcPr>
          <w:p>
            <w:pPr/>
            <w:r>
              <w:t xml:space="preserve">Only verified businesses or individuals receive money</w:t>
            </w:r>
          </w:p>
        </w:tc>
        <w:tc>
          <w:tcPr>
            <w:tcW w:w="2208" w:type="dxa"/>
          </w:tcPr>
          <w:p>
            <w:pPr/>
            <w:r>
              <w:t xml:space="preserve">AML and fraud exposure</w:t>
            </w:r>
          </w:p>
        </w:tc>
        <w:tc>
          <w:tcPr>
            <w:tcW w:w="1451" w:type="dxa"/>
          </w:tcPr>
          <w:p>
            <w:pPr/>
            <w:r>
              <w:t xml:space="preserve">FR-04, FR-05, FR-18</w:t>
            </w:r>
          </w:p>
        </w:tc>
      </w:tr>
      <w:tr>
        <w:tc>
          <w:tcPr>
            <w:tcW w:w="868" w:type="dxa"/>
          </w:tcPr>
          <w:p>
            <w:pPr/>
            <w:r>
              <w:t xml:space="preserve">BR-03</w:t>
            </w:r>
          </w:p>
        </w:tc>
        <w:tc>
          <w:tcPr>
            <w:tcW w:w="4833" w:type="dxa"/>
          </w:tcPr>
          <w:p>
            <w:pPr/>
            <w:r>
              <w:t xml:space="preserve">A buyer pays in their home currency using a method they already use</w:t>
            </w:r>
          </w:p>
        </w:tc>
        <w:tc>
          <w:tcPr>
            <w:tcW w:w="2208" w:type="dxa"/>
          </w:tcPr>
          <w:p>
            <w:pPr/>
            <w:r>
              <w:t xml:space="preserve">Conversion and cross-border demand (BO-2)</w:t>
            </w:r>
          </w:p>
        </w:tc>
        <w:tc>
          <w:tcPr>
            <w:tcW w:w="1451" w:type="dxa"/>
          </w:tcPr>
          <w:p>
            <w:pPr/>
            <w:r>
              <w:t xml:space="preserve">FR-11, FR-12, FR-15</w:t>
            </w:r>
          </w:p>
        </w:tc>
      </w:tr>
      <w:tr>
        <w:tc>
          <w:tcPr>
            <w:tcW w:w="868" w:type="dxa"/>
          </w:tcPr>
          <w:p>
            <w:pPr/>
            <w:r>
              <w:t xml:space="preserve">BR-04</w:t>
            </w:r>
          </w:p>
        </w:tc>
        <w:tc>
          <w:tcPr>
            <w:tcW w:w="4833" w:type="dxa"/>
          </w:tcPr>
          <w:p>
            <w:pPr/>
            <w:r>
              <w:t xml:space="preserve">One payment covers a basket from several vendors</w:t>
            </w:r>
          </w:p>
        </w:tc>
        <w:tc>
          <w:tcPr>
            <w:tcW w:w="2208" w:type="dxa"/>
          </w:tcPr>
          <w:p>
            <w:pPr/>
            <w:r>
              <w:t xml:space="preserve">Basket size and conversion</w:t>
            </w:r>
          </w:p>
        </w:tc>
        <w:tc>
          <w:tcPr>
            <w:tcW w:w="1451" w:type="dxa"/>
          </w:tcPr>
          <w:p>
            <w:pPr/>
            <w:r>
              <w:t xml:space="preserve">FR-10, FR-11, FR-13</w:t>
            </w:r>
          </w:p>
        </w:tc>
      </w:tr>
      <w:tr>
        <w:tc>
          <w:tcPr>
            <w:tcW w:w="868" w:type="dxa"/>
          </w:tcPr>
          <w:p>
            <w:pPr/>
            <w:r>
              <w:t xml:space="preserve">BR-05</w:t>
            </w:r>
          </w:p>
        </w:tc>
        <w:tc>
          <w:tcPr>
            <w:tcW w:w="4833" w:type="dxa"/>
          </w:tcPr>
          <w:p>
            <w:pPr/>
            <w:r>
              <w:t xml:space="preserve">Convie's commission is deducted automatically and never relies on vendor remittance</w:t>
            </w:r>
          </w:p>
        </w:tc>
        <w:tc>
          <w:tcPr>
            <w:tcW w:w="2208" w:type="dxa"/>
          </w:tcPr>
          <w:p>
            <w:pPr/>
            <w:r>
              <w:t xml:space="preserve">Revenue assurance (BO-4)</w:t>
            </w:r>
          </w:p>
        </w:tc>
        <w:tc>
          <w:tcPr>
            <w:tcW w:w="1451" w:type="dxa"/>
          </w:tcPr>
          <w:p>
            <w:pPr/>
            <w:r>
              <w:t xml:space="preserve">FR-15, FR-19</w:t>
            </w:r>
          </w:p>
        </w:tc>
      </w:tr>
      <w:tr>
        <w:tc>
          <w:tcPr>
            <w:tcW w:w="868" w:type="dxa"/>
          </w:tcPr>
          <w:p>
            <w:pPr/>
            <w:r>
              <w:t xml:space="preserve">BR-06</w:t>
            </w:r>
          </w:p>
        </w:tc>
        <w:tc>
          <w:tcPr>
            <w:tcW w:w="4833" w:type="dxa"/>
          </w:tcPr>
          <w:p>
            <w:pPr/>
            <w:r>
              <w:t xml:space="preserve">Vendors are paid in their local currency on a published schedule</w:t>
            </w:r>
          </w:p>
        </w:tc>
        <w:tc>
          <w:tcPr>
            <w:tcW w:w="2208" w:type="dxa"/>
          </w:tcPr>
          <w:p>
            <w:pPr/>
            <w:r>
              <w:t xml:space="preserve">Vendor trust (BO-5)</w:t>
            </w:r>
          </w:p>
        </w:tc>
        <w:tc>
          <w:tcPr>
            <w:tcW w:w="1451" w:type="dxa"/>
          </w:tcPr>
          <w:p>
            <w:pPr/>
            <w:r>
              <w:t xml:space="preserve">FR-18, FR-23</w:t>
            </w:r>
          </w:p>
        </w:tc>
      </w:tr>
      <w:tr>
        <w:tc>
          <w:tcPr>
            <w:tcW w:w="868" w:type="dxa"/>
          </w:tcPr>
          <w:p>
            <w:pPr/>
            <w:r>
              <w:t xml:space="preserve">BR-07</w:t>
            </w:r>
          </w:p>
        </w:tc>
        <w:tc>
          <w:tcPr>
            <w:tcW w:w="4833" w:type="dxa"/>
          </w:tcPr>
          <w:p>
            <w:pPr/>
            <w:r>
              <w:t xml:space="preserve">Finance can prove where every unit of money is on any day</w:t>
            </w:r>
          </w:p>
        </w:tc>
        <w:tc>
          <w:tcPr>
            <w:tcW w:w="2208" w:type="dxa"/>
          </w:tcPr>
          <w:p>
            <w:pPr/>
            <w:r>
              <w:t xml:space="preserve">Audit, tax and gateway standing (BO-6)</w:t>
            </w:r>
          </w:p>
        </w:tc>
        <w:tc>
          <w:tcPr>
            <w:tcW w:w="1451" w:type="dxa"/>
          </w:tcPr>
          <w:p>
            <w:pPr/>
            <w:r>
              <w:t xml:space="preserve">FR-19, FR-20, NFR-09</w:t>
            </w:r>
          </w:p>
        </w:tc>
      </w:tr>
      <w:tr>
        <w:tc>
          <w:tcPr>
            <w:tcW w:w="868" w:type="dxa"/>
          </w:tcPr>
          <w:p>
            <w:pPr/>
            <w:r>
              <w:t xml:space="preserve">BR-08</w:t>
            </w:r>
          </w:p>
        </w:tc>
        <w:tc>
          <w:tcPr>
            <w:tcW w:w="4833" w:type="dxa"/>
          </w:tcPr>
          <w:p>
            <w:pPr/>
            <w:r>
              <w:t xml:space="preserve">FX exposure is visible daily and capped</w:t>
            </w:r>
          </w:p>
        </w:tc>
        <w:tc>
          <w:tcPr>
            <w:tcW w:w="2208" w:type="dxa"/>
          </w:tcPr>
          <w:p>
            <w:pPr/>
            <w:r>
              <w:t xml:space="preserve">Margin protection (BO-4)</w:t>
            </w:r>
          </w:p>
        </w:tc>
        <w:tc>
          <w:tcPr>
            <w:tcW w:w="1451" w:type="dxa"/>
          </w:tcPr>
          <w:p>
            <w:pPr/>
            <w:r>
              <w:t xml:space="preserve">FR-07, FR-12</w:t>
            </w:r>
          </w:p>
        </w:tc>
      </w:tr>
      <w:tr>
        <w:tc>
          <w:tcPr>
            <w:tcW w:w="868" w:type="dxa"/>
          </w:tcPr>
          <w:p>
            <w:pPr/>
            <w:r>
              <w:t xml:space="preserve">BR-09</w:t>
            </w:r>
          </w:p>
        </w:tc>
        <w:tc>
          <w:tcPr>
            <w:tcW w:w="4833" w:type="dxa"/>
          </w:tcPr>
          <w:p>
            <w:pPr/>
            <w:r>
              <w:t xml:space="preserve">Buyers can get a refund for undelivered or misdescribed goods</w:t>
            </w:r>
          </w:p>
        </w:tc>
        <w:tc>
          <w:tcPr>
            <w:tcW w:w="2208" w:type="dxa"/>
          </w:tcPr>
          <w:p>
            <w:pPr/>
            <w:r>
              <w:t xml:space="preserve">Consumer protection law, chargeback rate</w:t>
            </w:r>
          </w:p>
        </w:tc>
        <w:tc>
          <w:tcPr>
            <w:tcW w:w="1451" w:type="dxa"/>
          </w:tcPr>
          <w:p>
            <w:pPr/>
            <w:r>
              <w:t xml:space="preserve">FR-17, FR-21</w:t>
            </w:r>
          </w:p>
        </w:tc>
      </w:tr>
      <w:tr>
        <w:tc>
          <w:tcPr>
            <w:tcW w:w="868" w:type="dxa"/>
          </w:tcPr>
          <w:p>
            <w:pPr/>
            <w:r>
              <w:t xml:space="preserve">BR-10</w:t>
            </w:r>
          </w:p>
        </w:tc>
        <w:tc>
          <w:tcPr>
            <w:tcW w:w="4833" w:type="dxa"/>
          </w:tcPr>
          <w:p>
            <w:pPr/>
            <w:r>
              <w:t xml:space="preserve">Personal and KYC data is handled lawfully in every market</w:t>
            </w:r>
          </w:p>
        </w:tc>
        <w:tc>
          <w:tcPr>
            <w:tcW w:w="2208" w:type="dxa"/>
          </w:tcPr>
          <w:p>
            <w:pPr/>
            <w:r>
              <w:t xml:space="preserve">NDPA, GDPR and peer laws</w:t>
            </w:r>
          </w:p>
        </w:tc>
        <w:tc>
          <w:tcPr>
            <w:tcW w:w="1451" w:type="dxa"/>
          </w:tcPr>
          <w:p>
            <w:pPr/>
            <w:r>
              <w:t xml:space="preserve">NFR-03, NFR-04</w:t>
            </w:r>
          </w:p>
        </w:tc>
      </w:tr>
      <w:tr>
        <w:tc>
          <w:tcPr>
            <w:tcW w:w="868" w:type="dxa"/>
          </w:tcPr>
          <w:p>
            <w:pPr/>
            <w:r>
              <w:t xml:space="preserve">BR-11</w:t>
            </w:r>
          </w:p>
        </w:tc>
        <w:tc>
          <w:tcPr>
            <w:tcW w:w="4833" w:type="dxa"/>
          </w:tcPr>
          <w:p>
            <w:pPr/>
            <w:r>
              <w:t xml:space="preserve">A gateway outage in one market does not stop sales in that market</w:t>
            </w:r>
          </w:p>
        </w:tc>
        <w:tc>
          <w:tcPr>
            <w:tcW w:w="2208" w:type="dxa"/>
          </w:tcPr>
          <w:p>
            <w:pPr/>
            <w:r>
              <w:t xml:space="preserve">Revenue continuity</w:t>
            </w:r>
          </w:p>
        </w:tc>
        <w:tc>
          <w:tcPr>
            <w:tcW w:w="1451" w:type="dxa"/>
          </w:tcPr>
          <w:p>
            <w:pPr/>
            <w:r>
              <w:t xml:space="preserve">FR-15, NFR-05</w:t>
            </w:r>
          </w:p>
        </w:tc>
      </w:tr>
      <w:tr>
        <w:tc>
          <w:tcPr>
            <w:tcW w:w="868" w:type="dxa"/>
          </w:tcPr>
          <w:p>
            <w:pPr/>
            <w:r>
              <w:t xml:space="preserve">BR-12</w:t>
            </w:r>
          </w:p>
        </w:tc>
        <w:tc>
          <w:tcPr>
            <w:tcW w:w="4833" w:type="dxa"/>
          </w:tcPr>
          <w:p>
            <w:pPr/>
            <w:r>
              <w:t xml:space="preserve">Operations can suspend a vendor, hold a payout or force a refund</w:t>
            </w:r>
          </w:p>
        </w:tc>
        <w:tc>
          <w:tcPr>
            <w:tcW w:w="2208" w:type="dxa"/>
          </w:tcPr>
          <w:p>
            <w:pPr/>
            <w:r>
              <w:t xml:space="preserve">Fraud response</w:t>
            </w:r>
          </w:p>
        </w:tc>
        <w:tc>
          <w:tcPr>
            <w:tcW w:w="1451" w:type="dxa"/>
          </w:tcPr>
          <w:p>
            <w:pPr/>
            <w:r>
              <w:t xml:space="preserve">FR-24</w:t>
            </w:r>
          </w:p>
        </w:tc>
      </w:tr>
    </w:tbl>
    <w:p>
      <w:pPr>
        <w:pStyle w:val="Heading2"/>
      </w:pPr>
      <w:r>
        <w:t xml:space="preserve">Revenue model and unit economics</w:t>
      </w:r>
    </w:p>
    <w:p>
      <w:pPr/>
      <w:r>
        <w:t xml:space="preserve">Convie keeps about 5.8% of a domestic order and about 4.6% of a cross-border one, after gateway fees and a refund allowance. Both clear the 4% target in BO-4, but cross-border orders have the thinner margin.</w:t>
      </w:r>
    </w:p>
    <w:p>
      <w:pPr/>
      <w:r>
        <w:rPr>
          <w:b/>
        </w:rPr>
        <w:t xml:space="preserve">Revenue lines:</w:t>
      </w:r>
      <w:r>
        <w:t xml:space="preserve"> commission per order (default 8%, set per category), FX spread on cross-currency orders (default 1.5%), and later paid vendor placement (phase 3 or after).</w:t>
      </w:r>
    </w:p>
    <w:tbl>
      <w:tblPr>
        <w:tblStyle w:val="TableGrid"/>
        <w:tblW w:w="0" w:type="auto"/>
        <w:tblLayout w:type="fixed"/>
        <w:tblLook w:val="04A0" w:firstRow="1" w:lastRow="0" w:firstColumn="0" w:lastColumn="0" w:noHBand="0" w:noVBand="1"/>
      </w:tblPr>
      <w:tblGrid>
        <w:gridCol w:w="3678"/>
        <w:gridCol w:w="2699"/>
        <w:gridCol w:w="2981"/>
      </w:tblGrid>
      <w:tr>
        <w:trPr>
          <w:tblHeader/>
        </w:trPr>
        <w:tc>
          <w:tcPr>
            <w:tcW w:w="3678" w:type="dxa"/>
            <w:shd w:val="clear" w:color="auto" w:fill="F2F2F2"/>
          </w:tcPr>
          <w:p>
            <w:pPr/>
            <w:r>
              <w:t xml:space="preserve">Line, % of GMV</w:t>
            </w:r>
          </w:p>
        </w:tc>
        <w:tc>
          <w:tcPr>
            <w:tcW w:w="2699" w:type="dxa"/>
            <w:shd w:val="clear" w:color="auto" w:fill="F2F2F2"/>
          </w:tcPr>
          <w:p>
            <w:pPr/>
            <w:r>
              <w:t xml:space="preserve">Domestic NG order (₦50,000)</w:t>
            </w:r>
          </w:p>
        </w:tc>
        <w:tc>
          <w:tcPr>
            <w:tcW w:w="2981" w:type="dxa"/>
            <w:shd w:val="clear" w:color="auto" w:fill="F2F2F2"/>
          </w:tcPr>
          <w:p>
            <w:pPr/>
            <w:r>
              <w:t xml:space="preserve">Cross-border order (UK buyer, NG vendor)</w:t>
            </w:r>
          </w:p>
        </w:tc>
      </w:tr>
      <w:tr>
        <w:tc>
          <w:tcPr>
            <w:tcW w:w="3678" w:type="dxa"/>
          </w:tcPr>
          <w:p>
            <w:pPr/>
            <w:r>
              <w:t xml:space="preserve">Commission</w:t>
            </w:r>
          </w:p>
        </w:tc>
        <w:tc>
          <w:tcPr>
            <w:tcW w:w="2699" w:type="dxa"/>
          </w:tcPr>
          <w:p>
            <w:pPr/>
            <w:r>
              <w:t xml:space="preserve">+8.0% (₦4,000)</w:t>
            </w:r>
          </w:p>
        </w:tc>
        <w:tc>
          <w:tcPr>
            <w:tcW w:w="2981" w:type="dxa"/>
          </w:tcPr>
          <w:p>
            <w:pPr/>
            <w:r>
              <w:t xml:space="preserve">+8.0%</w:t>
            </w:r>
          </w:p>
        </w:tc>
      </w:tr>
      <w:tr>
        <w:tc>
          <w:tcPr>
            <w:tcW w:w="3678" w:type="dxa"/>
          </w:tcPr>
          <w:p>
            <w:pPr/>
            <w:r>
              <w:t xml:space="preserve">FX spread</w:t>
            </w:r>
          </w:p>
        </w:tc>
        <w:tc>
          <w:tcPr>
            <w:tcW w:w="2699" w:type="dxa"/>
          </w:tcPr>
          <w:p>
            <w:pPr/>
            <w:r>
              <w:t xml:space="preserve">0</w:t>
            </w:r>
          </w:p>
        </w:tc>
        <w:tc>
          <w:tcPr>
            <w:tcW w:w="2981" w:type="dxa"/>
          </w:tcPr>
          <w:p>
            <w:pPr/>
            <w:r>
              <w:t xml:space="preserve">+1.5%</w:t>
            </w:r>
          </w:p>
        </w:tc>
      </w:tr>
      <w:tr>
        <w:tc>
          <w:tcPr>
            <w:tcW w:w="3678" w:type="dxa"/>
          </w:tcPr>
          <w:p>
            <w:pPr/>
            <w:r>
              <w:t xml:space="preserve">Gateway fee (approximate)</w:t>
            </w:r>
          </w:p>
        </w:tc>
        <w:tc>
          <w:tcPr>
            <w:tcW w:w="2699" w:type="dxa"/>
          </w:tcPr>
          <w:p>
            <w:pPr/>
            <w:r>
              <w:t xml:space="preserve">−1.7% (₦850)</w:t>
            </w:r>
          </w:p>
        </w:tc>
        <w:tc>
          <w:tcPr>
            <w:tcW w:w="2981" w:type="dxa"/>
          </w:tcPr>
          <w:p>
            <w:pPr/>
            <w:r>
              <w:t xml:space="preserve">−3.9%</w:t>
            </w:r>
          </w:p>
        </w:tc>
      </w:tr>
      <w:tr>
        <w:tc>
          <w:tcPr>
            <w:tcW w:w="3678" w:type="dxa"/>
          </w:tcPr>
          <w:p>
            <w:pPr/>
            <w:r>
              <w:t xml:space="preserve">Refund and chargeback allowance</w:t>
            </w:r>
          </w:p>
        </w:tc>
        <w:tc>
          <w:tcPr>
            <w:tcW w:w="2699" w:type="dxa"/>
          </w:tcPr>
          <w:p>
            <w:pPr/>
            <w:r>
              <w:t xml:space="preserve">−0.5%</w:t>
            </w:r>
          </w:p>
        </w:tc>
        <w:tc>
          <w:tcPr>
            <w:tcW w:w="2981" w:type="dxa"/>
          </w:tcPr>
          <w:p>
            <w:pPr/>
            <w:r>
              <w:t xml:space="preserve">−1.0%</w:t>
            </w:r>
          </w:p>
        </w:tc>
      </w:tr>
      <w:tr>
        <w:tc>
          <w:tcPr>
            <w:tcW w:w="3678" w:type="dxa"/>
          </w:tcPr>
          <w:p>
            <w:pPr/>
            <w:r>
              <w:rPr>
                <w:b/>
              </w:rPr>
              <w:t xml:space="preserve">Contribution</w:t>
            </w:r>
          </w:p>
        </w:tc>
        <w:tc>
          <w:tcPr>
            <w:tcW w:w="2699" w:type="dxa"/>
          </w:tcPr>
          <w:p>
            <w:pPr/>
            <w:r>
              <w:rPr>
                <w:b/>
              </w:rPr>
              <w:t xml:space="preserve">≈ 5.8%</w:t>
            </w:r>
          </w:p>
        </w:tc>
        <w:tc>
          <w:tcPr>
            <w:tcW w:w="2981" w:type="dxa"/>
          </w:tcPr>
          <w:p>
            <w:pPr/>
            <w:r>
              <w:rPr>
                <w:b/>
              </w:rPr>
              <w:t xml:space="preserve">≈ 4.6%</w:t>
            </w:r>
          </w:p>
        </w:tc>
      </w:tr>
      <w:tr>
        <w:tc>
          <w:tcPr>
            <w:tcW w:w="3678" w:type="dxa"/>
          </w:tcPr>
          <w:p>
            <w:pPr/>
            <w:r>
              <w:t xml:space="preserve">Vendor receives</w:t>
            </w:r>
          </w:p>
        </w:tc>
        <w:tc>
          <w:tcPr>
            <w:tcW w:w="2699" w:type="dxa"/>
          </w:tcPr>
          <w:p>
            <w:pPr/>
            <w:r>
              <w:t xml:space="preserve">92% (₦46,000)</w:t>
            </w:r>
          </w:p>
        </w:tc>
        <w:tc>
          <w:tcPr>
            <w:tcW w:w="2981" w:type="dxa"/>
          </w:tcPr>
          <w:p>
            <w:pPr/>
            <w:r>
              <w:t xml:space="preserve">92% of base price, in NGN</w:t>
            </w:r>
          </w:p>
        </w:tc>
      </w:tr>
    </w:tbl>
    <w:p>
      <w:pPr/>
      <w:r>
        <w:t xml:space="preserve">Gateway fees are approximate figures from memory, not a quote: about 1.5% + ₦100 local, and about 3.9% for international cards. Finance must confirm current contracted rates before pricing is fixed. Delivery cost is paid by the buyer per vendor and is excluded.</w:t>
      </w:r>
    </w:p>
    <w:p>
      <w:pPr>
        <w:pStyle w:val="Heading2"/>
      </w:pPr>
      <w:r>
        <w:t xml:space="preserve">Regulatory, tax and compliance</w:t>
      </w:r>
    </w:p>
    <w:p>
      <w:pPr/>
      <w:r>
        <w:t xml:space="preserve">Convie must clear each market's data, consumer, tax and KYC obligations before taking money there. Legal review is the entry gate for every new country. The rates and laws below come from general knowledge and need counsel's confirmation.</w:t>
      </w:r>
    </w:p>
    <w:tbl>
      <w:tblPr>
        <w:tblStyle w:val="TableGrid"/>
        <w:tblW w:w="0" w:type="auto"/>
        <w:tblLayout w:type="fixed"/>
        <w:tblLook w:val="04A0" w:firstRow="1" w:lastRow="0" w:firstColumn="0" w:lastColumn="0" w:noHBand="0" w:noVBand="1"/>
      </w:tblPr>
      <w:tblGrid>
        <w:gridCol w:w="1462"/>
        <w:gridCol w:w="1683"/>
        <w:gridCol w:w="2192"/>
        <w:gridCol w:w="2323"/>
        <w:gridCol w:w="1700"/>
      </w:tblGrid>
      <w:tr>
        <w:trPr>
          <w:tblHeader/>
        </w:trPr>
        <w:tc>
          <w:tcPr>
            <w:tcW w:w="1462" w:type="dxa"/>
            <w:shd w:val="clear" w:color="auto" w:fill="F2F2F2"/>
          </w:tcPr>
          <w:p>
            <w:pPr/>
            <w:r>
              <w:t xml:space="preserve">Market</w:t>
            </w:r>
          </w:p>
        </w:tc>
        <w:tc>
          <w:tcPr>
            <w:tcW w:w="1683" w:type="dxa"/>
            <w:shd w:val="clear" w:color="auto" w:fill="F2F2F2"/>
          </w:tcPr>
          <w:p>
            <w:pPr/>
            <w:r>
              <w:t xml:space="preserve">Data protection</w:t>
            </w:r>
          </w:p>
        </w:tc>
        <w:tc>
          <w:tcPr>
            <w:tcW w:w="2192" w:type="dxa"/>
            <w:shd w:val="clear" w:color="auto" w:fill="F2F2F2"/>
          </w:tcPr>
          <w:p>
            <w:pPr/>
            <w:r>
              <w:t xml:space="preserve">Consumer protection</w:t>
            </w:r>
          </w:p>
        </w:tc>
        <w:tc>
          <w:tcPr>
            <w:tcW w:w="2323" w:type="dxa"/>
            <w:shd w:val="clear" w:color="auto" w:fill="F2F2F2"/>
          </w:tcPr>
          <w:p>
            <w:pPr/>
            <w:r>
              <w:t xml:space="preserve">Indirect tax on Convie's fee or sales</w:t>
            </w:r>
          </w:p>
        </w:tc>
        <w:tc>
          <w:tcPr>
            <w:tcW w:w="1700" w:type="dxa"/>
            <w:shd w:val="clear" w:color="auto" w:fill="F2F2F2"/>
          </w:tcPr>
          <w:p>
            <w:pPr/>
            <w:r>
              <w:t xml:space="preserve">KYC / AML basis</w:t>
            </w:r>
          </w:p>
        </w:tc>
      </w:tr>
      <w:tr>
        <w:tc>
          <w:tcPr>
            <w:tcW w:w="1462" w:type="dxa"/>
          </w:tcPr>
          <w:p>
            <w:pPr/>
            <w:r>
              <w:t xml:space="preserve">Nigeria</w:t>
            </w:r>
          </w:p>
        </w:tc>
        <w:tc>
          <w:tcPr>
            <w:tcW w:w="1683" w:type="dxa"/>
          </w:tcPr>
          <w:p>
            <w:pPr/>
            <w:r>
              <w:t xml:space="preserve">NDPA 2023, NDPC registration</w:t>
            </w:r>
          </w:p>
        </w:tc>
        <w:tc>
          <w:tcPr>
            <w:tcW w:w="2192" w:type="dxa"/>
          </w:tcPr>
          <w:p>
            <w:pPr/>
            <w:r>
              <w:t xml:space="preserve">FCCPA 2018 (FCCPC)</w:t>
            </w:r>
          </w:p>
        </w:tc>
        <w:tc>
          <w:tcPr>
            <w:tcW w:w="2323" w:type="dxa"/>
          </w:tcPr>
          <w:p>
            <w:pPr/>
            <w:r>
              <w:t xml:space="preserve">VAT 7.5%</w:t>
            </w:r>
          </w:p>
        </w:tc>
        <w:tc>
          <w:tcPr>
            <w:tcW w:w="1700" w:type="dxa"/>
          </w:tcPr>
          <w:p>
            <w:pPr/>
            <w:r>
              <w:t xml:space="preserve">CBN rules via the gateway; BVN or NIN for vendors</w:t>
            </w:r>
          </w:p>
        </w:tc>
      </w:tr>
      <w:tr>
        <w:tc>
          <w:tcPr>
            <w:tcW w:w="1462" w:type="dxa"/>
          </w:tcPr>
          <w:p>
            <w:pPr/>
            <w:r>
              <w:t xml:space="preserve">Ghana</w:t>
            </w:r>
          </w:p>
        </w:tc>
        <w:tc>
          <w:tcPr>
            <w:tcW w:w="1683" w:type="dxa"/>
          </w:tcPr>
          <w:p>
            <w:pPr/>
            <w:r>
              <w:t xml:space="preserve">Data Protection Act 2012</w:t>
            </w:r>
          </w:p>
        </w:tc>
        <w:tc>
          <w:tcPr>
            <w:tcW w:w="2192" w:type="dxa"/>
          </w:tcPr>
          <w:p>
            <w:pPr/>
            <w:r>
              <w:t xml:space="preserve">Consumer protection regulations</w:t>
            </w:r>
          </w:p>
        </w:tc>
        <w:tc>
          <w:tcPr>
            <w:tcW w:w="2323" w:type="dxa"/>
          </w:tcPr>
          <w:p>
            <w:pPr/>
            <w:r>
              <w:t xml:space="preserve">VAT plus levies</w:t>
            </w:r>
          </w:p>
        </w:tc>
        <w:tc>
          <w:tcPr>
            <w:tcW w:w="1700" w:type="dxa"/>
          </w:tcPr>
          <w:p>
            <w:pPr/>
            <w:r>
              <w:t xml:space="preserve">Ghana Card for vendors</w:t>
            </w:r>
          </w:p>
        </w:tc>
      </w:tr>
      <w:tr>
        <w:tc>
          <w:tcPr>
            <w:tcW w:w="1462" w:type="dxa"/>
          </w:tcPr>
          <w:p>
            <w:pPr/>
            <w:r>
              <w:t xml:space="preserve">Kenya</w:t>
            </w:r>
          </w:p>
        </w:tc>
        <w:tc>
          <w:tcPr>
            <w:tcW w:w="1683" w:type="dxa"/>
          </w:tcPr>
          <w:p>
            <w:pPr/>
            <w:r>
              <w:t xml:space="preserve">Data Protection Act 2019, ODPC registration</w:t>
            </w:r>
          </w:p>
        </w:tc>
        <w:tc>
          <w:tcPr>
            <w:tcW w:w="2192" w:type="dxa"/>
          </w:tcPr>
          <w:p>
            <w:pPr/>
            <w:r>
              <w:t xml:space="preserve">Consumer Protection Act 2012</w:t>
            </w:r>
          </w:p>
        </w:tc>
        <w:tc>
          <w:tcPr>
            <w:tcW w:w="2323" w:type="dxa"/>
          </w:tcPr>
          <w:p>
            <w:pPr/>
            <w:r>
              <w:t xml:space="preserve">VAT 16%</w:t>
            </w:r>
          </w:p>
        </w:tc>
        <w:tc>
          <w:tcPr>
            <w:tcW w:w="1700" w:type="dxa"/>
          </w:tcPr>
          <w:p>
            <w:pPr/>
            <w:r>
              <w:t xml:space="preserve">KRA PIN, national ID</w:t>
            </w:r>
          </w:p>
        </w:tc>
      </w:tr>
      <w:tr>
        <w:tc>
          <w:tcPr>
            <w:tcW w:w="1462" w:type="dxa"/>
          </w:tcPr>
          <w:p>
            <w:pPr/>
            <w:r>
              <w:t xml:space="preserve">UK (buyers)</w:t>
            </w:r>
          </w:p>
        </w:tc>
        <w:tc>
          <w:tcPr>
            <w:tcW w:w="1683" w:type="dxa"/>
          </w:tcPr>
          <w:p>
            <w:pPr/>
            <w:r>
              <w:t xml:space="preserve">UK GDPR</w:t>
            </w:r>
          </w:p>
        </w:tc>
        <w:tc>
          <w:tcPr>
            <w:tcW w:w="2192" w:type="dxa"/>
          </w:tcPr>
          <w:p>
            <w:pPr/>
            <w:r>
              <w:t xml:space="preserve">Consumer Rights Act 2015, 14-day returns for distance sales</w:t>
            </w:r>
          </w:p>
        </w:tc>
        <w:tc>
          <w:tcPr>
            <w:tcW w:w="2323" w:type="dxa"/>
          </w:tcPr>
          <w:p>
            <w:pPr/>
            <w:r>
              <w:t xml:space="preserve">VAT 20% on low-value imports, collected by the marketplace</w:t>
            </w:r>
          </w:p>
        </w:tc>
        <w:tc>
          <w:tcPr>
            <w:tcW w:w="1700" w:type="dxa"/>
          </w:tcPr>
          <w:p>
            <w:pPr/>
            <w:r>
              <w:t xml:space="preserve">Gateway-led</w:t>
            </w:r>
          </w:p>
        </w:tc>
      </w:tr>
      <w:tr>
        <w:tc>
          <w:tcPr>
            <w:tcW w:w="1462" w:type="dxa"/>
          </w:tcPr>
          <w:p>
            <w:pPr/>
            <w:r>
              <w:t xml:space="preserve">EU (buyers)</w:t>
            </w:r>
          </w:p>
        </w:tc>
        <w:tc>
          <w:tcPr>
            <w:tcW w:w="1683" w:type="dxa"/>
          </w:tcPr>
          <w:p>
            <w:pPr/>
            <w:r>
              <w:t xml:space="preserve">GDPR</w:t>
            </w:r>
          </w:p>
        </w:tc>
        <w:tc>
          <w:tcPr>
            <w:tcW w:w="2192" w:type="dxa"/>
          </w:tcPr>
          <w:p>
            <w:pPr/>
            <w:r>
              <w:t xml:space="preserve">Consumer Rights Directive</w:t>
            </w:r>
          </w:p>
        </w:tc>
        <w:tc>
          <w:tcPr>
            <w:tcW w:w="2323" w:type="dxa"/>
          </w:tcPr>
          <w:p>
            <w:pPr/>
            <w:r>
              <w:t xml:space="preserve">VAT via IOSS for consignments up to €150</w:t>
            </w:r>
          </w:p>
        </w:tc>
        <w:tc>
          <w:tcPr>
            <w:tcW w:w="1700" w:type="dxa"/>
          </w:tcPr>
          <w:p>
            <w:pPr/>
            <w:r>
              <w:t xml:space="preserve">Gateway-led</w:t>
            </w:r>
          </w:p>
        </w:tc>
      </w:tr>
      <w:tr>
        <w:tc>
          <w:tcPr>
            <w:tcW w:w="1462" w:type="dxa"/>
          </w:tcPr>
          <w:p>
            <w:pPr/>
            <w:r>
              <w:t xml:space="preserve">US (buyers)</w:t>
            </w:r>
          </w:p>
        </w:tc>
        <w:tc>
          <w:tcPr>
            <w:tcW w:w="1683" w:type="dxa"/>
          </w:tcPr>
          <w:p>
            <w:pPr/>
            <w:r>
              <w:t xml:space="preserve">State privacy laws</w:t>
            </w:r>
          </w:p>
        </w:tc>
        <w:tc>
          <w:tcPr>
            <w:tcW w:w="2192" w:type="dxa"/>
          </w:tcPr>
          <w:p>
            <w:pPr/>
            <w:r>
              <w:t xml:space="preserve">FTC rules</w:t>
            </w:r>
          </w:p>
        </w:tc>
        <w:tc>
          <w:tcPr>
            <w:tcW w:w="2323" w:type="dxa"/>
          </w:tcPr>
          <w:p>
            <w:pPr/>
            <w:r>
              <w:t xml:space="preserve">State marketplace facilitator sales tax</w:t>
            </w:r>
          </w:p>
        </w:tc>
        <w:tc>
          <w:tcPr>
            <w:tcW w:w="1700" w:type="dxa"/>
          </w:tcPr>
          <w:p>
            <w:pPr/>
            <w:r>
              <w:t xml:space="preserve">Gateway-led</w:t>
            </w:r>
          </w:p>
        </w:tc>
      </w:tr>
    </w:tbl>
    <w:p>
      <w:pPr/>
      <w:r>
        <w:rPr>
          <w:b/>
        </w:rPr>
        <w:t xml:space="preserve">Obligations that shape the product:</w:t>
      </w:r>
      <w:r>
        <w:t xml:space="preserve"> marketplace VAT collection for UK and EU buyers (PRD open question Q5), KYC before the first payout, buyer refund rights, and data residency checks for KYC documents.</w:t>
      </w:r>
    </w:p>
    <w:p>
      <w:pPr>
        <w:pStyle w:val="Heading2"/>
      </w:pPr>
      <w:r>
        <w:t xml:space="preserve">Costs and investment</w:t>
      </w:r>
    </w:p>
    <w:p>
      <w:pPr/>
      <w:r>
        <w:t xml:space="preserve">Infrastructure stays at or under about $355 a month through the Nigeria beta if all services share one managed MySQL cluster (a separate database each) and deploys run directly from the CLI rather than through paid CI. The bands below are estimates for DigitalOcean-class hosting, not quotes.</w:t>
      </w:r>
    </w:p>
    <w:tbl>
      <w:tblPr>
        <w:tblStyle w:val="TableGrid"/>
        <w:tblW w:w="0" w:type="auto"/>
        <w:tblLayout w:type="fixed"/>
        <w:tblLook w:val="04A0" w:firstRow="1" w:lastRow="0" w:firstColumn="0" w:lastColumn="0" w:noHBand="0" w:noVBand="1"/>
      </w:tblPr>
      <w:tblGrid>
        <w:gridCol w:w="2681"/>
        <w:gridCol w:w="1502"/>
        <w:gridCol w:w="1549"/>
        <w:gridCol w:w="3628"/>
      </w:tblGrid>
      <w:tr>
        <w:trPr>
          <w:tblHeader/>
        </w:trPr>
        <w:tc>
          <w:tcPr>
            <w:tcW w:w="2681" w:type="dxa"/>
            <w:shd w:val="clear" w:color="auto" w:fill="F2F2F2"/>
          </w:tcPr>
          <w:p>
            <w:pPr/>
            <w:r>
              <w:t xml:space="preserve">Cost item</w:t>
            </w:r>
          </w:p>
        </w:tc>
        <w:tc>
          <w:tcPr>
            <w:tcW w:w="1502" w:type="dxa"/>
            <w:shd w:val="clear" w:color="auto" w:fill="F2F2F2"/>
          </w:tcPr>
          <w:p>
            <w:pPr/>
            <w:r>
              <w:t xml:space="preserve">Phase 0–1 (monthly)</w:t>
            </w:r>
          </w:p>
        </w:tc>
        <w:tc>
          <w:tcPr>
            <w:tcW w:w="1549" w:type="dxa"/>
            <w:shd w:val="clear" w:color="auto" w:fill="F2F2F2"/>
          </w:tcPr>
          <w:p>
            <w:pPr/>
            <w:r>
              <w:t xml:space="preserve">Phase 2–3 (monthly)</w:t>
            </w:r>
          </w:p>
        </w:tc>
        <w:tc>
          <w:tcPr>
            <w:tcW w:w="3628" w:type="dxa"/>
            <w:shd w:val="clear" w:color="auto" w:fill="F2F2F2"/>
          </w:tcPr>
          <w:p>
            <w:pPr/>
            <w:r>
              <w:t xml:space="preserve">Notes</w:t>
            </w:r>
          </w:p>
        </w:tc>
      </w:tr>
      <w:tr>
        <w:tc>
          <w:tcPr>
            <w:tcW w:w="2681" w:type="dxa"/>
          </w:tcPr>
          <w:p>
            <w:pPr/>
            <w:r>
              <w:t xml:space="preserve">Compute (staging and production)</w:t>
            </w:r>
          </w:p>
        </w:tc>
        <w:tc>
          <w:tcPr>
            <w:tcW w:w="1502" w:type="dxa"/>
          </w:tcPr>
          <w:p>
            <w:pPr/>
            <w:r>
              <w:t xml:space="preserve">$100–180</w:t>
            </w:r>
          </w:p>
        </w:tc>
        <w:tc>
          <w:tcPr>
            <w:tcW w:w="1549" w:type="dxa"/>
          </w:tcPr>
          <w:p>
            <w:pPr/>
            <w:r>
              <w:t xml:space="preserve">$250–500</w:t>
            </w:r>
          </w:p>
        </w:tc>
        <w:tc>
          <w:tcPr>
            <w:tcW w:w="3628" w:type="dxa"/>
          </w:tcPr>
          <w:p>
            <w:pPr/>
            <w:r>
              <w:t xml:space="preserve">Docker hosts; Kubernetes only past phase 2</w:t>
            </w:r>
          </w:p>
        </w:tc>
      </w:tr>
      <w:tr>
        <w:tc>
          <w:tcPr>
            <w:tcW w:w="2681" w:type="dxa"/>
          </w:tcPr>
          <w:p>
            <w:pPr/>
            <w:r>
              <w:t xml:space="preserve">Managed MySQL and Redis</w:t>
            </w:r>
          </w:p>
        </w:tc>
        <w:tc>
          <w:tcPr>
            <w:tcW w:w="1502" w:type="dxa"/>
          </w:tcPr>
          <w:p>
            <w:pPr/>
            <w:r>
              <w:t xml:space="preserve">$75–135</w:t>
            </w:r>
          </w:p>
        </w:tc>
        <w:tc>
          <w:tcPr>
            <w:tcW w:w="1549" w:type="dxa"/>
          </w:tcPr>
          <w:p>
            <w:pPr/>
            <w:r>
              <w:t xml:space="preserve">$150–300</w:t>
            </w:r>
          </w:p>
        </w:tc>
        <w:tc>
          <w:tcPr>
            <w:tcW w:w="3628" w:type="dxa"/>
          </w:tcPr>
          <w:p>
            <w:pPr/>
            <w:r>
              <w:t xml:space="preserve">One cluster, one database per service, daily backups</w:t>
            </w:r>
          </w:p>
        </w:tc>
      </w:tr>
      <w:tr>
        <w:tc>
          <w:tcPr>
            <w:tcW w:w="2681" w:type="dxa"/>
          </w:tcPr>
          <w:p>
            <w:pPr/>
            <w:r>
              <w:t xml:space="preserve">Object storage and CDN</w:t>
            </w:r>
          </w:p>
        </w:tc>
        <w:tc>
          <w:tcPr>
            <w:tcW w:w="1502" w:type="dxa"/>
          </w:tcPr>
          <w:p>
            <w:pPr/>
            <w:r>
              <w:t xml:space="preserve">$5–20</w:t>
            </w:r>
          </w:p>
        </w:tc>
        <w:tc>
          <w:tcPr>
            <w:tcW w:w="1549" w:type="dxa"/>
          </w:tcPr>
          <w:p>
            <w:pPr/>
            <w:r>
              <w:t xml:space="preserve">$20–50</w:t>
            </w:r>
          </w:p>
        </w:tc>
        <w:tc>
          <w:tcPr>
            <w:tcW w:w="3628" w:type="dxa"/>
          </w:tcPr>
          <w:p>
            <w:pPr/>
            <w:r>
              <w:t xml:space="preserve">Product images, KYC documents (encrypted)</w:t>
            </w:r>
          </w:p>
        </w:tc>
      </w:tr>
      <w:tr>
        <w:tc>
          <w:tcPr>
            <w:tcW w:w="2681" w:type="dxa"/>
          </w:tcPr>
          <w:p>
            <w:pPr/>
            <w:r>
              <w:t xml:space="preserve">Monitoring and logs</w:t>
            </w:r>
          </w:p>
        </w:tc>
        <w:tc>
          <w:tcPr>
            <w:tcW w:w="1502" w:type="dxa"/>
          </w:tcPr>
          <w:p>
            <w:pPr/>
            <w:r>
              <w:t xml:space="preserve">$0–20</w:t>
            </w:r>
          </w:p>
        </w:tc>
        <w:tc>
          <w:tcPr>
            <w:tcW w:w="1549" w:type="dxa"/>
          </w:tcPr>
          <w:p>
            <w:pPr/>
            <w:r>
              <w:t xml:space="preserve">$20–80</w:t>
            </w:r>
          </w:p>
        </w:tc>
        <w:tc>
          <w:tcPr>
            <w:tcW w:w="3628" w:type="dxa"/>
          </w:tcPr>
          <w:p>
            <w:pPr/>
            <w:r>
              <w:t xml:space="preserve">Self-hosted first</w:t>
            </w:r>
          </w:p>
        </w:tc>
      </w:tr>
      <w:tr>
        <w:tc>
          <w:tcPr>
            <w:tcW w:w="2681" w:type="dxa"/>
          </w:tcPr>
          <w:p>
            <w:pPr/>
            <w:r>
              <w:rPr>
                <w:b/>
              </w:rPr>
              <w:t xml:space="preserve">Infrastructure total</w:t>
            </w:r>
          </w:p>
        </w:tc>
        <w:tc>
          <w:tcPr>
            <w:tcW w:w="1502" w:type="dxa"/>
          </w:tcPr>
          <w:p>
            <w:pPr/>
            <w:r>
              <w:rPr>
                <w:b/>
              </w:rPr>
              <w:t xml:space="preserve">$180–355</w:t>
            </w:r>
          </w:p>
        </w:tc>
        <w:tc>
          <w:tcPr>
            <w:tcW w:w="1549" w:type="dxa"/>
          </w:tcPr>
          <w:p>
            <w:pPr/>
            <w:r>
              <w:rPr>
                <w:b/>
              </w:rPr>
              <w:t xml:space="preserve">$440–930</w:t>
            </w:r>
          </w:p>
        </w:tc>
        <w:tc>
          <w:tcPr>
            <w:tcW w:w="3628" w:type="dxa"/>
          </w:tcPr>
          <w:p>
            <w:pPr/>
          </w:p>
        </w:tc>
      </w:tr>
      <w:tr>
        <w:tc>
          <w:tcPr>
            <w:tcW w:w="2681" w:type="dxa"/>
          </w:tcPr>
          <w:p>
            <w:pPr/>
            <w:r>
              <w:t xml:space="preserve">KYC checks</w:t>
            </w:r>
          </w:p>
        </w:tc>
        <w:tc>
          <w:tcPr>
            <w:tcW w:w="1502" w:type="dxa"/>
          </w:tcPr>
          <w:p>
            <w:pPr/>
            <w:r>
              <w:t xml:space="preserve">per check</w:t>
            </w:r>
          </w:p>
        </w:tc>
        <w:tc>
          <w:tcPr>
            <w:tcW w:w="1549" w:type="dxa"/>
          </w:tcPr>
          <w:p>
            <w:pPr/>
            <w:r>
              <w:t xml:space="preserve">per check</w:t>
            </w:r>
          </w:p>
        </w:tc>
        <w:tc>
          <w:tcPr>
            <w:tcW w:w="3628" w:type="dxa"/>
          </w:tcPr>
          <w:p>
            <w:pPr/>
            <w:r>
              <w:t xml:space="preserve">Volume-priced by provider; to quote</w:t>
            </w:r>
          </w:p>
        </w:tc>
      </w:tr>
      <w:tr>
        <w:tc>
          <w:tcPr>
            <w:tcW w:w="2681" w:type="dxa"/>
          </w:tcPr>
          <w:p>
            <w:pPr/>
            <w:r>
              <w:t xml:space="preserve">SMS and email</w:t>
            </w:r>
          </w:p>
        </w:tc>
        <w:tc>
          <w:tcPr>
            <w:tcW w:w="1502" w:type="dxa"/>
          </w:tcPr>
          <w:p>
            <w:pPr/>
            <w:r>
              <w:t xml:space="preserve">per message</w:t>
            </w:r>
          </w:p>
        </w:tc>
        <w:tc>
          <w:tcPr>
            <w:tcW w:w="1549" w:type="dxa"/>
          </w:tcPr>
          <w:p>
            <w:pPr/>
            <w:r>
              <w:t xml:space="preserve">per message</w:t>
            </w:r>
          </w:p>
        </w:tc>
        <w:tc>
          <w:tcPr>
            <w:tcW w:w="3628" w:type="dxa"/>
          </w:tcPr>
          <w:p>
            <w:pPr/>
            <w:r>
              <w:t xml:space="preserve">Volume-priced; to quote</w:t>
            </w:r>
          </w:p>
        </w:tc>
      </w:tr>
      <w:tr>
        <w:tc>
          <w:tcPr>
            <w:tcW w:w="2681" w:type="dxa"/>
          </w:tcPr>
          <w:p>
            <w:pPr/>
            <w:r>
              <w:t xml:space="preserve">Gateway fees</w:t>
            </w:r>
          </w:p>
        </w:tc>
        <w:tc>
          <w:tcPr>
            <w:tcW w:w="1502" w:type="dxa"/>
          </w:tcPr>
          <w:p>
            <w:pPr/>
            <w:r>
              <w:t xml:space="preserve">% of GMV</w:t>
            </w:r>
          </w:p>
        </w:tc>
        <w:tc>
          <w:tcPr>
            <w:tcW w:w="1549" w:type="dxa"/>
          </w:tcPr>
          <w:p>
            <w:pPr/>
            <w:r>
              <w:t xml:space="preserve">% of GMV</w:t>
            </w:r>
          </w:p>
        </w:tc>
        <w:tc>
          <w:tcPr>
            <w:tcW w:w="3628" w:type="dxa"/>
          </w:tcPr>
          <w:p>
            <w:pPr/>
            <w:r>
              <w:t xml:space="preserve">See unit economics</w:t>
            </w:r>
          </w:p>
        </w:tc>
      </w:tr>
    </w:tbl>
    <w:p>
      <w:pPr/>
      <w:r>
        <w:rPr>
          <w:b/>
        </w:rPr>
        <w:t xml:space="preserve">One-off costs to quote:</w:t>
      </w:r>
      <w:r>
        <w:t xml:space="preserve"> legal review per market, data protection registrations, foreign entity setup if Stripe is chosen (PRD Q1), and a penetration test before GA.</w:t>
      </w:r>
    </w:p>
    <w:p>
      <w:pPr>
        <w:pStyle w:val="Heading2"/>
      </w:pPr>
      <w:r>
        <w:t xml:space="preserve">Risks, assumptions, constraints and dependencies</w:t>
      </w:r>
    </w:p>
    <w:p>
      <w:pPr/>
      <w:r>
        <w:rPr>
          <w:b/>
        </w:rPr>
        <w:t xml:space="preserve">Business risks</w:t>
      </w:r>
    </w:p>
    <w:tbl>
      <w:tblPr>
        <w:tblStyle w:val="TableGrid"/>
        <w:tblW w:w="0" w:type="auto"/>
        <w:tblLayout w:type="fixed"/>
        <w:tblLook w:val="04A0" w:firstRow="1" w:lastRow="0" w:firstColumn="0" w:lastColumn="0" w:noHBand="0" w:noVBand="1"/>
      </w:tblPr>
      <w:tblGrid>
        <w:gridCol w:w="2901"/>
        <w:gridCol w:w="1515"/>
        <w:gridCol w:w="1978"/>
        <w:gridCol w:w="2966"/>
      </w:tblGrid>
      <w:tr>
        <w:trPr>
          <w:tblHeader/>
        </w:trPr>
        <w:tc>
          <w:tcPr>
            <w:tcW w:w="2901" w:type="dxa"/>
            <w:shd w:val="clear" w:color="auto" w:fill="F2F2F2"/>
          </w:tcPr>
          <w:p>
            <w:pPr/>
            <w:r>
              <w:t xml:space="preserve">Risk</w:t>
            </w:r>
          </w:p>
        </w:tc>
        <w:tc>
          <w:tcPr>
            <w:tcW w:w="1515" w:type="dxa"/>
            <w:shd w:val="clear" w:color="auto" w:fill="F2F2F2"/>
          </w:tcPr>
          <w:p>
            <w:pPr/>
            <w:r>
              <w:t xml:space="preserve">Impact on the business</w:t>
            </w:r>
          </w:p>
        </w:tc>
        <w:tc>
          <w:tcPr>
            <w:tcW w:w="1978" w:type="dxa"/>
            <w:shd w:val="clear" w:color="auto" w:fill="F2F2F2"/>
          </w:tcPr>
          <w:p>
            <w:pPr/>
            <w:r>
              <w:t xml:space="preserve">Owner</w:t>
            </w:r>
          </w:p>
        </w:tc>
        <w:tc>
          <w:tcPr>
            <w:tcW w:w="2966" w:type="dxa"/>
            <w:shd w:val="clear" w:color="auto" w:fill="F2F2F2"/>
          </w:tcPr>
          <w:p>
            <w:pPr/>
            <w:r>
              <w:t xml:space="preserve">Response</w:t>
            </w:r>
          </w:p>
        </w:tc>
      </w:tr>
      <w:tr>
        <w:tc>
          <w:tcPr>
            <w:tcW w:w="2901" w:type="dxa"/>
          </w:tcPr>
          <w:p>
            <w:pPr/>
            <w:r>
              <w:t xml:space="preserve">Naira volatility erodes margin on cross-currency orders</w:t>
            </w:r>
          </w:p>
        </w:tc>
        <w:tc>
          <w:tcPr>
            <w:tcW w:w="1515" w:type="dxa"/>
          </w:tcPr>
          <w:p>
            <w:pPr/>
            <w:r>
              <w:t xml:space="preserve">Margin below BO-4</w:t>
            </w:r>
          </w:p>
        </w:tc>
        <w:tc>
          <w:tcPr>
            <w:tcW w:w="1978" w:type="dxa"/>
          </w:tcPr>
          <w:p>
            <w:pPr/>
            <w:r>
              <w:t xml:space="preserve">Finance</w:t>
            </w:r>
          </w:p>
        </w:tc>
        <w:tc>
          <w:tcPr>
            <w:tcW w:w="2966" w:type="dxa"/>
          </w:tcPr>
          <w:p>
            <w:pPr/>
            <w:r>
              <w:t xml:space="preserve">Spread, short payout cycles, daily exposure cap</w:t>
            </w:r>
          </w:p>
        </w:tc>
      </w:tr>
      <w:tr>
        <w:tc>
          <w:tcPr>
            <w:tcW w:w="2901" w:type="dxa"/>
          </w:tcPr>
          <w:p>
            <w:pPr/>
            <w:r>
              <w:t xml:space="preserve">Too few vendors at launch, so buyers find thin catalogues</w:t>
            </w:r>
          </w:p>
        </w:tc>
        <w:tc>
          <w:tcPr>
            <w:tcW w:w="1515" w:type="dxa"/>
          </w:tcPr>
          <w:p>
            <w:pPr/>
            <w:r>
              <w:t xml:space="preserve">Misses BO-1 and BO-3</w:t>
            </w:r>
          </w:p>
        </w:tc>
        <w:tc>
          <w:tcPr>
            <w:tcW w:w="1978" w:type="dxa"/>
          </w:tcPr>
          <w:p>
            <w:pPr/>
            <w:r>
              <w:t xml:space="preserve">Product owner</w:t>
            </w:r>
          </w:p>
        </w:tc>
        <w:tc>
          <w:tcPr>
            <w:tcW w:w="2966" w:type="dxa"/>
          </w:tcPr>
          <w:p>
            <w:pPr/>
            <w:r>
              <w:t xml:space="preserve">Recruit 30 vendors in named categories before beta</w:t>
            </w:r>
          </w:p>
        </w:tc>
      </w:tr>
      <w:tr>
        <w:tc>
          <w:tcPr>
            <w:tcW w:w="2901" w:type="dxa"/>
          </w:tcPr>
          <w:p>
            <w:pPr/>
            <w:r>
              <w:t xml:space="preserve">Gateway suspends Convie for high disputes</w:t>
            </w:r>
          </w:p>
        </w:tc>
        <w:tc>
          <w:tcPr>
            <w:tcW w:w="1515" w:type="dxa"/>
          </w:tcPr>
          <w:p>
            <w:pPr/>
            <w:r>
              <w:t xml:space="preserve">Revenue stops in a market</w:t>
            </w:r>
          </w:p>
        </w:tc>
        <w:tc>
          <w:tcPr>
            <w:tcW w:w="1978" w:type="dxa"/>
          </w:tcPr>
          <w:p>
            <w:pPr/>
            <w:r>
              <w:t xml:space="preserve">Operations</w:t>
            </w:r>
          </w:p>
        </w:tc>
        <w:tc>
          <w:tcPr>
            <w:tcW w:w="2966" w:type="dxa"/>
          </w:tcPr>
          <w:p>
            <w:pPr/>
            <w:r>
              <w:t xml:space="preserve">Fallback gateway, vendor holds, chargeback monitoring</w:t>
            </w:r>
          </w:p>
        </w:tc>
      </w:tr>
      <w:tr>
        <w:tc>
          <w:tcPr>
            <w:tcW w:w="2901" w:type="dxa"/>
          </w:tcPr>
          <w:p>
            <w:pPr/>
            <w:r>
              <w:t xml:space="preserve">Tax liability as a marketplace facilitator in UK, EU or US</w:t>
            </w:r>
          </w:p>
        </w:tc>
        <w:tc>
          <w:tcPr>
            <w:tcW w:w="1515" w:type="dxa"/>
          </w:tcPr>
          <w:p>
            <w:pPr/>
            <w:r>
              <w:t xml:space="preserve">Unplanned cost</w:t>
            </w:r>
          </w:p>
        </w:tc>
        <w:tc>
          <w:tcPr>
            <w:tcW w:w="1978" w:type="dxa"/>
          </w:tcPr>
          <w:p>
            <w:pPr/>
            <w:r>
              <w:t xml:space="preserve">Finance</w:t>
            </w:r>
          </w:p>
        </w:tc>
        <w:tc>
          <w:tcPr>
            <w:tcW w:w="2966" w:type="dxa"/>
          </w:tcPr>
          <w:p>
            <w:pPr/>
            <w:r>
              <w:t xml:space="preserve">Hold diaspora buyers to phase 3 until VAT is set up</w:t>
            </w:r>
          </w:p>
        </w:tc>
      </w:tr>
      <w:tr>
        <w:tc>
          <w:tcPr>
            <w:tcW w:w="2901" w:type="dxa"/>
          </w:tcPr>
          <w:p>
            <w:pPr/>
            <w:r>
              <w:t xml:space="preserve">Small team spread across many services</w:t>
            </w:r>
          </w:p>
        </w:tc>
        <w:tc>
          <w:tcPr>
            <w:tcW w:w="1515" w:type="dxa"/>
          </w:tcPr>
          <w:p>
            <w:pPr/>
            <w:r>
              <w:t xml:space="preserve">Delays to the plan</w:t>
            </w:r>
          </w:p>
        </w:tc>
        <w:tc>
          <w:tcPr>
            <w:tcW w:w="1978" w:type="dxa"/>
          </w:tcPr>
          <w:p>
            <w:pPr/>
            <w:r>
              <w:t xml:space="preserve">Engineering lead</w:t>
            </w:r>
          </w:p>
        </w:tc>
        <w:tc>
          <w:tcPr>
            <w:tcW w:w="2966" w:type="dxa"/>
          </w:tcPr>
          <w:p>
            <w:pPr/>
            <w:r>
              <w:t xml:space="preserve">Merge low-traffic services; keep phase scope fixed</w:t>
            </w:r>
          </w:p>
        </w:tc>
      </w:tr>
    </w:tbl>
    <w:p>
      <w:pPr/>
      <w:r>
        <w:rPr>
          <w:b/>
        </w:rPr>
        <w:t xml:space="preserve">Assumptions</w:t>
      </w:r>
    </w:p>
    <w:p>
      <w:pPr>
        <w:pStyle w:val="ListParagraph"/>
        <w:numPr>
          <w:ilvl w:val="0"/>
          <w:numId w:val="4"/>
        </w:numPr>
      </w:pPr>
      <w:r>
        <w:t xml:space="preserve">Launch markets are Nigeria, Ghana and Kenya, with UK, EU and US buyers in phase 3.</w:t>
      </w:r>
    </w:p>
    <w:p>
      <w:pPr>
        <w:pStyle w:val="ListParagraph"/>
        <w:numPr>
          <w:ilvl w:val="0"/>
          <w:numId w:val="4"/>
        </w:numPr>
      </w:pPr>
      <w:r>
        <w:t xml:space="preserve">Convie is merchant of record and never holds a payment licence.</w:t>
      </w:r>
    </w:p>
    <w:p>
      <w:pPr>
        <w:pStyle w:val="ListParagraph"/>
        <w:numPr>
          <w:ilvl w:val="0"/>
          <w:numId w:val="4"/>
        </w:numPr>
      </w:pPr>
      <w:r>
        <w:t xml:space="preserve">Vendors ship their own goods.</w:t>
      </w:r>
    </w:p>
    <w:p>
      <w:pPr>
        <w:pStyle w:val="ListParagraph"/>
        <w:numPr>
          <w:ilvl w:val="0"/>
          <w:numId w:val="4"/>
        </w:numPr>
      </w:pPr>
      <w:r>
        <w:t xml:space="preserve">The current Laravel 13 microservices stack is kept. No stack change.</w:t>
      </w:r>
    </w:p>
    <w:p>
      <w:pPr/>
      <w:r>
        <w:rPr>
          <w:b/>
        </w:rPr>
        <w:t xml:space="preserve">Constraints</w:t>
      </w:r>
    </w:p>
    <w:p>
      <w:pPr>
        <w:pStyle w:val="ListParagraph"/>
        <w:numPr>
          <w:ilvl w:val="0"/>
          <w:numId w:val="5"/>
        </w:numPr>
      </w:pPr>
      <w:r>
        <w:t xml:space="preserve">Nigerian entities cannot open Stripe accounts directly.</w:t>
      </w:r>
    </w:p>
    <w:p>
      <w:pPr>
        <w:pStyle w:val="ListParagraph"/>
        <w:numPr>
          <w:ilvl w:val="0"/>
          <w:numId w:val="5"/>
        </w:numPr>
      </w:pPr>
      <w:r>
        <w:t xml:space="preserve">Card data must stay outside Convie's systems (PCI SAQ-A).</w:t>
      </w:r>
    </w:p>
    <w:p>
      <w:pPr>
        <w:pStyle w:val="ListParagraph"/>
        <w:numPr>
          <w:ilvl w:val="0"/>
          <w:numId w:val="5"/>
        </w:numPr>
      </w:pPr>
      <w:r>
        <w:t xml:space="preserve">Infrastructure budget stays within the bands under costs and investment.</w:t>
      </w:r>
    </w:p>
    <w:p>
      <w:pPr/>
      <w:r>
        <w:rPr>
          <w:b/>
        </w:rPr>
        <w:t xml:space="preserve">Dependencies</w:t>
      </w:r>
    </w:p>
    <w:p>
      <w:pPr>
        <w:pStyle w:val="ListParagraph"/>
        <w:numPr>
          <w:ilvl w:val="0"/>
          <w:numId w:val="6"/>
        </w:numPr>
      </w:pPr>
      <w:r>
        <w:t xml:space="preserve">Gateway merchant approval: Paystack, Flutterwave, and Stripe if chosen</w:t>
      </w:r>
    </w:p>
    <w:p>
      <w:pPr>
        <w:pStyle w:val="ListParagraph"/>
        <w:numPr>
          <w:ilvl w:val="0"/>
          <w:numId w:val="6"/>
        </w:numPr>
      </w:pPr>
      <w:r>
        <w:t xml:space="preserve">A KYC provider contract</w:t>
      </w:r>
    </w:p>
    <w:p>
      <w:pPr>
        <w:pStyle w:val="ListParagraph"/>
        <w:numPr>
          <w:ilvl w:val="0"/>
          <w:numId w:val="6"/>
        </w:numPr>
      </w:pPr>
      <w:r>
        <w:t xml:space="preserve">Legal opinion per market</w:t>
      </w:r>
    </w:p>
    <w:p>
      <w:pPr>
        <w:pStyle w:val="ListParagraph"/>
        <w:numPr>
          <w:ilvl w:val="0"/>
          <w:numId w:val="6"/>
        </w:numPr>
      </w:pPr>
      <w:r>
        <w:t xml:space="preserve">A decision on which product-service branch becomes the base</w:t>
      </w:r>
    </w:p>
    <w:p>
      <w:pPr>
        <w:pStyle w:val="Heading2"/>
      </w:pPr>
      <w:r>
        <w:t xml:space="preserve">Approval and sign-off</w:t>
      </w:r>
    </w:p>
    <w:p>
      <w:pPr/>
      <w:r>
        <w:t xml:space="preserve">Approval of this BRD releases phases 0 and 1. Each later phase needs its gate (see the PRD release plan) plus a fresh sign-off from Finance and Legal.</w:t>
      </w:r>
    </w:p>
    <w:tbl>
      <w:tblPr>
        <w:tblStyle w:val="TableGrid"/>
        <w:tblW w:w="0" w:type="auto"/>
        <w:tblLayout w:type="fixed"/>
        <w:tblLook w:val="04A0" w:firstRow="1" w:lastRow="0" w:firstColumn="0" w:lastColumn="0" w:noHBand="0" w:noVBand="1"/>
      </w:tblPr>
      <w:tblGrid>
        <w:gridCol w:w="4077"/>
        <w:gridCol w:w="2286"/>
        <w:gridCol w:w="1840"/>
        <w:gridCol w:w="1156"/>
      </w:tblGrid>
      <w:tr>
        <w:trPr>
          <w:tblHeader/>
        </w:trPr>
        <w:tc>
          <w:tcPr>
            <w:tcW w:w="4077" w:type="dxa"/>
            <w:shd w:val="clear" w:color="auto" w:fill="F2F2F2"/>
          </w:tcPr>
          <w:p>
            <w:pPr/>
            <w:r>
              <w:t xml:space="preserve">Role</w:t>
            </w:r>
          </w:p>
        </w:tc>
        <w:tc>
          <w:tcPr>
            <w:tcW w:w="2286" w:type="dxa"/>
            <w:shd w:val="clear" w:color="auto" w:fill="F2F2F2"/>
          </w:tcPr>
          <w:p>
            <w:pPr/>
            <w:r>
              <w:t xml:space="preserve">Name</w:t>
            </w:r>
          </w:p>
        </w:tc>
        <w:tc>
          <w:tcPr>
            <w:tcW w:w="1840" w:type="dxa"/>
            <w:shd w:val="clear" w:color="auto" w:fill="F2F2F2"/>
          </w:tcPr>
          <w:p>
            <w:pPr/>
            <w:r>
              <w:t xml:space="preserve">Decision</w:t>
            </w:r>
          </w:p>
        </w:tc>
        <w:tc>
          <w:tcPr>
            <w:tcW w:w="1156" w:type="dxa"/>
            <w:shd w:val="clear" w:color="auto" w:fill="F2F2F2"/>
          </w:tcPr>
          <w:p>
            <w:pPr/>
            <w:r>
              <w:t xml:space="preserve">Date</w:t>
            </w:r>
          </w:p>
        </w:tc>
      </w:tr>
      <w:tr>
        <w:tc>
          <w:tcPr>
            <w:tcW w:w="4077" w:type="dxa"/>
          </w:tcPr>
          <w:p>
            <w:pPr/>
            <w:r>
              <w:t xml:space="preserve">Product owner</w:t>
            </w:r>
          </w:p>
        </w:tc>
        <w:tc>
          <w:tcPr>
            <w:tcW w:w="2286" w:type="dxa"/>
          </w:tcPr>
          <w:p>
            <w:pPr/>
            <w:r>
              <w:t xml:space="preserve">princezonik</w:t>
            </w:r>
          </w:p>
        </w:tc>
        <w:tc>
          <w:tcPr>
            <w:tcW w:w="1840" w:type="dxa"/>
          </w:tcPr>
          <w:p>
            <w:pPr/>
          </w:p>
        </w:tc>
        <w:tc>
          <w:tcPr>
            <w:tcW w:w="1156" w:type="dxa"/>
          </w:tcPr>
          <w:p>
            <w:pPr/>
          </w:p>
        </w:tc>
      </w:tr>
      <w:tr>
        <w:tc>
          <w:tcPr>
            <w:tcW w:w="4077" w:type="dxa"/>
          </w:tcPr>
          <w:p>
            <w:pPr/>
            <w:r>
              <w:t xml:space="preserve">Engineering lead</w:t>
            </w:r>
          </w:p>
        </w:tc>
        <w:tc>
          <w:tcPr>
            <w:tcW w:w="2286" w:type="dxa"/>
          </w:tcPr>
          <w:p>
            <w:pPr/>
          </w:p>
        </w:tc>
        <w:tc>
          <w:tcPr>
            <w:tcW w:w="1840" w:type="dxa"/>
          </w:tcPr>
          <w:p>
            <w:pPr/>
          </w:p>
        </w:tc>
        <w:tc>
          <w:tcPr>
            <w:tcW w:w="1156" w:type="dxa"/>
          </w:tcPr>
          <w:p>
            <w:pPr/>
          </w:p>
        </w:tc>
      </w:tr>
      <w:tr>
        <w:tc>
          <w:tcPr>
            <w:tcW w:w="4077" w:type="dxa"/>
          </w:tcPr>
          <w:p>
            <w:pPr/>
            <w:r>
              <w:t xml:space="preserve">Finance</w:t>
            </w:r>
          </w:p>
        </w:tc>
        <w:tc>
          <w:tcPr>
            <w:tcW w:w="2286" w:type="dxa"/>
          </w:tcPr>
          <w:p>
            <w:pPr/>
          </w:p>
        </w:tc>
        <w:tc>
          <w:tcPr>
            <w:tcW w:w="1840" w:type="dxa"/>
          </w:tcPr>
          <w:p>
            <w:pPr/>
          </w:p>
        </w:tc>
        <w:tc>
          <w:tcPr>
            <w:tcW w:w="1156" w:type="dxa"/>
          </w:tcPr>
          <w:p>
            <w:pPr/>
          </w:p>
        </w:tc>
      </w:tr>
      <w:tr>
        <w:tc>
          <w:tcPr>
            <w:tcW w:w="4077" w:type="dxa"/>
          </w:tcPr>
          <w:p>
            <w:pPr/>
            <w:r>
              <w:t xml:space="preserve">Legal and compliance</w:t>
            </w:r>
          </w:p>
        </w:tc>
        <w:tc>
          <w:tcPr>
            <w:tcW w:w="2286" w:type="dxa"/>
          </w:tcPr>
          <w:p>
            <w:pPr/>
          </w:p>
        </w:tc>
        <w:tc>
          <w:tcPr>
            <w:tcW w:w="1840" w:type="dxa"/>
          </w:tcPr>
          <w:p>
            <w:pPr/>
          </w:p>
        </w:tc>
        <w:tc>
          <w:tcPr>
            <w:tcW w:w="1156" w:type="dxa"/>
          </w:tcPr>
          <w:p>
            <w:pPr/>
          </w:p>
        </w:tc>
      </w:tr>
      <w:tr>
        <w:tc>
          <w:tcPr>
            <w:tcW w:w="4077" w:type="dxa"/>
          </w:tcPr>
          <w:p>
            <w:pPr/>
            <w:r>
              <w:t xml:space="preserve">Operations</w:t>
            </w:r>
          </w:p>
        </w:tc>
        <w:tc>
          <w:tcPr>
            <w:tcW w:w="2286" w:type="dxa"/>
          </w:tcPr>
          <w:p>
            <w:pPr/>
          </w:p>
        </w:tc>
        <w:tc>
          <w:tcPr>
            <w:tcW w:w="1840" w:type="dxa"/>
          </w:tcPr>
          <w:p>
            <w:pPr/>
          </w:p>
        </w:tc>
        <w:tc>
          <w:tcPr>
            <w:tcW w:w="1156" w:type="dxa"/>
          </w:tcPr>
          <w:p>
            <w:pPr/>
          </w:p>
        </w:tc>
      </w:tr>
    </w:tbl>
    <w:p>
      <w:pPr/>
      <w:r>
        <w:rPr>
          <w:b/>
        </w:rPr>
        <w:t xml:space="preserve">Open decisions for sign-off</w:t>
      </w:r>
    </w:p>
    <w:p>
      <w:pPr>
        <w:pStyle w:val="ListParagraph"/>
        <w:numPr>
          <w:ilvl w:val="0"/>
          <w:numId w:val="7"/>
        </w:numPr>
      </w:pPr>
      <w:r>
        <w:t xml:space="preserve">☐ Commission rate and who bears gateway fees (PRD Q4)</w:t>
      </w:r>
    </w:p>
    <w:p>
      <w:pPr>
        <w:pStyle w:val="ListParagraph"/>
        <w:numPr>
          <w:ilvl w:val="0"/>
          <w:numId w:val="7"/>
        </w:numPr>
      </w:pPr>
      <w:r>
        <w:t xml:space="preserve">☐ Foreign entity for Stripe, or Flutterwave for all international cards (PRD Q1)</w:t>
      </w:r>
    </w:p>
    <w:p>
      <w:pPr>
        <w:pStyle w:val="ListParagraph"/>
        <w:numPr>
          <w:ilvl w:val="0"/>
          <w:numId w:val="7"/>
        </w:numPr>
      </w:pPr>
      <w:r>
        <w:t xml:space="preserve">☐ VAT approach for UK and EU buyers (PRD Q5)</w:t>
      </w:r>
    </w:p>
    <w:p>
      <w:pPr>
        <w:pStyle w:val="ListParagraph"/>
        <w:numPr>
          <w:ilvl w:val="0"/>
          <w:numId w:val="7"/>
        </w:numPr>
      </w:pPr>
      <w:r>
        <w:t xml:space="preserve">☐ Payout hold periods: 7 days standard, 14 days for new vendors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Convie Multivendor Marketplace BRD</dc:title>
  <dc:description>Claude Docs node/b94b53e3-95cc@9 docx-w7</dc:description>
  <cp:revision>9</cp:revision>
</cp:coreProperties>
</file>