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8F38E" w14:textId="77777777" w:rsidR="008F3AAC" w:rsidRDefault="00000000">
      <w:pPr>
        <w:spacing w:after="40"/>
      </w:pPr>
      <w:r>
        <w:rPr>
          <w:b/>
          <w:bCs/>
          <w:color w:val="1F3864"/>
          <w:sz w:val="36"/>
          <w:szCs w:val="36"/>
        </w:rPr>
        <w:t>Background &amp; Reading Guide</w:t>
      </w:r>
    </w:p>
    <w:p w14:paraId="1FB44031" w14:textId="77777777" w:rsidR="008F3AAC" w:rsidRDefault="00000000">
      <w:pPr>
        <w:spacing w:after="60"/>
      </w:pPr>
      <w:r>
        <w:rPr>
          <w:i/>
          <w:iCs/>
          <w:color w:val="666666"/>
        </w:rPr>
        <w:t>Agent-based models, and the real-world data behind this one</w:t>
      </w:r>
    </w:p>
    <w:p w14:paraId="2431E42C" w14:textId="58A84E7A" w:rsidR="008F3AAC" w:rsidRDefault="00E0540F">
      <w:pPr>
        <w:spacing w:after="150" w:line="286" w:lineRule="auto"/>
      </w:pPr>
      <w:r>
        <w:rPr>
          <w:color w:val="888888"/>
          <w:sz w:val="20"/>
          <w:szCs w:val="20"/>
        </w:rPr>
        <w:br/>
      </w:r>
      <w:r>
        <w:t>T</w:t>
      </w:r>
      <w:r w:rsidR="00000000">
        <w:t xml:space="preserve">he hands-on tasks in the Week 1 guide are quick once the code runs; that’s by design. The depth this week is meant to come from understanding the </w:t>
      </w:r>
      <w:r w:rsidR="00000000">
        <w:rPr>
          <w:b/>
          <w:bCs/>
        </w:rPr>
        <w:t>ideas</w:t>
      </w:r>
      <w:r w:rsidR="00000000">
        <w:t xml:space="preserve"> the model rests on and the </w:t>
      </w:r>
      <w:r w:rsidR="00000000">
        <w:rPr>
          <w:b/>
          <w:bCs/>
        </w:rPr>
        <w:t>data</w:t>
      </w:r>
      <w:r w:rsidR="00000000">
        <w:t xml:space="preserve"> it’s built from. </w:t>
      </w:r>
      <w:proofErr w:type="gramStart"/>
      <w:r w:rsidR="00000000">
        <w:t>So</w:t>
      </w:r>
      <w:proofErr w:type="gramEnd"/>
      <w:r w:rsidR="00000000">
        <w:t xml:space="preserve"> treat this as the substantial part of the week: it’s reading and thinking work, and I’d budget two to three days for it. Read actively — keep the questions in front of you and write short answers as you go — and bring me the written pieces at the end of the week. The goal isn’t to finish fast; it’s to be able to argue with the model.</w:t>
      </w:r>
    </w:p>
    <w:p w14:paraId="290B30D8" w14:textId="77777777" w:rsidR="008F3AAC" w:rsidRDefault="00000000">
      <w:pPr>
        <w:pStyle w:val="Heading1"/>
      </w:pPr>
      <w:r>
        <w:t>Part 1 — Agent-based modeling: the method</w:t>
      </w:r>
    </w:p>
    <w:p w14:paraId="2D5DA589" w14:textId="77777777" w:rsidR="008F3AAC" w:rsidRDefault="00000000">
      <w:pPr>
        <w:spacing w:after="150" w:line="286" w:lineRule="auto"/>
      </w:pPr>
      <w:r>
        <w:t xml:space="preserve">Our model is an </w:t>
      </w:r>
      <w:r>
        <w:rPr>
          <w:b/>
          <w:bCs/>
        </w:rPr>
        <w:t>agent-based model</w:t>
      </w:r>
      <w:r>
        <w:t xml:space="preserve"> (ABM). Before you go deeper into the code, I want you to understand the tradition it comes from and why people build models this way at all. The core move of an ABM is to specify behavior at the level of individuals — here, countries — and then let the large-scale pattern arise from their interaction, rather than writing an equation for the aggregate directly. The interesting patterns (segregation, blocs, norms, conflict) are not put in by hand; they </w:t>
      </w:r>
      <w:r>
        <w:rPr>
          <w:b/>
          <w:bCs/>
        </w:rPr>
        <w:t>emerge</w:t>
      </w:r>
      <w:r>
        <w:t>. That idea is simple to state and surprisingly deep, and the readings below are the canonical places it was worked out.</w:t>
      </w:r>
    </w:p>
    <w:p w14:paraId="7CA45527" w14:textId="77777777" w:rsidR="008F3AAC" w:rsidRDefault="00000000">
      <w:pPr>
        <w:pStyle w:val="Heading2"/>
      </w:pPr>
      <w:r>
        <w:t>Core readings</w:t>
      </w:r>
    </w:p>
    <w:p w14:paraId="4763B7F2" w14:textId="3E5917D5" w:rsidR="008F3AAC" w:rsidRDefault="00000000">
      <w:pPr>
        <w:spacing w:after="150" w:line="286" w:lineRule="auto"/>
      </w:pPr>
      <w:r>
        <w:t xml:space="preserve">Read these in order. The first two are </w:t>
      </w:r>
      <w:r w:rsidR="00975F18">
        <w:t>foundational</w:t>
      </w:r>
      <w:r>
        <w:t>; the rest are the classics that overviews keep pointing back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60"/>
        <w:gridCol w:w="1800"/>
      </w:tblGrid>
      <w:tr w:rsidR="008F3AAC" w14:paraId="4DC3E252" w14:textId="77777777">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5794A5A4" w14:textId="77777777" w:rsidR="008F3AAC" w:rsidRDefault="00000000">
            <w:r>
              <w:rPr>
                <w:b/>
                <w:bCs/>
                <w:color w:val="FFFFFF"/>
              </w:rPr>
              <w:t>Reading</w:t>
            </w:r>
          </w:p>
        </w:tc>
        <w:tc>
          <w:tcPr>
            <w:tcW w:w="4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7CA35F8A" w14:textId="77777777" w:rsidR="008F3AAC" w:rsidRDefault="00000000">
            <w:r>
              <w:rPr>
                <w:b/>
                <w:bCs/>
                <w:color w:val="FFFFFF"/>
              </w:rPr>
              <w:t>Why it matters</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22951E9B" w14:textId="77777777" w:rsidR="008F3AAC" w:rsidRDefault="00000000">
            <w:r>
              <w:rPr>
                <w:b/>
                <w:bCs/>
                <w:color w:val="FFFFFF"/>
              </w:rPr>
              <w:t>Link</w:t>
            </w:r>
          </w:p>
        </w:tc>
      </w:tr>
      <w:tr w:rsidR="008F3AAC" w14:paraId="22F02A54" w14:textId="77777777" w:rsidTr="00975F18">
        <w:tc>
          <w:tcPr>
            <w:tcW w:w="3000" w:type="dxa"/>
            <w:tcBorders>
              <w:top w:val="single" w:sz="1" w:space="0" w:color="BFBFBF"/>
              <w:left w:val="single" w:sz="1" w:space="0" w:color="BFBFBF"/>
              <w:bottom w:val="single" w:sz="1" w:space="0" w:color="BFBFBF"/>
              <w:right w:val="single" w:sz="1" w:space="0" w:color="BFBFBF"/>
            </w:tcBorders>
            <w:shd w:val="clear" w:color="auto" w:fill="F4B083" w:themeFill="accent2" w:themeFillTint="99"/>
            <w:tcMar>
              <w:top w:w="60" w:type="dxa"/>
              <w:left w:w="110" w:type="dxa"/>
              <w:bottom w:w="60" w:type="dxa"/>
              <w:right w:w="110" w:type="dxa"/>
            </w:tcMar>
          </w:tcPr>
          <w:p w14:paraId="6ECE3E9A" w14:textId="77777777" w:rsidR="008F3AAC" w:rsidRDefault="00000000">
            <w:pPr>
              <w:spacing w:line="252" w:lineRule="auto"/>
            </w:pPr>
            <w:proofErr w:type="spellStart"/>
            <w:r>
              <w:t>Bonabeau</w:t>
            </w:r>
            <w:proofErr w:type="spellEnd"/>
            <w:r>
              <w:t xml:space="preserve"> (2002), PNAS — Agent-based modeling: methods and techniques</w:t>
            </w:r>
          </w:p>
        </w:tc>
        <w:tc>
          <w:tcPr>
            <w:tcW w:w="4560" w:type="dxa"/>
            <w:tcBorders>
              <w:top w:val="single" w:sz="1" w:space="0" w:color="BFBFBF"/>
              <w:left w:val="single" w:sz="1" w:space="0" w:color="BFBFBF"/>
              <w:bottom w:val="single" w:sz="1" w:space="0" w:color="BFBFBF"/>
              <w:right w:val="single" w:sz="1" w:space="0" w:color="BFBFBF"/>
            </w:tcBorders>
            <w:shd w:val="clear" w:color="auto" w:fill="F4B083" w:themeFill="accent2" w:themeFillTint="99"/>
            <w:tcMar>
              <w:top w:w="60" w:type="dxa"/>
              <w:left w:w="110" w:type="dxa"/>
              <w:bottom w:w="60" w:type="dxa"/>
              <w:right w:w="110" w:type="dxa"/>
            </w:tcMar>
          </w:tcPr>
          <w:p w14:paraId="7944797A" w14:textId="77777777" w:rsidR="008F3AAC" w:rsidRDefault="00000000">
            <w:pPr>
              <w:spacing w:line="252" w:lineRule="auto"/>
            </w:pPr>
            <w:r>
              <w:t>The cleanest short overview of what ABMs are, when they’re the right tool, and where they’re used. Start here.</w:t>
            </w:r>
          </w:p>
        </w:tc>
        <w:tc>
          <w:tcPr>
            <w:tcW w:w="1800" w:type="dxa"/>
            <w:tcBorders>
              <w:top w:val="single" w:sz="1" w:space="0" w:color="BFBFBF"/>
              <w:left w:val="single" w:sz="1" w:space="0" w:color="BFBFBF"/>
              <w:bottom w:val="single" w:sz="1" w:space="0" w:color="BFBFBF"/>
              <w:right w:val="single" w:sz="1" w:space="0" w:color="BFBFBF"/>
            </w:tcBorders>
            <w:shd w:val="clear" w:color="auto" w:fill="F4B083" w:themeFill="accent2" w:themeFillTint="99"/>
            <w:tcMar>
              <w:top w:w="60" w:type="dxa"/>
              <w:left w:w="110" w:type="dxa"/>
              <w:bottom w:w="60" w:type="dxa"/>
              <w:right w:w="110" w:type="dxa"/>
            </w:tcMar>
          </w:tcPr>
          <w:p w14:paraId="52F52DF0" w14:textId="77777777" w:rsidR="008F3AAC" w:rsidRDefault="008F3AAC">
            <w:pPr>
              <w:spacing w:line="252" w:lineRule="auto"/>
            </w:pPr>
            <w:hyperlink r:id="rId7" w:history="1">
              <w:r>
                <w:rPr>
                  <w:rStyle w:val="Hyperlink"/>
                  <w:sz w:val="20"/>
                  <w:szCs w:val="20"/>
                </w:rPr>
                <w:t>PNAS</w:t>
              </w:r>
            </w:hyperlink>
          </w:p>
        </w:tc>
      </w:tr>
      <w:tr w:rsidR="008F3AAC" w14:paraId="4E35ACC2" w14:textId="77777777" w:rsidTr="00975F18">
        <w:tc>
          <w:tcPr>
            <w:tcW w:w="3000" w:type="dxa"/>
            <w:tcBorders>
              <w:top w:val="single" w:sz="1" w:space="0" w:color="BFBFBF"/>
              <w:left w:val="single" w:sz="1" w:space="0" w:color="BFBFBF"/>
              <w:bottom w:val="single" w:sz="1" w:space="0" w:color="BFBFBF"/>
              <w:right w:val="single" w:sz="1" w:space="0" w:color="BFBFBF"/>
            </w:tcBorders>
            <w:shd w:val="clear" w:color="auto" w:fill="F4B083" w:themeFill="accent2" w:themeFillTint="99"/>
            <w:tcMar>
              <w:top w:w="60" w:type="dxa"/>
              <w:left w:w="110" w:type="dxa"/>
              <w:bottom w:w="60" w:type="dxa"/>
              <w:right w:w="110" w:type="dxa"/>
            </w:tcMar>
          </w:tcPr>
          <w:p w14:paraId="72949FB2" w14:textId="77777777" w:rsidR="008F3AAC" w:rsidRDefault="00000000">
            <w:pPr>
              <w:spacing w:line="252" w:lineRule="auto"/>
            </w:pPr>
            <w:r>
              <w:t>Macy &amp; Willer (2002), Annual Review of Sociology — From Factors to Actors</w:t>
            </w:r>
          </w:p>
        </w:tc>
        <w:tc>
          <w:tcPr>
            <w:tcW w:w="4560" w:type="dxa"/>
            <w:tcBorders>
              <w:top w:val="single" w:sz="1" w:space="0" w:color="BFBFBF"/>
              <w:left w:val="single" w:sz="1" w:space="0" w:color="BFBFBF"/>
              <w:bottom w:val="single" w:sz="1" w:space="0" w:color="BFBFBF"/>
              <w:right w:val="single" w:sz="1" w:space="0" w:color="BFBFBF"/>
            </w:tcBorders>
            <w:shd w:val="clear" w:color="auto" w:fill="F4B083" w:themeFill="accent2" w:themeFillTint="99"/>
            <w:tcMar>
              <w:top w:w="60" w:type="dxa"/>
              <w:left w:w="110" w:type="dxa"/>
              <w:bottom w:w="60" w:type="dxa"/>
              <w:right w:w="110" w:type="dxa"/>
            </w:tcMar>
          </w:tcPr>
          <w:p w14:paraId="4ABF5EEF" w14:textId="77777777" w:rsidR="008F3AAC" w:rsidRDefault="00000000">
            <w:pPr>
              <w:spacing w:line="252" w:lineRule="auto"/>
            </w:pPr>
            <w:r>
              <w:t>Why social scientists turned to ABMs: modeling actors and their interactions instead of regressing on variables. The micro-to-macro argument in full.</w:t>
            </w:r>
          </w:p>
        </w:tc>
        <w:tc>
          <w:tcPr>
            <w:tcW w:w="1800" w:type="dxa"/>
            <w:tcBorders>
              <w:top w:val="single" w:sz="1" w:space="0" w:color="BFBFBF"/>
              <w:left w:val="single" w:sz="1" w:space="0" w:color="BFBFBF"/>
              <w:bottom w:val="single" w:sz="1" w:space="0" w:color="BFBFBF"/>
              <w:right w:val="single" w:sz="1" w:space="0" w:color="BFBFBF"/>
            </w:tcBorders>
            <w:shd w:val="clear" w:color="auto" w:fill="F4B083" w:themeFill="accent2" w:themeFillTint="99"/>
            <w:tcMar>
              <w:top w:w="60" w:type="dxa"/>
              <w:left w:w="110" w:type="dxa"/>
              <w:bottom w:w="60" w:type="dxa"/>
              <w:right w:w="110" w:type="dxa"/>
            </w:tcMar>
          </w:tcPr>
          <w:p w14:paraId="2AA9C6A0" w14:textId="77777777" w:rsidR="008F3AAC" w:rsidRDefault="008F3AAC">
            <w:pPr>
              <w:spacing w:line="252" w:lineRule="auto"/>
            </w:pPr>
            <w:hyperlink r:id="rId8" w:history="1">
              <w:r>
                <w:rPr>
                  <w:rStyle w:val="Hyperlink"/>
                  <w:sz w:val="20"/>
                  <w:szCs w:val="20"/>
                </w:rPr>
                <w:t>Annual Reviews</w:t>
              </w:r>
            </w:hyperlink>
          </w:p>
        </w:tc>
      </w:tr>
      <w:tr w:rsidR="008F3AAC" w14:paraId="29D3F4ED" w14:textId="77777777">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C317700" w14:textId="77777777" w:rsidR="008F3AAC" w:rsidRDefault="00000000">
            <w:pPr>
              <w:spacing w:line="252" w:lineRule="auto"/>
            </w:pPr>
            <w:r>
              <w:t>Schelling (1971) — Dynamic Models of Segregation</w:t>
            </w:r>
          </w:p>
        </w:tc>
        <w:tc>
          <w:tcPr>
            <w:tcW w:w="4560" w:type="dxa"/>
            <w:tcBorders>
              <w:top w:val="single" w:sz="1" w:space="0" w:color="BFBFBF"/>
              <w:left w:val="single" w:sz="1" w:space="0" w:color="BFBFBF"/>
              <w:bottom w:val="single" w:sz="1" w:space="0" w:color="BFBFBF"/>
              <w:right w:val="single" w:sz="1" w:space="0" w:color="BFBFBF"/>
            </w:tcBorders>
            <w:shd w:val="clear" w:color="auto" w:fill="EEF2F8"/>
            <w:tcMar>
              <w:top w:w="60" w:type="dxa"/>
              <w:left w:w="110" w:type="dxa"/>
              <w:bottom w:w="60" w:type="dxa"/>
              <w:right w:w="110" w:type="dxa"/>
            </w:tcMar>
          </w:tcPr>
          <w:p w14:paraId="10AF23C1" w14:textId="77777777" w:rsidR="008F3AAC" w:rsidRDefault="00000000">
            <w:pPr>
              <w:spacing w:line="252" w:lineRule="auto"/>
            </w:pPr>
            <w:r>
              <w:t>The founding example: mild individual preferences produce stark global segregation nobody chose. Run Mesa’s Schelling model alongside reading it.</w:t>
            </w:r>
          </w:p>
        </w:tc>
        <w:tc>
          <w:tcPr>
            <w:tcW w:w="1800" w:type="dxa"/>
            <w:tcBorders>
              <w:top w:val="single" w:sz="1" w:space="0" w:color="BFBFBF"/>
              <w:left w:val="single" w:sz="1" w:space="0" w:color="BFBFBF"/>
              <w:bottom w:val="single" w:sz="1" w:space="0" w:color="BFBFBF"/>
              <w:right w:val="single" w:sz="1" w:space="0" w:color="BFBFBF"/>
            </w:tcBorders>
            <w:shd w:val="clear" w:color="auto" w:fill="EEF2F8"/>
            <w:tcMar>
              <w:top w:w="60" w:type="dxa"/>
              <w:left w:w="110" w:type="dxa"/>
              <w:bottom w:w="60" w:type="dxa"/>
              <w:right w:w="110" w:type="dxa"/>
            </w:tcMar>
          </w:tcPr>
          <w:p w14:paraId="29FB540B" w14:textId="77777777" w:rsidR="008F3AAC" w:rsidRDefault="008F3AAC">
            <w:pPr>
              <w:spacing w:line="252" w:lineRule="auto"/>
            </w:pPr>
            <w:hyperlink r:id="rId9" w:history="1">
              <w:r>
                <w:rPr>
                  <w:rStyle w:val="Hyperlink"/>
                  <w:sz w:val="20"/>
                  <w:szCs w:val="20"/>
                </w:rPr>
                <w:t>overview</w:t>
              </w:r>
            </w:hyperlink>
          </w:p>
        </w:tc>
      </w:tr>
      <w:tr w:rsidR="008F3AAC" w14:paraId="62AF1FFA" w14:textId="77777777">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367F426" w14:textId="77777777" w:rsidR="008F3AAC" w:rsidRDefault="00000000">
            <w:pPr>
              <w:spacing w:line="252" w:lineRule="auto"/>
            </w:pPr>
            <w:r>
              <w:t>Epstein (1999) — Generative Social Science</w:t>
            </w:r>
          </w:p>
        </w:tc>
        <w:tc>
          <w:tcPr>
            <w:tcW w:w="4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60E3DA9" w14:textId="77777777" w:rsidR="008F3AAC" w:rsidRDefault="00000000">
            <w:pPr>
              <w:spacing w:line="252" w:lineRule="auto"/>
            </w:pPr>
            <w:r>
              <w:t>The credo of the field: “If you didn’t grow it, you didn’t explain it.” What it means to explain a pattern by generating it from the bottom up.</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B60266D" w14:textId="77777777" w:rsidR="008F3AAC" w:rsidRDefault="008F3AAC">
            <w:pPr>
              <w:spacing w:line="252" w:lineRule="auto"/>
            </w:pPr>
            <w:hyperlink r:id="rId10" w:history="1">
              <w:r>
                <w:rPr>
                  <w:rStyle w:val="Hyperlink"/>
                  <w:sz w:val="20"/>
                  <w:szCs w:val="20"/>
                </w:rPr>
                <w:t>Wiley</w:t>
              </w:r>
            </w:hyperlink>
          </w:p>
        </w:tc>
      </w:tr>
      <w:tr w:rsidR="008F3AAC" w14:paraId="6ECD1C3D" w14:textId="77777777">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36AA7BD" w14:textId="77777777" w:rsidR="008F3AAC" w:rsidRDefault="00000000">
            <w:pPr>
              <w:spacing w:line="252" w:lineRule="auto"/>
            </w:pPr>
            <w:r>
              <w:lastRenderedPageBreak/>
              <w:t>Epstein &amp; Axtell (1996) — Growing Artificial Societies (</w:t>
            </w:r>
            <w:proofErr w:type="spellStart"/>
            <w:r>
              <w:t>Sugarscape</w:t>
            </w:r>
            <w:proofErr w:type="spellEnd"/>
            <w:r>
              <w:t>)</w:t>
            </w:r>
          </w:p>
        </w:tc>
        <w:tc>
          <w:tcPr>
            <w:tcW w:w="4560" w:type="dxa"/>
            <w:tcBorders>
              <w:top w:val="single" w:sz="1" w:space="0" w:color="BFBFBF"/>
              <w:left w:val="single" w:sz="1" w:space="0" w:color="BFBFBF"/>
              <w:bottom w:val="single" w:sz="1" w:space="0" w:color="BFBFBF"/>
              <w:right w:val="single" w:sz="1" w:space="0" w:color="BFBFBF"/>
            </w:tcBorders>
            <w:shd w:val="clear" w:color="auto" w:fill="EEF2F8"/>
            <w:tcMar>
              <w:top w:w="60" w:type="dxa"/>
              <w:left w:w="110" w:type="dxa"/>
              <w:bottom w:w="60" w:type="dxa"/>
              <w:right w:w="110" w:type="dxa"/>
            </w:tcMar>
          </w:tcPr>
          <w:p w14:paraId="5DB1E968" w14:textId="77777777" w:rsidR="008F3AAC" w:rsidRDefault="00000000">
            <w:pPr>
              <w:spacing w:line="252" w:lineRule="auto"/>
            </w:pPr>
            <w:r>
              <w:t xml:space="preserve">The book that showed a whole society (trade, wealth, migration) emerging from simple agents. You don’t need the whole book — the SFI Mesa course builds </w:t>
            </w:r>
            <w:proofErr w:type="spellStart"/>
            <w:r>
              <w:t>Sugarscape</w:t>
            </w:r>
            <w:proofErr w:type="spellEnd"/>
            <w:r>
              <w:t xml:space="preserve"> lesson by lesson.</w:t>
            </w:r>
          </w:p>
        </w:tc>
        <w:tc>
          <w:tcPr>
            <w:tcW w:w="1800" w:type="dxa"/>
            <w:tcBorders>
              <w:top w:val="single" w:sz="1" w:space="0" w:color="BFBFBF"/>
              <w:left w:val="single" w:sz="1" w:space="0" w:color="BFBFBF"/>
              <w:bottom w:val="single" w:sz="1" w:space="0" w:color="BFBFBF"/>
              <w:right w:val="single" w:sz="1" w:space="0" w:color="BFBFBF"/>
            </w:tcBorders>
            <w:shd w:val="clear" w:color="auto" w:fill="EEF2F8"/>
            <w:tcMar>
              <w:top w:w="60" w:type="dxa"/>
              <w:left w:w="110" w:type="dxa"/>
              <w:bottom w:w="60" w:type="dxa"/>
              <w:right w:w="110" w:type="dxa"/>
            </w:tcMar>
          </w:tcPr>
          <w:p w14:paraId="0D541C44" w14:textId="77777777" w:rsidR="008F3AAC" w:rsidRDefault="008F3AAC">
            <w:pPr>
              <w:spacing w:line="252" w:lineRule="auto"/>
            </w:pPr>
            <w:hyperlink r:id="rId11" w:history="1">
              <w:r>
                <w:rPr>
                  <w:rStyle w:val="Hyperlink"/>
                  <w:sz w:val="20"/>
                  <w:szCs w:val="20"/>
                </w:rPr>
                <w:t>SFI course</w:t>
              </w:r>
            </w:hyperlink>
          </w:p>
        </w:tc>
      </w:tr>
      <w:tr w:rsidR="008F3AAC" w14:paraId="1D6EE28E" w14:textId="77777777">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DC15190" w14:textId="77777777" w:rsidR="008F3AAC" w:rsidRDefault="00000000">
            <w:pPr>
              <w:spacing w:line="252" w:lineRule="auto"/>
            </w:pPr>
            <w:r>
              <w:t>Hafner-Burton, Kahler &amp; Montgomery (2009) — Network Analysis for International Relations (optional, for our flavor)</w:t>
            </w:r>
          </w:p>
        </w:tc>
        <w:tc>
          <w:tcPr>
            <w:tcW w:w="4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C62CF77" w14:textId="77777777" w:rsidR="008F3AAC" w:rsidRDefault="00000000">
            <w:pPr>
              <w:spacing w:line="252" w:lineRule="auto"/>
            </w:pPr>
            <w:r>
              <w:t>Connects the network idea specifically to countries: power as position, alliances/trade/conflict as ties. Optional, but it’s the bridge to why our agents are countries.</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5BDCD04" w14:textId="77777777" w:rsidR="008F3AAC" w:rsidRDefault="008F3AAC">
            <w:pPr>
              <w:spacing w:line="252" w:lineRule="auto"/>
            </w:pPr>
            <w:hyperlink r:id="rId12" w:history="1">
              <w:r>
                <w:rPr>
                  <w:rStyle w:val="Hyperlink"/>
                  <w:sz w:val="20"/>
                  <w:szCs w:val="20"/>
                </w:rPr>
                <w:t>PDF</w:t>
              </w:r>
            </w:hyperlink>
          </w:p>
        </w:tc>
      </w:tr>
    </w:tbl>
    <w:p w14:paraId="41F61BBB" w14:textId="6EA3237A" w:rsidR="008F3AAC" w:rsidRDefault="00000000">
      <w:pPr>
        <w:pStyle w:val="Heading2"/>
      </w:pPr>
      <w:r>
        <w:t>Read with these questions in hand (write short answers</w:t>
      </w:r>
      <w:r w:rsidR="00717A91">
        <w:t>; mainly for yourself, but your answers can inform our meeting/discussion.</w:t>
      </w:r>
      <w:r>
        <w:t>)</w:t>
      </w:r>
    </w:p>
    <w:p w14:paraId="1992ACFA" w14:textId="77777777" w:rsidR="008F3AAC" w:rsidRDefault="00000000">
      <w:pPr>
        <w:pStyle w:val="ListParagraph"/>
        <w:numPr>
          <w:ilvl w:val="0"/>
          <w:numId w:val="2"/>
        </w:numPr>
        <w:spacing w:after="70" w:line="276" w:lineRule="auto"/>
      </w:pPr>
      <w:r>
        <w:t>In your own words: what can an ABM show you that a regression or a single aggregate equation cannot? Give one concrete example from the readings.</w:t>
      </w:r>
    </w:p>
    <w:p w14:paraId="2B02B6B5" w14:textId="77777777" w:rsidR="008F3AAC" w:rsidRDefault="00000000">
      <w:pPr>
        <w:pStyle w:val="ListParagraph"/>
        <w:numPr>
          <w:ilvl w:val="0"/>
          <w:numId w:val="2"/>
        </w:numPr>
        <w:spacing w:after="70" w:line="276" w:lineRule="auto"/>
      </w:pPr>
      <w:r>
        <w:t>What does “emergence” mean precisely here? Describe the micro-rule and the macro-pattern in Schelling, and explain why the macro-pattern is surprising given the micro-rule.</w:t>
      </w:r>
    </w:p>
    <w:p w14:paraId="222806F6" w14:textId="77777777" w:rsidR="008F3AAC" w:rsidRDefault="00000000">
      <w:pPr>
        <w:pStyle w:val="ListParagraph"/>
        <w:numPr>
          <w:ilvl w:val="0"/>
          <w:numId w:val="2"/>
        </w:numPr>
        <w:spacing w:after="70" w:line="276" w:lineRule="auto"/>
      </w:pPr>
      <w:r>
        <w:t>Epstein’s “generative” standard is demanding. State it in one sentence, then name one thing it is good at and one thing it cannot do (what does “growing” a pattern prove, and what does it not prove?).</w:t>
      </w:r>
    </w:p>
    <w:p w14:paraId="749FD099" w14:textId="77777777" w:rsidR="008F3AAC" w:rsidRDefault="00000000">
      <w:pPr>
        <w:pStyle w:val="ListParagraph"/>
        <w:numPr>
          <w:ilvl w:val="0"/>
          <w:numId w:val="2"/>
        </w:numPr>
        <w:spacing w:after="70" w:line="276" w:lineRule="auto"/>
      </w:pPr>
      <w:r>
        <w:t>ABMs are often criticized as able to “grow anything” if you pick the right rules. Why is that a serious problem, and what would make a particular ABM result convincing rather than just suggestive? (Think about validation, sensitivity, and out-of-sample checks.)</w:t>
      </w:r>
    </w:p>
    <w:p w14:paraId="3212777E" w14:textId="77777777" w:rsidR="008F3AAC" w:rsidRDefault="00000000">
      <w:pPr>
        <w:pStyle w:val="ListParagraph"/>
        <w:numPr>
          <w:ilvl w:val="0"/>
          <w:numId w:val="2"/>
        </w:numPr>
        <w:spacing w:after="70" w:line="276" w:lineRule="auto"/>
      </w:pPr>
      <w:r>
        <w:t>Map it back: for each of our model’s four rules (homophily, structural balance, power/parity, gravity), name the macro-pattern you’d expect it to push the system toward.</w:t>
      </w:r>
    </w:p>
    <w:p w14:paraId="097EE4A2" w14:textId="77777777" w:rsidR="008F3AAC" w:rsidRDefault="00000000">
      <w:pPr>
        <w:pStyle w:val="Heading1"/>
      </w:pPr>
      <w:r>
        <w:t>Part 2 — The real-world data behind the model</w:t>
      </w:r>
    </w:p>
    <w:p w14:paraId="6415D5BE" w14:textId="77777777" w:rsidR="008F3AAC" w:rsidRDefault="00000000">
      <w:pPr>
        <w:spacing w:after="150" w:line="286" w:lineRule="auto"/>
      </w:pPr>
      <w:r>
        <w:t xml:space="preserve">When you run </w:t>
      </w:r>
      <w:r>
        <w:rPr>
          <w:rFonts w:ascii="Consolas" w:eastAsia="Consolas" w:hAnsi="Consolas" w:cs="Consolas"/>
          <w:color w:val="7A3E00"/>
          <w:sz w:val="20"/>
          <w:szCs w:val="20"/>
        </w:rPr>
        <w:t>run_realworld.py</w:t>
      </w:r>
      <w:r>
        <w:t>, the model stops being abstract: each country’s strength comes from a real capability index, and its alignment from how it actually votes at the UN. To trust — or properly distrust — what the model does, you need to understand what those two numbers are, how they’re built, and what they quietly leave out. This is where a modeler earns their keep: the result is only as meaningful as the inputs.</w:t>
      </w:r>
    </w:p>
    <w:p w14:paraId="34B5D163" w14:textId="77777777" w:rsidR="008F3AAC" w:rsidRDefault="00000000">
      <w:pPr>
        <w:pStyle w:val="Heading2"/>
      </w:pPr>
      <w:r>
        <w:t>2a. CINC — the Composite Index of National Capability</w:t>
      </w:r>
    </w:p>
    <w:p w14:paraId="3E2E8401" w14:textId="77777777" w:rsidR="008F3AAC" w:rsidRDefault="00000000">
      <w:pPr>
        <w:spacing w:after="150" w:line="286" w:lineRule="auto"/>
      </w:pPr>
      <w:r>
        <w:rPr>
          <w:rFonts w:ascii="Consolas" w:eastAsia="Consolas" w:hAnsi="Consolas" w:cs="Consolas"/>
          <w:color w:val="7A3E00"/>
          <w:sz w:val="20"/>
          <w:szCs w:val="20"/>
        </w:rPr>
        <w:t>power</w:t>
      </w:r>
      <w:r>
        <w:t xml:space="preserve"> in the model comes from </w:t>
      </w:r>
      <w:r>
        <w:rPr>
          <w:b/>
          <w:bCs/>
        </w:rPr>
        <w:t>CINC</w:t>
      </w:r>
      <w:r>
        <w:t>, the standard “hard power” index from the Correlates of War project. It’s the average of a country’s share of six global totals: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8F3AAC" w14:paraId="19B58883" w14:textId="77777777">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385723"/>
            <w:tcMar>
              <w:top w:w="60" w:type="dxa"/>
              <w:left w:w="110" w:type="dxa"/>
              <w:bottom w:w="60" w:type="dxa"/>
              <w:right w:w="110" w:type="dxa"/>
            </w:tcMar>
          </w:tcPr>
          <w:p w14:paraId="198AE751" w14:textId="77777777" w:rsidR="008F3AAC" w:rsidRDefault="00000000">
            <w:r>
              <w:rPr>
                <w:b/>
                <w:bCs/>
                <w:color w:val="FFFFFF"/>
              </w:rPr>
              <w:lastRenderedPageBreak/>
              <w:t>Component</w:t>
            </w:r>
          </w:p>
        </w:tc>
        <w:tc>
          <w:tcPr>
            <w:tcW w:w="5960" w:type="dxa"/>
            <w:tcBorders>
              <w:top w:val="single" w:sz="1" w:space="0" w:color="BFBFBF"/>
              <w:left w:val="single" w:sz="1" w:space="0" w:color="BFBFBF"/>
              <w:bottom w:val="single" w:sz="1" w:space="0" w:color="BFBFBF"/>
              <w:right w:val="single" w:sz="1" w:space="0" w:color="BFBFBF"/>
            </w:tcBorders>
            <w:shd w:val="clear" w:color="auto" w:fill="385723"/>
            <w:tcMar>
              <w:top w:w="60" w:type="dxa"/>
              <w:left w:w="110" w:type="dxa"/>
              <w:bottom w:w="60" w:type="dxa"/>
              <w:right w:w="110" w:type="dxa"/>
            </w:tcMar>
          </w:tcPr>
          <w:p w14:paraId="00D8D6D0" w14:textId="77777777" w:rsidR="008F3AAC" w:rsidRDefault="00000000">
            <w:r>
              <w:rPr>
                <w:b/>
                <w:bCs/>
                <w:color w:val="FFFFFF"/>
              </w:rPr>
              <w:t>What it stands in for</w:t>
            </w:r>
          </w:p>
        </w:tc>
      </w:tr>
      <w:tr w:rsidR="008F3AAC" w14:paraId="1AB2816D" w14:textId="77777777">
        <w:tc>
          <w:tcPr>
            <w:tcW w:w="3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442BDBD" w14:textId="77777777" w:rsidR="008F3AAC" w:rsidRDefault="00000000">
            <w:pPr>
              <w:spacing w:line="252" w:lineRule="auto"/>
            </w:pPr>
            <w:r>
              <w:t>Total population</w:t>
            </w:r>
          </w:p>
        </w:tc>
        <w:tc>
          <w:tcPr>
            <w:tcW w:w="5960" w:type="dxa"/>
            <w:tcBorders>
              <w:top w:val="single" w:sz="1" w:space="0" w:color="BFBFBF"/>
              <w:left w:val="single" w:sz="1" w:space="0" w:color="BFBFBF"/>
              <w:bottom w:val="single" w:sz="1" w:space="0" w:color="BFBFBF"/>
              <w:right w:val="single" w:sz="1" w:space="0" w:color="BFBFBF"/>
            </w:tcBorders>
            <w:shd w:val="clear" w:color="auto" w:fill="EEF4EC"/>
            <w:tcMar>
              <w:top w:w="60" w:type="dxa"/>
              <w:left w:w="110" w:type="dxa"/>
              <w:bottom w:w="60" w:type="dxa"/>
              <w:right w:w="110" w:type="dxa"/>
            </w:tcMar>
          </w:tcPr>
          <w:p w14:paraId="6F75F12F" w14:textId="77777777" w:rsidR="008F3AAC" w:rsidRDefault="00000000">
            <w:pPr>
              <w:spacing w:line="252" w:lineRule="auto"/>
            </w:pPr>
            <w:r>
              <w:t>Raw demographic mass — potential manpower and economy size.</w:t>
            </w:r>
          </w:p>
        </w:tc>
      </w:tr>
      <w:tr w:rsidR="008F3AAC" w14:paraId="4B3B1F25" w14:textId="77777777">
        <w:tc>
          <w:tcPr>
            <w:tcW w:w="3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D1BF4E9" w14:textId="77777777" w:rsidR="008F3AAC" w:rsidRDefault="00000000">
            <w:pPr>
              <w:spacing w:line="252" w:lineRule="auto"/>
            </w:pPr>
            <w:r>
              <w:t>Urban population</w:t>
            </w:r>
          </w:p>
        </w:tc>
        <w:tc>
          <w:tcPr>
            <w:tcW w:w="5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48F5EF8" w14:textId="77777777" w:rsidR="008F3AAC" w:rsidRDefault="00000000">
            <w:pPr>
              <w:spacing w:line="252" w:lineRule="auto"/>
            </w:pPr>
            <w:r>
              <w:t>Industrialization / modernization of that population.</w:t>
            </w:r>
          </w:p>
        </w:tc>
      </w:tr>
      <w:tr w:rsidR="008F3AAC" w14:paraId="7027A811" w14:textId="77777777">
        <w:tc>
          <w:tcPr>
            <w:tcW w:w="3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6269A1F" w14:textId="77777777" w:rsidR="008F3AAC" w:rsidRDefault="00000000">
            <w:pPr>
              <w:spacing w:line="252" w:lineRule="auto"/>
            </w:pPr>
            <w:r>
              <w:t>Iron &amp; steel production</w:t>
            </w:r>
          </w:p>
        </w:tc>
        <w:tc>
          <w:tcPr>
            <w:tcW w:w="5960" w:type="dxa"/>
            <w:tcBorders>
              <w:top w:val="single" w:sz="1" w:space="0" w:color="BFBFBF"/>
              <w:left w:val="single" w:sz="1" w:space="0" w:color="BFBFBF"/>
              <w:bottom w:val="single" w:sz="1" w:space="0" w:color="BFBFBF"/>
              <w:right w:val="single" w:sz="1" w:space="0" w:color="BFBFBF"/>
            </w:tcBorders>
            <w:shd w:val="clear" w:color="auto" w:fill="EEF4EC"/>
            <w:tcMar>
              <w:top w:w="60" w:type="dxa"/>
              <w:left w:w="110" w:type="dxa"/>
              <w:bottom w:w="60" w:type="dxa"/>
              <w:right w:w="110" w:type="dxa"/>
            </w:tcMar>
          </w:tcPr>
          <w:p w14:paraId="01F35C46" w14:textId="77777777" w:rsidR="008F3AAC" w:rsidRDefault="00000000">
            <w:pPr>
              <w:spacing w:line="252" w:lineRule="auto"/>
            </w:pPr>
            <w:r>
              <w:t>Heavy-industrial base (a 20th-century proxy for war-making capacity).</w:t>
            </w:r>
          </w:p>
        </w:tc>
      </w:tr>
      <w:tr w:rsidR="008F3AAC" w14:paraId="1B9DB2A5" w14:textId="77777777">
        <w:tc>
          <w:tcPr>
            <w:tcW w:w="3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C678EB0" w14:textId="77777777" w:rsidR="008F3AAC" w:rsidRDefault="00000000">
            <w:pPr>
              <w:spacing w:line="252" w:lineRule="auto"/>
            </w:pPr>
            <w:r>
              <w:t>Primary energy consumption</w:t>
            </w:r>
          </w:p>
        </w:tc>
        <w:tc>
          <w:tcPr>
            <w:tcW w:w="5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BD9BFBD" w14:textId="77777777" w:rsidR="008F3AAC" w:rsidRDefault="00000000">
            <w:pPr>
              <w:spacing w:line="252" w:lineRule="auto"/>
            </w:pPr>
            <w:r>
              <w:t>Industrial and economic throughput.</w:t>
            </w:r>
          </w:p>
        </w:tc>
      </w:tr>
      <w:tr w:rsidR="008F3AAC" w14:paraId="49ABF833" w14:textId="77777777">
        <w:tc>
          <w:tcPr>
            <w:tcW w:w="3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BDB1686" w14:textId="77777777" w:rsidR="008F3AAC" w:rsidRDefault="00000000">
            <w:pPr>
              <w:spacing w:line="252" w:lineRule="auto"/>
            </w:pPr>
            <w:r>
              <w:t>Military expenditure</w:t>
            </w:r>
          </w:p>
        </w:tc>
        <w:tc>
          <w:tcPr>
            <w:tcW w:w="5960" w:type="dxa"/>
            <w:tcBorders>
              <w:top w:val="single" w:sz="1" w:space="0" w:color="BFBFBF"/>
              <w:left w:val="single" w:sz="1" w:space="0" w:color="BFBFBF"/>
              <w:bottom w:val="single" w:sz="1" w:space="0" w:color="BFBFBF"/>
              <w:right w:val="single" w:sz="1" w:space="0" w:color="BFBFBF"/>
            </w:tcBorders>
            <w:shd w:val="clear" w:color="auto" w:fill="EEF4EC"/>
            <w:tcMar>
              <w:top w:w="60" w:type="dxa"/>
              <w:left w:w="110" w:type="dxa"/>
              <w:bottom w:w="60" w:type="dxa"/>
              <w:right w:w="110" w:type="dxa"/>
            </w:tcMar>
          </w:tcPr>
          <w:p w14:paraId="6EFBB718" w14:textId="77777777" w:rsidR="008F3AAC" w:rsidRDefault="00000000">
            <w:pPr>
              <w:spacing w:line="252" w:lineRule="auto"/>
            </w:pPr>
            <w:r>
              <w:t>Resources devoted to force.</w:t>
            </w:r>
          </w:p>
        </w:tc>
      </w:tr>
      <w:tr w:rsidR="008F3AAC" w14:paraId="5B987E13" w14:textId="77777777">
        <w:tc>
          <w:tcPr>
            <w:tcW w:w="3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55D8654" w14:textId="77777777" w:rsidR="008F3AAC" w:rsidRDefault="00000000">
            <w:pPr>
              <w:spacing w:line="252" w:lineRule="auto"/>
            </w:pPr>
            <w:r>
              <w:t>Military personnel</w:t>
            </w:r>
          </w:p>
        </w:tc>
        <w:tc>
          <w:tcPr>
            <w:tcW w:w="59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FF7417F" w14:textId="77777777" w:rsidR="008F3AAC" w:rsidRDefault="00000000">
            <w:pPr>
              <w:spacing w:line="252" w:lineRule="auto"/>
            </w:pPr>
            <w:r>
              <w:t>Size of the armed forces.</w:t>
            </w:r>
          </w:p>
        </w:tc>
      </w:tr>
    </w:tbl>
    <w:p w14:paraId="00824D2B" w14:textId="77777777" w:rsidR="00975F18" w:rsidRDefault="00975F18">
      <w:pPr>
        <w:spacing w:after="150" w:line="286" w:lineRule="auto"/>
      </w:pPr>
    </w:p>
    <w:p w14:paraId="0429900C" w14:textId="7AF412CD" w:rsidR="008F3AAC" w:rsidRDefault="00000000">
      <w:pPr>
        <w:spacing w:after="150" w:line="286" w:lineRule="auto"/>
      </w:pPr>
      <w:r>
        <w:t xml:space="preserve">The formula is deliberately simple: for each component, take the country’s share of the world total that year; CINC is the average of those six shares. </w:t>
      </w:r>
      <w:proofErr w:type="gramStart"/>
      <w:r>
        <w:t>So</w:t>
      </w:r>
      <w:proofErr w:type="gramEnd"/>
      <w:r>
        <w:t xml:space="preserve"> it runs from 0 to 1 and all countries’ scores sum to 1 — it’s a measure of a country’s </w:t>
      </w:r>
      <w:r>
        <w:rPr>
          <w:b/>
          <w:bCs/>
        </w:rPr>
        <w:t>share of total world capability</w:t>
      </w:r>
      <w:r>
        <w:t>. It comes from Singer, Bremer &amp; Stuckey (1972) and is maintained as the COW National Material Capabilities dataset (currently v6.0, covering 1816–2016).</w:t>
      </w:r>
    </w:p>
    <w:p w14:paraId="55EC6845" w14:textId="77777777" w:rsidR="00975F18" w:rsidRDefault="00000000">
      <w:pPr>
        <w:spacing w:after="150" w:line="286" w:lineRule="auto"/>
      </w:pPr>
      <w:r>
        <w:t xml:space="preserve">Here’s the part that should make you think. Because CINC weighs population, steel, energy, and troop numbers heavily, it ranks </w:t>
      </w:r>
      <w:r>
        <w:rPr>
          <w:b/>
          <w:bCs/>
        </w:rPr>
        <w:t>China as the single most capable state, above the United States</w:t>
      </w:r>
      <w:r>
        <w:t xml:space="preserve"> — and has for years. That is not an error; it’s what the index measures. </w:t>
      </w:r>
    </w:p>
    <w:p w14:paraId="4987DA7A" w14:textId="696902C2" w:rsidR="008F3AAC" w:rsidRDefault="00000000">
      <w:pPr>
        <w:spacing w:after="150" w:line="286" w:lineRule="auto"/>
      </w:pPr>
      <w:r>
        <w:t>It’s also a window onto everything CINC ignores: the quality and sophistication of an economy, technology, GDP, alliances, institutions, the global role of a currency, “soft” power. A 1972 index built around iron and steel sees the world very differently than a GDP- or technology-based one would.</w:t>
      </w:r>
    </w:p>
    <w:p w14:paraId="7BD5440C" w14:textId="77777777" w:rsidR="008F3AAC" w:rsidRDefault="00000000">
      <w:pPr>
        <w:pStyle w:val="Heading2"/>
      </w:pPr>
      <w:r>
        <w:t>2b. UN voting ideal points</w:t>
      </w:r>
    </w:p>
    <w:p w14:paraId="3FA0765F" w14:textId="77777777" w:rsidR="008F3AAC" w:rsidRDefault="00000000">
      <w:pPr>
        <w:spacing w:after="150" w:line="286" w:lineRule="auto"/>
      </w:pPr>
      <w:r>
        <w:rPr>
          <w:rFonts w:ascii="Consolas" w:eastAsia="Consolas" w:hAnsi="Consolas" w:cs="Consolas"/>
          <w:color w:val="7A3E00"/>
          <w:sz w:val="20"/>
          <w:szCs w:val="20"/>
        </w:rPr>
        <w:t>alignment</w:t>
      </w:r>
      <w:r>
        <w:t xml:space="preserve"> comes from </w:t>
      </w:r>
      <w:r>
        <w:rPr>
          <w:b/>
          <w:bCs/>
        </w:rPr>
        <w:t>UN General Assembly ideal points</w:t>
      </w:r>
      <w:r>
        <w:t xml:space="preserve"> (Bailey, </w:t>
      </w:r>
      <w:proofErr w:type="spellStart"/>
      <w:r>
        <w:t>Strezhnev</w:t>
      </w:r>
      <w:proofErr w:type="spellEnd"/>
      <w:r>
        <w:t xml:space="preserve"> &amp; </w:t>
      </w:r>
      <w:proofErr w:type="spellStart"/>
      <w:r>
        <w:t>Voeten</w:t>
      </w:r>
      <w:proofErr w:type="spellEnd"/>
      <w:r>
        <w:t xml:space="preserve"> 2017). They take decades of UNGA roll-call votes and fit a statistical model (an item-response model, the same family used to score test-takers’ ability from question patterns) that places each country, each year, on a single axis interpreted as its </w:t>
      </w:r>
      <w:r>
        <w:rPr>
          <w:b/>
          <w:bCs/>
        </w:rPr>
        <w:t>position toward the US-led liberal international order</w:t>
      </w:r>
      <w:r>
        <w:t>. Higher means more aligned with that order, lower means more opposed. It’s a defensible, widely used measure of foreign-policy posture — and, like CINC, it’s a one-dimensional summary of something genuinely multidimensional, which is both its convenience and its limit.</w:t>
      </w:r>
    </w:p>
    <w:p w14:paraId="09E9F7A7" w14:textId="77777777" w:rsidR="008F3AAC" w:rsidRDefault="00000000">
      <w:pPr>
        <w:pStyle w:val="Heading2"/>
      </w:pPr>
      <w:r>
        <w:t>2c. From data to nodes and edges</w:t>
      </w:r>
    </w:p>
    <w:p w14:paraId="6FCE6CAD" w14:textId="77777777" w:rsidR="008F3AAC" w:rsidRDefault="00000000">
      <w:pPr>
        <w:spacing w:after="150" w:line="286" w:lineRule="auto"/>
      </w:pPr>
      <w:proofErr w:type="gramStart"/>
      <w:r>
        <w:t>So</w:t>
      </w:r>
      <w:proofErr w:type="gramEnd"/>
      <w:r>
        <w:t xml:space="preserve"> the wiring is: </w:t>
      </w:r>
      <w:r>
        <w:rPr>
          <w:rFonts w:ascii="Consolas" w:eastAsia="Consolas" w:hAnsi="Consolas" w:cs="Consolas"/>
          <w:color w:val="7A3E00"/>
          <w:sz w:val="20"/>
          <w:szCs w:val="20"/>
        </w:rPr>
        <w:t>power</w:t>
      </w:r>
      <w:r>
        <w:t xml:space="preserve"> ← CINC (rescaled so the average country is 1, preserving real ratios), </w:t>
      </w:r>
      <w:r>
        <w:rPr>
          <w:rFonts w:ascii="Consolas" w:eastAsia="Consolas" w:hAnsi="Consolas" w:cs="Consolas"/>
          <w:color w:val="7A3E00"/>
          <w:sz w:val="20"/>
          <w:szCs w:val="20"/>
        </w:rPr>
        <w:t>alignment</w:t>
      </w:r>
      <w:r>
        <w:t xml:space="preserve"> ← ideal point (rescaled into the model’s −1…+1 range). The </w:t>
      </w:r>
      <w:r>
        <w:rPr>
          <w:b/>
          <w:bCs/>
        </w:rPr>
        <w:t>relationships</w:t>
      </w:r>
      <w:r>
        <w:t xml:space="preserve"> are then *inferred* by the homophily and balance rules from those alignments — the model is not yet given real alliances or trade. That gap is deliberate, and it’s the most natural place your own data could enter later (see the “bringing in your own data” section of the Week 1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8"/>
        <w:gridCol w:w="4541"/>
        <w:gridCol w:w="1831"/>
      </w:tblGrid>
      <w:tr w:rsidR="008F3AAC" w14:paraId="296B2E1A" w14:textId="77777777">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5D2C0CBA" w14:textId="77777777" w:rsidR="008F3AAC" w:rsidRDefault="00000000">
            <w:r>
              <w:rPr>
                <w:b/>
                <w:bCs/>
                <w:color w:val="FFFFFF"/>
              </w:rPr>
              <w:lastRenderedPageBreak/>
              <w:t>Dataset</w:t>
            </w:r>
          </w:p>
        </w:tc>
        <w:tc>
          <w:tcPr>
            <w:tcW w:w="4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7DF11A5A" w14:textId="77777777" w:rsidR="008F3AAC" w:rsidRDefault="00000000">
            <w:r>
              <w:rPr>
                <w:b/>
                <w:bCs/>
                <w:color w:val="FFFFFF"/>
              </w:rPr>
              <w:t>What to read it for</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tcPr>
          <w:p w14:paraId="258CE648" w14:textId="77777777" w:rsidR="008F3AAC" w:rsidRDefault="00000000">
            <w:r>
              <w:rPr>
                <w:b/>
                <w:bCs/>
                <w:color w:val="FFFFFF"/>
              </w:rPr>
              <w:t>Link</w:t>
            </w:r>
          </w:p>
        </w:tc>
      </w:tr>
      <w:tr w:rsidR="008F3AAC" w14:paraId="60A9F9B1" w14:textId="77777777">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FD45C09" w14:textId="77777777" w:rsidR="008F3AAC" w:rsidRDefault="00000000">
            <w:pPr>
              <w:spacing w:line="252" w:lineRule="auto"/>
            </w:pPr>
            <w:r>
              <w:t>COW National Material Capabilities (CINC)</w:t>
            </w:r>
          </w:p>
        </w:tc>
        <w:tc>
          <w:tcPr>
            <w:tcW w:w="4560" w:type="dxa"/>
            <w:tcBorders>
              <w:top w:val="single" w:sz="1" w:space="0" w:color="BFBFBF"/>
              <w:left w:val="single" w:sz="1" w:space="0" w:color="BFBFBF"/>
              <w:bottom w:val="single" w:sz="1" w:space="0" w:color="BFBFBF"/>
              <w:right w:val="single" w:sz="1" w:space="0" w:color="BFBFBF"/>
            </w:tcBorders>
            <w:shd w:val="clear" w:color="auto" w:fill="EEF2F8"/>
            <w:tcMar>
              <w:top w:w="60" w:type="dxa"/>
              <w:left w:w="110" w:type="dxa"/>
              <w:bottom w:w="60" w:type="dxa"/>
              <w:right w:w="110" w:type="dxa"/>
            </w:tcMar>
          </w:tcPr>
          <w:p w14:paraId="60DB8EC6" w14:textId="77777777" w:rsidR="008F3AAC" w:rsidRDefault="00000000">
            <w:pPr>
              <w:spacing w:line="252" w:lineRule="auto"/>
            </w:pPr>
            <w:r>
              <w:t>The six components, coverage, and the codebook. Skim the documentation, not the raw data.</w:t>
            </w:r>
          </w:p>
        </w:tc>
        <w:tc>
          <w:tcPr>
            <w:tcW w:w="1800" w:type="dxa"/>
            <w:tcBorders>
              <w:top w:val="single" w:sz="1" w:space="0" w:color="BFBFBF"/>
              <w:left w:val="single" w:sz="1" w:space="0" w:color="BFBFBF"/>
              <w:bottom w:val="single" w:sz="1" w:space="0" w:color="BFBFBF"/>
              <w:right w:val="single" w:sz="1" w:space="0" w:color="BFBFBF"/>
            </w:tcBorders>
            <w:shd w:val="clear" w:color="auto" w:fill="EEF2F8"/>
            <w:tcMar>
              <w:top w:w="60" w:type="dxa"/>
              <w:left w:w="110" w:type="dxa"/>
              <w:bottom w:w="60" w:type="dxa"/>
              <w:right w:w="110" w:type="dxa"/>
            </w:tcMar>
          </w:tcPr>
          <w:p w14:paraId="62012309" w14:textId="77777777" w:rsidR="008F3AAC" w:rsidRDefault="008F3AAC">
            <w:pPr>
              <w:spacing w:line="252" w:lineRule="auto"/>
            </w:pPr>
            <w:hyperlink r:id="rId13" w:history="1">
              <w:r>
                <w:rPr>
                  <w:rStyle w:val="Hyperlink"/>
                  <w:sz w:val="20"/>
                  <w:szCs w:val="20"/>
                </w:rPr>
                <w:t>correlatesofwar.org</w:t>
              </w:r>
            </w:hyperlink>
          </w:p>
        </w:tc>
      </w:tr>
      <w:tr w:rsidR="008F3AAC" w14:paraId="3C6F9041" w14:textId="77777777">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3DCEAF1" w14:textId="77777777" w:rsidR="008F3AAC" w:rsidRDefault="00000000">
            <w:pPr>
              <w:spacing w:line="252" w:lineRule="auto"/>
            </w:pPr>
            <w:r>
              <w:t>CINC — formula and critiques</w:t>
            </w:r>
          </w:p>
        </w:tc>
        <w:tc>
          <w:tcPr>
            <w:tcW w:w="4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D2E121D" w14:textId="77777777" w:rsidR="008F3AAC" w:rsidRDefault="00000000">
            <w:pPr>
              <w:spacing w:line="252" w:lineRule="auto"/>
            </w:pPr>
            <w:r>
              <w:t>How it’s computed and the standard criticisms of it as a power measure.</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B79D865" w14:textId="77777777" w:rsidR="008F3AAC" w:rsidRDefault="008F3AAC">
            <w:pPr>
              <w:spacing w:line="252" w:lineRule="auto"/>
            </w:pPr>
            <w:hyperlink r:id="rId14" w:history="1">
              <w:r>
                <w:rPr>
                  <w:rStyle w:val="Hyperlink"/>
                  <w:sz w:val="20"/>
                  <w:szCs w:val="20"/>
                </w:rPr>
                <w:t>overview</w:t>
              </w:r>
            </w:hyperlink>
          </w:p>
        </w:tc>
      </w:tr>
      <w:tr w:rsidR="008F3AAC" w14:paraId="7BF8C075" w14:textId="77777777">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EFDE74E" w14:textId="77777777" w:rsidR="008F3AAC" w:rsidRDefault="00000000">
            <w:pPr>
              <w:spacing w:line="252" w:lineRule="auto"/>
            </w:pPr>
            <w:r>
              <w:t xml:space="preserve">Bailey, </w:t>
            </w:r>
            <w:proofErr w:type="spellStart"/>
            <w:r>
              <w:t>Strezhnev</w:t>
            </w:r>
            <w:proofErr w:type="spellEnd"/>
            <w:r>
              <w:t xml:space="preserve"> &amp; </w:t>
            </w:r>
            <w:proofErr w:type="spellStart"/>
            <w:r>
              <w:t>Voeten</w:t>
            </w:r>
            <w:proofErr w:type="spellEnd"/>
            <w:r>
              <w:t xml:space="preserve"> (2017) — UN ideal points</w:t>
            </w:r>
          </w:p>
        </w:tc>
        <w:tc>
          <w:tcPr>
            <w:tcW w:w="4560" w:type="dxa"/>
            <w:tcBorders>
              <w:top w:val="single" w:sz="1" w:space="0" w:color="BFBFBF"/>
              <w:left w:val="single" w:sz="1" w:space="0" w:color="BFBFBF"/>
              <w:bottom w:val="single" w:sz="1" w:space="0" w:color="BFBFBF"/>
              <w:right w:val="single" w:sz="1" w:space="0" w:color="BFBFBF"/>
            </w:tcBorders>
            <w:shd w:val="clear" w:color="auto" w:fill="EEF2F8"/>
            <w:tcMar>
              <w:top w:w="60" w:type="dxa"/>
              <w:left w:w="110" w:type="dxa"/>
              <w:bottom w:w="60" w:type="dxa"/>
              <w:right w:w="110" w:type="dxa"/>
            </w:tcMar>
          </w:tcPr>
          <w:p w14:paraId="0D9F5F13" w14:textId="77777777" w:rsidR="008F3AAC" w:rsidRDefault="00000000">
            <w:pPr>
              <w:spacing w:line="252" w:lineRule="auto"/>
            </w:pPr>
            <w:r>
              <w:t>What the ideal-point axis means and how it’s estimated. Read the intro and the interpretation sections.</w:t>
            </w:r>
          </w:p>
        </w:tc>
        <w:tc>
          <w:tcPr>
            <w:tcW w:w="1800" w:type="dxa"/>
            <w:tcBorders>
              <w:top w:val="single" w:sz="1" w:space="0" w:color="BFBFBF"/>
              <w:left w:val="single" w:sz="1" w:space="0" w:color="BFBFBF"/>
              <w:bottom w:val="single" w:sz="1" w:space="0" w:color="BFBFBF"/>
              <w:right w:val="single" w:sz="1" w:space="0" w:color="BFBFBF"/>
            </w:tcBorders>
            <w:shd w:val="clear" w:color="auto" w:fill="EEF2F8"/>
            <w:tcMar>
              <w:top w:w="60" w:type="dxa"/>
              <w:left w:w="110" w:type="dxa"/>
              <w:bottom w:w="60" w:type="dxa"/>
              <w:right w:w="110" w:type="dxa"/>
            </w:tcMar>
          </w:tcPr>
          <w:p w14:paraId="360F172C" w14:textId="77777777" w:rsidR="008F3AAC" w:rsidRDefault="008F3AAC">
            <w:pPr>
              <w:spacing w:line="252" w:lineRule="auto"/>
            </w:pPr>
            <w:hyperlink r:id="rId15" w:history="1">
              <w:r>
                <w:rPr>
                  <w:rStyle w:val="Hyperlink"/>
                  <w:sz w:val="20"/>
                  <w:szCs w:val="20"/>
                </w:rPr>
                <w:t>JCR</w:t>
              </w:r>
            </w:hyperlink>
          </w:p>
        </w:tc>
      </w:tr>
      <w:tr w:rsidR="008F3AAC" w14:paraId="655805F7" w14:textId="77777777">
        <w:tc>
          <w:tcPr>
            <w:tcW w:w="3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0FC41AB" w14:textId="77777777" w:rsidR="008F3AAC" w:rsidRDefault="00000000">
            <w:pPr>
              <w:spacing w:line="252" w:lineRule="auto"/>
            </w:pPr>
            <w:proofErr w:type="spellStart"/>
            <w:r>
              <w:t>Voeten</w:t>
            </w:r>
            <w:proofErr w:type="spellEnd"/>
            <w:r>
              <w:t xml:space="preserve"> UN voting data (Dataverse)</w:t>
            </w:r>
          </w:p>
        </w:tc>
        <w:tc>
          <w:tcPr>
            <w:tcW w:w="45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86FE5A8" w14:textId="77777777" w:rsidR="008F3AAC" w:rsidRDefault="00000000">
            <w:pPr>
              <w:spacing w:line="252" w:lineRule="auto"/>
            </w:pPr>
            <w:r>
              <w:t>Where the authoritative ideal-point data lives, if you want to replace our approximate snapshot.</w:t>
            </w:r>
          </w:p>
        </w:tc>
        <w:tc>
          <w:tcPr>
            <w:tcW w:w="18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7CA4223" w14:textId="77777777" w:rsidR="008F3AAC" w:rsidRDefault="008F3AAC">
            <w:pPr>
              <w:spacing w:line="252" w:lineRule="auto"/>
            </w:pPr>
            <w:hyperlink r:id="rId16" w:history="1">
              <w:r>
                <w:rPr>
                  <w:rStyle w:val="Hyperlink"/>
                  <w:sz w:val="20"/>
                  <w:szCs w:val="20"/>
                </w:rPr>
                <w:t>Harvard Dataverse</w:t>
              </w:r>
            </w:hyperlink>
          </w:p>
        </w:tc>
      </w:tr>
    </w:tbl>
    <w:p w14:paraId="7CE9B8FB" w14:textId="77777777" w:rsidR="008F3AAC" w:rsidRDefault="00000000">
      <w:pPr>
        <w:pStyle w:val="Heading2"/>
      </w:pPr>
      <w:r>
        <w:t>Data exercises (hands-on, but with your head in the readings)</w:t>
      </w:r>
    </w:p>
    <w:p w14:paraId="2D6A76BC" w14:textId="77777777" w:rsidR="008F3AAC" w:rsidRDefault="00000000">
      <w:pPr>
        <w:pStyle w:val="ListParagraph"/>
        <w:numPr>
          <w:ilvl w:val="0"/>
          <w:numId w:val="2"/>
        </w:numPr>
        <w:spacing w:after="70" w:line="276" w:lineRule="auto"/>
      </w:pPr>
      <w:r>
        <w:t xml:space="preserve">Open </w:t>
      </w:r>
      <w:r>
        <w:rPr>
          <w:rFonts w:ascii="Consolas" w:eastAsia="Consolas" w:hAnsi="Consolas" w:cs="Consolas"/>
          <w:color w:val="7A3E00"/>
          <w:sz w:val="20"/>
          <w:szCs w:val="20"/>
        </w:rPr>
        <w:t>data/countries_snapshot.csv</w:t>
      </w:r>
      <w:r>
        <w:t xml:space="preserve">. Sort the countries by </w:t>
      </w:r>
      <w:proofErr w:type="spellStart"/>
      <w:r>
        <w:rPr>
          <w:rFonts w:ascii="Consolas" w:eastAsia="Consolas" w:hAnsi="Consolas" w:cs="Consolas"/>
          <w:color w:val="7A3E00"/>
          <w:sz w:val="20"/>
          <w:szCs w:val="20"/>
        </w:rPr>
        <w:t>cinc</w:t>
      </w:r>
      <w:proofErr w:type="spellEnd"/>
      <w:r>
        <w:t>. Confirm for yourself that China outranks the United States, and write a short paragraph: given the six components above, why does CINC say that — and do you think it’s right? What notion of “power” would put the US first instead, and what would that index measure?</w:t>
      </w:r>
    </w:p>
    <w:p w14:paraId="6859E662" w14:textId="618CD06D" w:rsidR="008F3AAC" w:rsidRDefault="00000000">
      <w:pPr>
        <w:pStyle w:val="ListParagraph"/>
        <w:numPr>
          <w:ilvl w:val="0"/>
          <w:numId w:val="2"/>
        </w:numPr>
        <w:spacing w:after="70" w:line="276" w:lineRule="auto"/>
      </w:pPr>
      <w:r>
        <w:t xml:space="preserve">Pick any two countries with similar CINC but very different </w:t>
      </w:r>
      <w:proofErr w:type="spellStart"/>
      <w:r>
        <w:rPr>
          <w:rFonts w:ascii="Consolas" w:eastAsia="Consolas" w:hAnsi="Consolas" w:cs="Consolas"/>
          <w:color w:val="7A3E00"/>
          <w:sz w:val="20"/>
          <w:szCs w:val="20"/>
        </w:rPr>
        <w:t>ideal_point</w:t>
      </w:r>
      <w:proofErr w:type="spellEnd"/>
      <w:r>
        <w:t xml:space="preserve"> (for example a Western and a non-Western state of comparable size). Explain what each number is telling you and why two countries can be “equally strong” yet “far apart.” This is the </w:t>
      </w:r>
      <w:r w:rsidR="00E0540F">
        <w:t xml:space="preserve">type of </w:t>
      </w:r>
      <w:r>
        <w:t xml:space="preserve">distinction </w:t>
      </w:r>
      <w:r w:rsidR="00E0540F">
        <w:t xml:space="preserve">that </w:t>
      </w:r>
      <w:r>
        <w:t>the model relies on.</w:t>
      </w:r>
    </w:p>
    <w:p w14:paraId="5BE82081" w14:textId="5110C6A1" w:rsidR="008F3AAC" w:rsidRDefault="00000000">
      <w:pPr>
        <w:pStyle w:val="ListParagraph"/>
        <w:numPr>
          <w:ilvl w:val="0"/>
          <w:numId w:val="2"/>
        </w:numPr>
        <w:spacing w:after="70" w:line="276" w:lineRule="auto"/>
      </w:pPr>
      <w:r>
        <w:t xml:space="preserve">Sort by </w:t>
      </w:r>
      <w:proofErr w:type="spellStart"/>
      <w:r>
        <w:rPr>
          <w:rFonts w:ascii="Consolas" w:eastAsia="Consolas" w:hAnsi="Consolas" w:cs="Consolas"/>
          <w:color w:val="7A3E00"/>
          <w:sz w:val="20"/>
          <w:szCs w:val="20"/>
        </w:rPr>
        <w:t>ideal_point</w:t>
      </w:r>
      <w:proofErr w:type="spellEnd"/>
      <w:r>
        <w:t>. Identify the most and least US-aligned countries in the file. Find one placement that surprises you (look hard at Turkey, Ukraine, or Saudi Arabia) and explain it using what the axis actually measures</w:t>
      </w:r>
      <w:r w:rsidR="00E0540F">
        <w:t>.</w:t>
      </w:r>
    </w:p>
    <w:p w14:paraId="7333EC12" w14:textId="3EE68792" w:rsidR="008F3AAC" w:rsidRDefault="00000000">
      <w:pPr>
        <w:pStyle w:val="ListParagraph"/>
        <w:numPr>
          <w:ilvl w:val="0"/>
          <w:numId w:val="2"/>
        </w:numPr>
        <w:spacing w:after="70" w:line="276" w:lineRule="auto"/>
      </w:pPr>
      <w:r>
        <w:t xml:space="preserve">Our snapshot numbers are approximate and hand-entered. Go to the COW page and the </w:t>
      </w:r>
      <w:proofErr w:type="spellStart"/>
      <w:r>
        <w:t>Voeten</w:t>
      </w:r>
      <w:proofErr w:type="spellEnd"/>
      <w:r>
        <w:t xml:space="preserve"> Dataverse, and in a few sentences describe what it would take to replace our CSV with the authoritative values for a single year. (You don’t have to do it</w:t>
      </w:r>
      <w:r w:rsidR="00E0540F">
        <w:t>,</w:t>
      </w:r>
      <w:r>
        <w:t xml:space="preserve"> just scope it.)</w:t>
      </w:r>
    </w:p>
    <w:p w14:paraId="1F0CF50C" w14:textId="77777777" w:rsidR="008F3AAC" w:rsidRDefault="00000000">
      <w:pPr>
        <w:pStyle w:val="Heading1"/>
      </w:pPr>
      <w:r>
        <w:t>If you want to go further</w:t>
      </w:r>
    </w:p>
    <w:p w14:paraId="5640E1EB" w14:textId="77777777" w:rsidR="008F3AAC" w:rsidRDefault="00000000">
      <w:pPr>
        <w:pStyle w:val="ListParagraph"/>
        <w:numPr>
          <w:ilvl w:val="0"/>
          <w:numId w:val="3"/>
        </w:numPr>
        <w:spacing w:after="70" w:line="276" w:lineRule="auto"/>
      </w:pPr>
      <w:r>
        <w:t>Find one published critique of CINC as a power measure and summarize its main complaint in a paragraph.</w:t>
      </w:r>
    </w:p>
    <w:p w14:paraId="1227D495" w14:textId="4A15C533" w:rsidR="008F3AAC" w:rsidRDefault="00000000">
      <w:pPr>
        <w:pStyle w:val="ListParagraph"/>
        <w:numPr>
          <w:ilvl w:val="0"/>
          <w:numId w:val="3"/>
        </w:numPr>
        <w:spacing w:after="70" w:line="276" w:lineRule="auto"/>
      </w:pPr>
      <w:r>
        <w:t>Sketch (no code yet) what a *second* alignment dimension would be — UN voting gives one axis; what would a second, orthogonal axis of a country’s posture measure?</w:t>
      </w:r>
      <w:r w:rsidR="00E0540F">
        <w:t xml:space="preserve"> **This goes back to your own brainstorming that you did in Week 4.</w:t>
      </w:r>
    </w:p>
    <w:p w14:paraId="7FFE7BFA" w14:textId="403B1DC1" w:rsidR="008F3AAC" w:rsidRDefault="008F3AAC">
      <w:pPr>
        <w:spacing w:before="80"/>
      </w:pPr>
    </w:p>
    <w:sectPr w:rsidR="008F3AAC">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F39E3" w14:textId="77777777" w:rsidR="00CC2356" w:rsidRDefault="00CC2356">
      <w:r>
        <w:separator/>
      </w:r>
    </w:p>
  </w:endnote>
  <w:endnote w:type="continuationSeparator" w:id="0">
    <w:p w14:paraId="70132849" w14:textId="77777777" w:rsidR="00CC2356" w:rsidRDefault="00CC23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7105A" w14:textId="77777777" w:rsidR="008F3AAC" w:rsidRDefault="00000000">
    <w:pPr>
      <w:jc w:val="center"/>
    </w:pPr>
    <w:r>
      <w:rPr>
        <w:color w:val="888888"/>
        <w:sz w:val="16"/>
        <w:szCs w:val="16"/>
      </w:rPr>
      <w:t xml:space="preserve">Background &amp; Reading </w:t>
    </w:r>
    <w:proofErr w:type="gramStart"/>
    <w:r>
      <w:rPr>
        <w:color w:val="888888"/>
        <w:sz w:val="16"/>
        <w:szCs w:val="16"/>
      </w:rPr>
      <w:t>Guide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975F1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0E9C2" w14:textId="77777777" w:rsidR="00CC2356" w:rsidRDefault="00CC2356">
      <w:r>
        <w:separator/>
      </w:r>
    </w:p>
  </w:footnote>
  <w:footnote w:type="continuationSeparator" w:id="0">
    <w:p w14:paraId="73280DEC" w14:textId="77777777" w:rsidR="00CC2356" w:rsidRDefault="00CC23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AEF"/>
    <w:multiLevelType w:val="hybridMultilevel"/>
    <w:tmpl w:val="CC36DEA8"/>
    <w:lvl w:ilvl="0" w:tplc="84427452">
      <w:start w:val="1"/>
      <w:numFmt w:val="bullet"/>
      <w:lvlText w:val="●"/>
      <w:lvlJc w:val="left"/>
      <w:pPr>
        <w:ind w:left="720" w:hanging="360"/>
      </w:pPr>
    </w:lvl>
    <w:lvl w:ilvl="1" w:tplc="FA566398">
      <w:start w:val="1"/>
      <w:numFmt w:val="bullet"/>
      <w:lvlText w:val="○"/>
      <w:lvlJc w:val="left"/>
      <w:pPr>
        <w:ind w:left="1440" w:hanging="360"/>
      </w:pPr>
    </w:lvl>
    <w:lvl w:ilvl="2" w:tplc="129893C2">
      <w:start w:val="1"/>
      <w:numFmt w:val="bullet"/>
      <w:lvlText w:val="■"/>
      <w:lvlJc w:val="left"/>
      <w:pPr>
        <w:ind w:left="2160" w:hanging="360"/>
      </w:pPr>
    </w:lvl>
    <w:lvl w:ilvl="3" w:tplc="173CAB64">
      <w:start w:val="1"/>
      <w:numFmt w:val="bullet"/>
      <w:lvlText w:val="●"/>
      <w:lvlJc w:val="left"/>
      <w:pPr>
        <w:ind w:left="2880" w:hanging="360"/>
      </w:pPr>
    </w:lvl>
    <w:lvl w:ilvl="4" w:tplc="C1E4CAE0">
      <w:start w:val="1"/>
      <w:numFmt w:val="bullet"/>
      <w:lvlText w:val="○"/>
      <w:lvlJc w:val="left"/>
      <w:pPr>
        <w:ind w:left="3600" w:hanging="360"/>
      </w:pPr>
    </w:lvl>
    <w:lvl w:ilvl="5" w:tplc="70C49654">
      <w:start w:val="1"/>
      <w:numFmt w:val="bullet"/>
      <w:lvlText w:val="■"/>
      <w:lvlJc w:val="left"/>
      <w:pPr>
        <w:ind w:left="4320" w:hanging="360"/>
      </w:pPr>
    </w:lvl>
    <w:lvl w:ilvl="6" w:tplc="C40A6CD6">
      <w:start w:val="1"/>
      <w:numFmt w:val="bullet"/>
      <w:lvlText w:val="●"/>
      <w:lvlJc w:val="left"/>
      <w:pPr>
        <w:ind w:left="5040" w:hanging="360"/>
      </w:pPr>
    </w:lvl>
    <w:lvl w:ilvl="7" w:tplc="A9C67D48">
      <w:start w:val="1"/>
      <w:numFmt w:val="bullet"/>
      <w:lvlText w:val="●"/>
      <w:lvlJc w:val="left"/>
      <w:pPr>
        <w:ind w:left="5760" w:hanging="360"/>
      </w:pPr>
    </w:lvl>
    <w:lvl w:ilvl="8" w:tplc="9DD2F074">
      <w:start w:val="1"/>
      <w:numFmt w:val="bullet"/>
      <w:lvlText w:val="●"/>
      <w:lvlJc w:val="left"/>
      <w:pPr>
        <w:ind w:left="6480" w:hanging="360"/>
      </w:pPr>
    </w:lvl>
  </w:abstractNum>
  <w:abstractNum w:abstractNumId="1" w15:restartNumberingAfterBreak="0">
    <w:nsid w:val="26B9355E"/>
    <w:multiLevelType w:val="hybridMultilevel"/>
    <w:tmpl w:val="2D044806"/>
    <w:lvl w:ilvl="0" w:tplc="633A4650">
      <w:start w:val="1"/>
      <w:numFmt w:val="decimal"/>
      <w:lvlText w:val="%1."/>
      <w:lvlJc w:val="left"/>
      <w:pPr>
        <w:ind w:left="540" w:hanging="300"/>
      </w:pPr>
    </w:lvl>
    <w:lvl w:ilvl="1" w:tplc="EC288306">
      <w:numFmt w:val="decimal"/>
      <w:lvlText w:val=""/>
      <w:lvlJc w:val="left"/>
    </w:lvl>
    <w:lvl w:ilvl="2" w:tplc="E2821FC0">
      <w:numFmt w:val="decimal"/>
      <w:lvlText w:val=""/>
      <w:lvlJc w:val="left"/>
    </w:lvl>
    <w:lvl w:ilvl="3" w:tplc="7DE8D3B0">
      <w:numFmt w:val="decimal"/>
      <w:lvlText w:val=""/>
      <w:lvlJc w:val="left"/>
    </w:lvl>
    <w:lvl w:ilvl="4" w:tplc="8FC270D8">
      <w:numFmt w:val="decimal"/>
      <w:lvlText w:val=""/>
      <w:lvlJc w:val="left"/>
    </w:lvl>
    <w:lvl w:ilvl="5" w:tplc="83F26F12">
      <w:numFmt w:val="decimal"/>
      <w:lvlText w:val=""/>
      <w:lvlJc w:val="left"/>
    </w:lvl>
    <w:lvl w:ilvl="6" w:tplc="9976BCAE">
      <w:numFmt w:val="decimal"/>
      <w:lvlText w:val=""/>
      <w:lvlJc w:val="left"/>
    </w:lvl>
    <w:lvl w:ilvl="7" w:tplc="FF82B9F6">
      <w:numFmt w:val="decimal"/>
      <w:lvlText w:val=""/>
      <w:lvlJc w:val="left"/>
    </w:lvl>
    <w:lvl w:ilvl="8" w:tplc="B1BCF430">
      <w:numFmt w:val="decimal"/>
      <w:lvlText w:val=""/>
      <w:lvlJc w:val="left"/>
    </w:lvl>
  </w:abstractNum>
  <w:abstractNum w:abstractNumId="2" w15:restartNumberingAfterBreak="0">
    <w:nsid w:val="30137FC2"/>
    <w:multiLevelType w:val="hybridMultilevel"/>
    <w:tmpl w:val="25E40AB2"/>
    <w:lvl w:ilvl="0" w:tplc="B3C04D90">
      <w:start w:val="1"/>
      <w:numFmt w:val="bullet"/>
      <w:lvlText w:val="•"/>
      <w:lvlJc w:val="left"/>
      <w:pPr>
        <w:ind w:left="540" w:hanging="280"/>
      </w:pPr>
    </w:lvl>
    <w:lvl w:ilvl="1" w:tplc="0A189D48">
      <w:numFmt w:val="decimal"/>
      <w:lvlText w:val=""/>
      <w:lvlJc w:val="left"/>
    </w:lvl>
    <w:lvl w:ilvl="2" w:tplc="75465E3C">
      <w:numFmt w:val="decimal"/>
      <w:lvlText w:val=""/>
      <w:lvlJc w:val="left"/>
    </w:lvl>
    <w:lvl w:ilvl="3" w:tplc="8EB6507E">
      <w:numFmt w:val="decimal"/>
      <w:lvlText w:val=""/>
      <w:lvlJc w:val="left"/>
    </w:lvl>
    <w:lvl w:ilvl="4" w:tplc="69BE0B8C">
      <w:numFmt w:val="decimal"/>
      <w:lvlText w:val=""/>
      <w:lvlJc w:val="left"/>
    </w:lvl>
    <w:lvl w:ilvl="5" w:tplc="5FE07686">
      <w:numFmt w:val="decimal"/>
      <w:lvlText w:val=""/>
      <w:lvlJc w:val="left"/>
    </w:lvl>
    <w:lvl w:ilvl="6" w:tplc="7304D27C">
      <w:numFmt w:val="decimal"/>
      <w:lvlText w:val=""/>
      <w:lvlJc w:val="left"/>
    </w:lvl>
    <w:lvl w:ilvl="7" w:tplc="86DAC49A">
      <w:numFmt w:val="decimal"/>
      <w:lvlText w:val=""/>
      <w:lvlJc w:val="left"/>
    </w:lvl>
    <w:lvl w:ilvl="8" w:tplc="FCD65D84">
      <w:numFmt w:val="decimal"/>
      <w:lvlText w:val=""/>
      <w:lvlJc w:val="left"/>
    </w:lvl>
  </w:abstractNum>
  <w:num w:numId="1" w16cid:durableId="319696494">
    <w:abstractNumId w:val="0"/>
    <w:lvlOverride w:ilvl="0">
      <w:startOverride w:val="1"/>
    </w:lvlOverride>
  </w:num>
  <w:num w:numId="2" w16cid:durableId="1731424169">
    <w:abstractNumId w:val="1"/>
    <w:lvlOverride w:ilvl="0">
      <w:startOverride w:val="1"/>
    </w:lvlOverride>
  </w:num>
  <w:num w:numId="3" w16cid:durableId="1144493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AAC"/>
    <w:rsid w:val="00572B1F"/>
    <w:rsid w:val="00717A91"/>
    <w:rsid w:val="008F3AAC"/>
    <w:rsid w:val="00975F18"/>
    <w:rsid w:val="00A153AD"/>
    <w:rsid w:val="00CC2356"/>
    <w:rsid w:val="00E05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CD346D"/>
  <w15:docId w15:val="{813353EE-4C4F-6D44-924A-DE93BDE00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50"/>
      <w:outlineLvl w:val="0"/>
    </w:pPr>
    <w:rPr>
      <w:b/>
      <w:bCs/>
      <w:color w:val="1F3864"/>
      <w:sz w:val="30"/>
      <w:szCs w:val="30"/>
    </w:rPr>
  </w:style>
  <w:style w:type="paragraph" w:styleId="Heading2">
    <w:name w:val="heading 2"/>
    <w:uiPriority w:val="9"/>
    <w:unhideWhenUsed/>
    <w:qFormat/>
    <w:pPr>
      <w:spacing w:before="240" w:after="110"/>
      <w:outlineLvl w:val="1"/>
    </w:pPr>
    <w:rPr>
      <w:b/>
      <w:bCs/>
      <w:color w:val="385723"/>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975F1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nnualreviews.org/content/journals/10.1146/annurev.soc.28.110601.141117" TargetMode="External"/><Relationship Id="rId13" Type="http://schemas.openxmlformats.org/officeDocument/2006/relationships/hyperlink" Target="https://correlatesofwar.org/data-sets/national-material-capabilitie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nas.org/doi/10.1073/pnas.082080899" TargetMode="External"/><Relationship Id="rId12" Type="http://schemas.openxmlformats.org/officeDocument/2006/relationships/hyperlink" Target="https://people.reed.edu/~ahm/Projects/SNAIR/NAIR.pdf"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ataverse.harvard.edu/dataset.xhtml?persistentId=doi:10.7910/DVN/LEJUQZ"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mplexityexplorer.org/courses/172-agent-based-models-with-python-an-introduction-to-mesa" TargetMode="External"/><Relationship Id="rId5" Type="http://schemas.openxmlformats.org/officeDocument/2006/relationships/footnotes" Target="footnotes.xml"/><Relationship Id="rId15" Type="http://schemas.openxmlformats.org/officeDocument/2006/relationships/hyperlink" Target="https://journals.sagepub.com/doi/10.1177/0022002715595700" TargetMode="External"/><Relationship Id="rId10" Type="http://schemas.openxmlformats.org/officeDocument/2006/relationships/hyperlink" Target="https://onlinelibrary.wiley.com/doi/10.1002/(SICI)1099-0526(199905/06)4:5%3C41::AID-CPLX9%3E3.0.CO;2-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Schelling%27s_model_of_segregation" TargetMode="External"/><Relationship Id="rId14" Type="http://schemas.openxmlformats.org/officeDocument/2006/relationships/hyperlink" Target="https://en.wikipedia.org/wiki/Composite_Index_of_National_Capa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1527</Words>
  <Characters>8705</Characters>
  <Application>Microsoft Office Word</Application>
  <DocSecurity>0</DocSecurity>
  <Lines>72</Lines>
  <Paragraphs>20</Paragraphs>
  <ScaleCrop>false</ScaleCrop>
  <Company/>
  <LinksUpToDate>false</LinksUpToDate>
  <CharactersWithSpaces>10212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Background &amp; Reading Guide — ABMs and the Data Behind Them</dc:title>
  <dc:creator>Pat Keys</dc:creator>
  <cp:lastModifiedBy>Anon</cp:lastModifiedBy>
  <cp:revision>4</cp:revision>
  <dcterms:created xsi:type="dcterms:W3CDTF">2026-06-15T20:34:00Z</dcterms:created>
  <dcterms:modified xsi:type="dcterms:W3CDTF">2026-06-16T01:00:00Z</dcterms:modified>
</cp:coreProperties>
</file>