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PUBLICATION MATERIAL</w:t>
      </w:r>
    </w:p>
    <w:p>
      <w:pPr>
        <w:pStyle w:val="Title"/>
        <w:jc w:val="center"/>
      </w:pPr>
      <w:r>
        <w:t>Publication Plan and Manuscript Outline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Publication Plan</w:t>
      </w:r>
    </w:p>
    <w:p>
      <w:pPr>
        <w:pStyle w:val="Heading2"/>
      </w:pPr>
      <w:r>
        <w:t>Candidate theme</w:t>
      </w:r>
    </w:p>
    <w:p>
      <w:r>
        <w:rPr>
          <w:i w:val="0"/>
        </w:rPr>
        <w:t>Selective CMOS Restoration in an FS-GDI Extended Hamming (12,7) Encoder: A Reproducible 65-nm Predictive LTspice Study</w:t>
      </w:r>
    </w:p>
    <w:p>
      <w:pPr>
        <w:pStyle w:val="Heading2"/>
      </w:pPr>
      <w:r>
        <w:t>Evidence to use</w:t>
      </w:r>
    </w:p>
    <w:p>
      <w:pPr>
        <w:pStyle w:val="ListNumber"/>
      </w:pPr>
      <w:r>
        <w:t>Independent reproduction of the Hamming (11,7) parity network.</w:t>
      </w:r>
    </w:p>
    <w:p>
      <w:pPr>
        <w:pStyle w:val="ListNumber"/>
      </w:pPr>
      <w:r>
        <w:t>Exhaustive SEC-DED functional verification.</w:t>
      </w:r>
    </w:p>
    <w:p>
      <w:pPr>
        <w:pStyle w:val="ListNumber"/>
      </w:pPr>
      <w:r>
        <w:t>CMOS, FS-GDI, Hybrid-A, and Hybrid-B transistor-level netlists.</w:t>
      </w:r>
    </w:p>
    <w:p>
      <w:pPr>
        <w:pStyle w:val="ListNumber"/>
      </w:pPr>
      <w:r>
        <w:t>Nominal D1-to-P0 power, delay, PDP, energy, swing, and transistor counts.</w:t>
      </w:r>
    </w:p>
    <w:p>
      <w:pPr>
        <w:pStyle w:val="ListNumber"/>
      </w:pPr>
      <w:r>
        <w:t>One-factor robustness sweeps and transparent rejected points.</w:t>
      </w:r>
    </w:p>
    <w:p>
      <w:pPr>
        <w:pStyle w:val="Heading2"/>
      </w:pPr>
      <w:r>
        <w:t>Publication claim boundary</w:t>
      </w:r>
    </w:p>
    <w:p>
      <w:r>
        <w:rPr>
          <w:i w:val="0"/>
        </w:rPr>
        <w:t>The paper may describe Hybrid-B as a speed-oriented compromise only. It must also report that FS-GDI has lower simulated power and PDP. Direct comparison with papers using a foundry PDK, different VDD, different loading, or post-layout extraction must be qualified.</w:t>
      </w:r>
    </w:p>
    <w:p>
      <w:pPr>
        <w:pStyle w:val="Heading2"/>
      </w:pPr>
      <w:r>
        <w:t>Remaining work before submission</w:t>
      </w:r>
    </w:p>
    <w:p>
      <w:pPr>
        <w:pStyle w:val="ListBullet"/>
      </w:pPr>
      <w:r>
        <w:t>Supervisor review of the reconstructed six-transistor FS-GDI topology.</w:t>
      </w:r>
    </w:p>
    <w:p>
      <w:pPr>
        <w:pStyle w:val="ListBullet"/>
      </w:pPr>
      <w:r>
        <w:t>Optional independent HSPICE/Virtuoso cross-check.</w:t>
      </w:r>
    </w:p>
    <w:p>
      <w:pPr>
        <w:pStyle w:val="ListBullet"/>
      </w:pPr>
      <w:r>
        <w:t>A broader systematic search in subscription databases.</w:t>
      </w:r>
    </w:p>
    <w:p>
      <w:pPr>
        <w:pStyle w:val="ListBullet"/>
      </w:pPr>
      <w:r>
        <w:t>Language and similarity review under the university's rules.</w:t>
      </w:r>
    </w:p>
    <w:p>
      <w:pPr>
        <w:pStyle w:val="Heading1"/>
      </w:pPr>
      <w:r>
        <w:t>Publication Manuscript Outline</w:t>
      </w:r>
    </w:p>
    <w:p>
      <w:pPr>
        <w:pStyle w:val="ListNumber"/>
      </w:pPr>
      <w:r>
        <w:t>Introduction and verified research gap.</w:t>
      </w:r>
    </w:p>
    <w:p>
      <w:pPr>
        <w:pStyle w:val="ListNumber"/>
      </w:pPr>
      <w:r>
        <w:t>Audited baseline and extended-code equations.</w:t>
      </w:r>
    </w:p>
    <w:p>
      <w:pPr>
        <w:pStyle w:val="ListNumber"/>
      </w:pPr>
      <w:r>
        <w:t>CMOS, FS-GDI, Hybrid-A, and selective-output Hybrid-B circuits.</w:t>
      </w:r>
    </w:p>
    <w:p>
      <w:pPr>
        <w:pStyle w:val="ListNumber"/>
      </w:pPr>
      <w:r>
        <w:t>PTM 65-nm LTspice methodology and traceability.</w:t>
      </w:r>
    </w:p>
    <w:p>
      <w:pPr>
        <w:pStyle w:val="ListNumber"/>
      </w:pPr>
      <w:r>
        <w:t>XOR-level results.</w:t>
      </w:r>
    </w:p>
    <w:p>
      <w:pPr>
        <w:pStyle w:val="ListNumber"/>
      </w:pPr>
      <w:r>
        <w:t>Hamming (11,7) reproduction.</w:t>
      </w:r>
    </w:p>
    <w:p>
      <w:pPr>
        <w:pStyle w:val="ListNumber"/>
      </w:pPr>
      <w:r>
        <w:t>Extended Hamming nominal and robustness results.</w:t>
      </w:r>
    </w:p>
    <w:p>
      <w:pPr>
        <w:pStyle w:val="ListNumber"/>
      </w:pPr>
      <w:r>
        <w:t>Speed-energy-restoration trade-off.</w:t>
      </w:r>
    </w:p>
    <w:p>
      <w:pPr>
        <w:pStyle w:val="ListNumber"/>
      </w:pPr>
      <w:r>
        <w:t>Limitations and conclusion.</w:t>
      </w:r>
    </w:p>
    <w:p>
      <w:r>
        <w:rPr>
          <w:i w:val="0"/>
        </w:rPr>
        <w:t>Provisional central result: Hybrid-B is the fastest tested extended encoder at the nominal condition and improves all reported metrics relative to CMOS, but unbuffered FS-GDI remains more energy efficient. The final title should emphasize selective restoration and trade-off rather than generic superiority.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Publication Plan and Manuscript Outline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