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RESEARCH DOCUMENT</w:t>
      </w:r>
    </w:p>
    <w:p>
      <w:pPr>
        <w:pStyle w:val="Title"/>
        <w:jc w:val="center"/>
      </w:pPr>
      <w:r>
        <w:t>Literature Survey</w:t>
      </w:r>
    </w:p>
    <w:p>
      <w:pPr>
        <w:pStyle w:val="Subtitle"/>
        <w:jc w:val="center"/>
      </w:pPr>
      <w:r>
        <w:t>Researcher and Author</w:t>
        <w:br/>
        <w:t>Howida Gharib Saad El Din Selim</w:t>
      </w:r>
    </w:p>
    <w:p>
      <w:pPr>
        <w:pStyle w:val="Subtitle"/>
        <w:jc w:val="center"/>
      </w:pPr>
      <w:r>
        <w:t>Research Project Version 0.2 - Validated Draft</w:t>
      </w:r>
    </w:p>
    <w:p>
      <w:pPr>
        <w:pStyle w:val="Subtitle"/>
        <w:jc w:val="center"/>
      </w:pPr>
      <w:r>
        <w:t>2026-08-29</w:t>
      </w:r>
    </w:p>
    <w:p>
      <w:r>
        <w:br w:type="page"/>
      </w:r>
    </w:p>
    <w:p>
      <w:pPr>
        <w:pStyle w:val="Heading1"/>
      </w:pPr>
      <w:r>
        <w:t>Survey Methodology</w:t>
      </w:r>
    </w:p>
    <w:p>
      <w:r>
        <w:rPr>
          <w:i w:val="0"/>
        </w:rPr>
        <w:t>The survey prioritizes 2021-2026 publications while retaining foundational Hamming, GDI, and FS-GDI sources. Publisher pages and DOI records are used to verify existence. Unavailable metadata are marked rather than inferred.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7"/>
        <w:gridCol w:w="1577"/>
        <w:gridCol w:w="1577"/>
        <w:gridCol w:w="1577"/>
        <w:gridCol w:w="1577"/>
        <w:gridCol w:w="1577"/>
      </w:tblGrid>
      <w:tr>
        <w:trPr>
          <w:tblHeader w:val="true"/>
        </w:trPr>
        <w:tc>
          <w:tcPr>
            <w:tcW w:type="dxa" w:w="1577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Reference</w:t>
            </w:r>
          </w:p>
        </w:tc>
        <w:tc>
          <w:tcPr>
            <w:tcW w:type="dxa" w:w="1577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Year</w:t>
            </w:r>
          </w:p>
        </w:tc>
        <w:tc>
          <w:tcPr>
            <w:tcW w:type="dxa" w:w="1577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Circuit</w:t>
            </w:r>
          </w:p>
        </w:tc>
        <w:tc>
          <w:tcPr>
            <w:tcW w:type="dxa" w:w="1577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Logic</w:t>
            </w:r>
          </w:p>
        </w:tc>
        <w:tc>
          <w:tcPr>
            <w:tcW w:type="dxa" w:w="1577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Contribution</w:t>
            </w:r>
          </w:p>
        </w:tc>
        <w:tc>
          <w:tcPr>
            <w:tcW w:type="dxa" w:w="1577"/>
            <w:shd w:fill="DDE6ED"/>
          </w:tcPr>
          <w:p>
            <w:r>
              <w:rPr>
                <w:rFonts w:ascii="Times New Roman" w:hAnsi="Times New Roman"/>
                <w:b/>
                <w:color w:val="183B5B"/>
                <w:sz w:val="17"/>
              </w:rPr>
              <w:t>Limitation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Hamming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1950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Error-correcting codes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Coding theory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Foundational Hamming-code theory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No circuit implementation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Morgenshtein Fish Wagner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2002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Combinational gates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GDI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Introduced GDI methodology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Reduced swing and nonstandard body/source concerns motivate restoration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Morgenshtein Yuzhaninov Kovshilovsky Fish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2014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16-bit CLA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FS-GDI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Full-swing GDI and robustness methodology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CLA rather than ECC encoder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Radhakrishnan Nirmalraj Karn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2019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Logic gates and full adder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Enhanced GDI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Enhanced-GDI restoration evaluated in LTspice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Different node and very different loads/frequencies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Hasan Zaman Hossain et al.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2020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Scalable 1-bit full adder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Hybrid full-swing GDI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Hybrid GDI full-adder implementation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Arithmetic cell rather than Hamming encoder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Publisher record: GDI synthesis study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2021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Combinational synthesis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GDI with MUX/BDD decomposition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Systematic mapping of Boolean networks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Not specific to ECC and full metadata needs subscription verification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Ghorbani Dolatshahi Zanjani Barekatain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2022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Full adder and XOR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Dynamic-GDI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Combines dynamic logic and GDI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Non-CMOS CNFET results are not directly comparable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Tripathi Jana Bhaumik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2023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SEC-DAEC and SEC-DAEC-TAEC codecs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HDL/synthesized architectures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Stronger adjacent-error correction codes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More complex codes and incompatible methodology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Bahrami Shiri Pesaran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2023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Approximate subtractors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GDI with dynamic threshold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Explores compact GDI structures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Approximate logic is unsuitable for exact ECC parity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Shiri et al.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2023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Approximate full adders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GDI/dynamic threshold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Energy-efficient GDI approximate adders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Approximation violates exact encoder requirements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El-Bendary El-Badry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2024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Hamming (7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4) and (11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72 for FS-GDI Hamming (11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7)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Albert Thiagarajan Sinthia Christopher Suganthi Arunkumar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2024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Boolean functions and full adder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Optimized FS-GDI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Warns that direct FS-GDI mapping is function dependent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Journal indexing/metadata quality should be checked before final submission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IEEE ESCI conference paper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2024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Hamming encoder and decoder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GDI versus CMOS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Recent GDI Hamming codec application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Insufficient accessible setup for direct quantitative comparison</w:t>
            </w:r>
          </w:p>
        </w:tc>
      </w:tr>
      <w:tr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Kim et al.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2026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Long Hamming encoders/decoders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Word-serial architecture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Word-serial trade-off for long codes</w:t>
            </w:r>
          </w:p>
        </w:tc>
        <w:tc>
          <w:tcPr>
            <w:tcW w:type="dxa" w:w="1577"/>
          </w:tcPr>
          <w:p>
            <w:r>
              <w:rPr>
                <w:rFonts w:ascii="Times New Roman" w:hAnsi="Times New Roman"/>
                <w:sz w:val="17"/>
              </w:rPr>
              <w:t>Targets long codewords rather than transistor-level short encoders</w:t>
            </w:r>
          </w:p>
        </w:tc>
      </w:tr>
    </w:tbl>
    <w:p/>
    <w:p>
      <w:r>
        <w:rPr>
          <w:i w:val="0"/>
        </w:rPr>
        <w:t>Foundational work established Hamming codes, GDI, and FS-GDI. Later work repeatedly demonstrated reduced transistor count or energy in arithmetic cells, and the baseline 2024 paper applied a six-transistor FS-GDI XOR to Hamming (7,4) and (11,7). Recent ECC research also covers SEC-DED and stronger adjacent-error codes. Therefore, neither extended Hamming nor GDI alone is novel.</w:t>
      </w:r>
    </w:p>
    <w:p>
      <w:r>
        <w:rPr>
          <w:i w:val="0"/>
        </w:rPr>
        <w:t>The defensible gap is narrower: the accessible literature does not provide a reproducible, fair, transistor-level comparison of CMOS, reconstructed FS-GDI, and selectively restored FS-GDI/CMOS extended Hamming (12,7) encoders using one predictive model, one activity pattern, explicit D1-to-P0 delay measurement, automated `.meas` extraction, and controlled VDD, temperature, load, and frequency sweeps.</w:t>
      </w:r>
    </w:p>
    <w:p>
      <w:r>
        <w:rPr>
          <w:i w:val="0"/>
        </w:rPr>
        <w:t>The baseline paper stops at Hamming (11,7), reports no overall parity output, does not publish its netlists, and contains inconsistent delay-improvement percentages. It also treats transistor count as area. This thesis addresses those methodological weaknesses and tests two limited hybrid candidates rather than assuming that buffering improves every metric.</w:t>
      </w:r>
    </w:p>
    <w:p>
      <w:r>
        <w:rPr>
          <w:i w:val="0"/>
        </w:rPr>
        <w:t>The resulting evidence shows a real trade-off. Hybrid-B is faster than CMOS and FS-GDI on the measured D1-to-P0 path, while FS-GDI retains the lowest simulated power and PDP. The scientific contribution is therefore a traceable characterization and a speed-oriented selective-restoration architecture, not a claim of universal superiority.</w:t>
      </w:r>
    </w:p>
    <w:sectPr w:rsidR="00FC693F" w:rsidRPr="0006063C" w:rsidSect="00034616">
      <w:footerReference w:type="default" r:id="rId9"/>
      <w:pgSz w:w="11909" w:h="16834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873"/>
        <w:sz w:val="16"/>
      </w:rPr>
      <w:t>Howida Gharib Saad El Din Selim | Research Project Version 0.2 - Validated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83B5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4E5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Literature Survey</dc:title>
  <dc:subject>Extended Hamming (12,7), FS-GDI, CMOS, Low-Power VLSI</dc:subject>
  <dc:creator>Howida Gharib Saad El Din Selim</dc:creator>
  <cp:keywords>Extended Hamming, SEC-DED, FS-GDI, CMOS, LTspice, 65 nm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