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WORKING THESIS DRAFT</w:t>
      </w:r>
    </w:p>
    <w:p>
      <w:pPr>
        <w:pStyle w:val="Title"/>
        <w:jc w:val="center"/>
      </w:pPr>
      <w:r>
        <w:t>Design and Robustness Analysis of a Low-Power Hybrid FS-GDI/CMOS Extended Hamming (12,7) Encoder</w:t>
      </w:r>
    </w:p>
    <w:p>
      <w:pPr>
        <w:pStyle w:val="Subtitle"/>
        <w:jc w:val="center"/>
      </w:pPr>
      <w:r>
        <w:t>Researcher and Author</w:t>
        <w:br/>
        <w:t>Howida Gharib Saad El Din Selim</w:t>
      </w:r>
    </w:p>
    <w:p>
      <w:pPr>
        <w:pStyle w:val="Subtitle"/>
        <w:jc w:val="center"/>
      </w:pPr>
      <w:r>
        <w:t>Research Project Version 0.2 - Validated Draft</w:t>
      </w:r>
    </w:p>
    <w:p>
      <w:pPr>
        <w:pStyle w:val="Subtitle"/>
        <w:jc w:val="center"/>
      </w:pPr>
      <w:r>
        <w:t>2026-08-29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rPr>
          <w:i w:val="0"/>
        </w:rPr>
        <w:t>This working thesis draft evaluates CMOS, GDI, FS-GDI, and hybrid FS-GDI/CMOS implementations of Hamming (11,7) and extended Hamming (12,7). The baseline paper is independently audited, SEC-DED logic is exhaustively verified, and 121 LTspice experiments are executed with a predictive 65-nm PTM model. Of these, 118 measurement sets pass automated validation and three low-load cases are rejected for excessive overshoot. Hybrid-B provides the lowest measured D1-to-P0 delay at the nominal condition, whereas FS-GDI retains the lowest simulated power and PDP.</w:t>
      </w:r>
    </w:p>
    <w:p>
      <w:pPr>
        <w:pStyle w:val="Heading1"/>
      </w:pPr>
      <w:r>
        <w:t>Abbreviations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 w:val="true"/>
        </w:trPr>
        <w:tc>
          <w:tcPr>
            <w:tcW w:type="dxa" w:w="4730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Abbreviation</w:t>
            </w:r>
          </w:p>
        </w:tc>
        <w:tc>
          <w:tcPr>
            <w:tcW w:type="dxa" w:w="4730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Meaning</w:t>
            </w:r>
          </w:p>
        </w:tc>
      </w:tr>
      <w:tr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CMOS</w:t>
            </w:r>
          </w:p>
        </w:tc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Complementary metal-oxide-semiconductor</w:t>
            </w:r>
          </w:p>
        </w:tc>
      </w:tr>
      <w:tr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GDI</w:t>
            </w:r>
          </w:p>
        </w:tc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Gate diffusion input</w:t>
            </w:r>
          </w:p>
        </w:tc>
      </w:tr>
      <w:tr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FS-GDI</w:t>
            </w:r>
          </w:p>
        </w:tc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Full-swing gate diffusion input</w:t>
            </w:r>
          </w:p>
        </w:tc>
      </w:tr>
      <w:tr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PDP</w:t>
            </w:r>
          </w:p>
        </w:tc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Power-delay product</w:t>
            </w:r>
          </w:p>
        </w:tc>
      </w:tr>
      <w:tr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PTM</w:t>
            </w:r>
          </w:p>
        </w:tc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Predictive technology model</w:t>
            </w:r>
          </w:p>
        </w:tc>
      </w:tr>
      <w:tr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SEC-DED</w:t>
            </w:r>
          </w:p>
        </w:tc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Single-error correction, double-error detection</w:t>
            </w:r>
          </w:p>
        </w:tc>
      </w:tr>
    </w:tbl>
    <w:p/>
    <w:p>
      <w:pPr>
        <w:pStyle w:val="Heading1"/>
      </w:pPr>
      <w:r>
        <w:t>Chapter 1 - Introduction</w:t>
      </w:r>
    </w:p>
    <w:p>
      <w:r>
        <w:rPr>
          <w:i w:val="0"/>
        </w:rPr>
        <w:t>Low-power error-control hardware is dominated by XOR networks. Device count alone does not establish useful operation because pass-transistor degradation, output load, restoration overhead, and cascade depth can change the power-delay trade-off.</w:t>
      </w:r>
    </w:p>
    <w:p>
      <w:pPr>
        <w:pStyle w:val="Heading1"/>
      </w:pPr>
      <w:r>
        <w:t>Chapter 2 - Literature Survey</w:t>
      </w:r>
    </w:p>
    <w:p>
      <w:r>
        <w:rPr>
          <w:i w:val="0"/>
        </w:rPr>
        <w:t>Hamming established the coding theory; Morgenshtein and co-authors established GDI and later FS-GDI. Recent ECC work addresses SEC-DED and stronger adjacent-error codes. Extended Hamming and GDI are therefore not new by themselves.</w:t>
      </w:r>
    </w:p>
    <w:p>
      <w:pPr>
        <w:pStyle w:val="Heading1"/>
      </w:pPr>
      <w:r>
        <w:t>Chapter 3 - Theoretical Background</w:t>
      </w:r>
    </w:p>
    <w:p>
      <w:r>
        <w:rPr>
          <w:i w:val="0"/>
        </w:rPr>
        <w:t>P1 = D1 XOR D2 XOR D4 XOR D5 XOR D7</w:t>
      </w:r>
    </w:p>
    <w:p>
      <w:r>
        <w:rPr>
          <w:i w:val="0"/>
        </w:rPr>
        <w:t>P2 = D1 XOR D3 XOR D4 XOR D6 XOR D7</w:t>
      </w:r>
    </w:p>
    <w:p>
      <w:r>
        <w:rPr>
          <w:i w:val="0"/>
        </w:rPr>
        <w:t>P4 = D2 XOR D3 XOR D4; P8 = D5 XOR D6 XOR D7</w:t>
      </w:r>
    </w:p>
    <w:p>
      <w:r>
        <w:rPr>
          <w:i w:val="0"/>
        </w:rPr>
        <w:t>P0 = D1 XOR ... XOR D7 XOR P1 XOR P2 XOR P4 XOR P8</w:t>
      </w:r>
    </w:p>
    <w:p>
      <w:pPr>
        <w:pStyle w:val="Heading1"/>
      </w:pPr>
      <w:r>
        <w:t>Chapter 4 - Baseline Reproduction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52"/>
        <w:gridCol w:w="1352"/>
        <w:gridCol w:w="1352"/>
        <w:gridCol w:w="1352"/>
        <w:gridCol w:w="1352"/>
        <w:gridCol w:w="1352"/>
        <w:gridCol w:w="1352"/>
      </w:tblGrid>
      <w:tr>
        <w:trPr>
          <w:tblHeader w:val="true"/>
        </w:trPr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Architecture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Power (uW)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Delay (ps)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PDP (fJ)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Swing (V)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Transistors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Status</w:t>
            </w:r>
          </w:p>
        </w:tc>
      </w:tr>
      <w:tr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CMOS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12.0805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164.049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1.9818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1.2077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144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GDI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0.7756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16089.790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12.4793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1.2043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48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Fail</w:t>
            </w:r>
          </w:p>
        </w:tc>
      </w:tr>
      <w:tr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FSGDI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0.5029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139.363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0.0701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1.2053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72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Chapter 5 - Extended Hamming (12,7)</w:t>
      </w:r>
    </w:p>
    <w:p>
      <w:r>
        <w:rPr>
          <w:i w:val="0"/>
        </w:rPr>
        <w:t>The extended architecture adds a ten-XOR overall-parity path to the twelve-XOR Hamming network.</w:t>
      </w:r>
    </w:p>
    <w:p>
      <w:pPr>
        <w:pStyle w:val="Heading1"/>
      </w:pPr>
      <w:r>
        <w:t>Hybrid-B Architecture Summary</w:t>
      </w:r>
    </w:p>
    <w:p>
      <w:pPr>
        <w:pStyle w:val="ListBullet"/>
      </w:pPr>
      <w:r>
        <w:t>Data inputs D1 through D7 feed FS-GDI XOR parity networks.</w:t>
      </w:r>
    </w:p>
    <w:p>
      <w:pPr>
        <w:pStyle w:val="ListBullet"/>
      </w:pPr>
      <w:r>
        <w:t>The overall parity path adds P0 for SEC-DED detection.</w:t>
      </w:r>
    </w:p>
    <w:p>
      <w:pPr>
        <w:pStyle w:val="ListBullet"/>
      </w:pPr>
      <w:r>
        <w:t>CMOS restoration is applied only to externally observed parity outputs.</w:t>
      </w:r>
    </w:p>
    <w:p>
      <w:pPr>
        <w:pStyle w:val="ListBullet"/>
      </w:pPr>
      <w:r>
        <w:t>Hybrid-B is a speed-oriented restoration compromise, not a universal energy optimum.</w:t>
      </w:r>
    </w:p>
    <w:p>
      <w:pPr>
        <w:pStyle w:val="Heading1"/>
      </w:pPr>
      <w:r>
        <w:t>Chapter 7 - LTspice Simulation Methodology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 w:val="true"/>
        </w:trPr>
        <w:tc>
          <w:tcPr>
            <w:tcW w:type="dxa" w:w="4730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Parameter</w:t>
            </w:r>
          </w:p>
        </w:tc>
        <w:tc>
          <w:tcPr>
            <w:tcW w:type="dxa" w:w="4730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Value</w:t>
            </w:r>
          </w:p>
        </w:tc>
      </w:tr>
      <w:tr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Simulator</w:t>
            </w:r>
          </w:p>
        </w:tc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LTspice 26.0.2</w:t>
            </w:r>
          </w:p>
        </w:tc>
      </w:tr>
      <w:tr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Model</w:t>
            </w:r>
          </w:p>
        </w:tc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PTM 65-nm bulk CMOS beta</w:t>
            </w:r>
          </w:p>
        </w:tc>
      </w:tr>
      <w:tr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Nominal</w:t>
            </w:r>
          </w:p>
        </w:tc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1.2 V, 27 C, 125 MHz, 10 fF</w:t>
            </w:r>
          </w:p>
        </w:tc>
      </w:tr>
      <w:tr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Sizing</w:t>
            </w:r>
          </w:p>
        </w:tc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NMOS 120/65 nm; PMOS 240/65 nm</w:t>
            </w:r>
          </w:p>
        </w:tc>
      </w:tr>
      <w:tr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Delay</w:t>
            </w:r>
          </w:p>
        </w:tc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50%-to-50%; D1-to-P0 for EH127</w:t>
            </w:r>
          </w:p>
        </w:tc>
      </w:tr>
      <w:tr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Power</w:t>
            </w:r>
          </w:p>
        </w:tc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AVG(-V(VDD)*I(VSUP))</w:t>
            </w:r>
          </w:p>
        </w:tc>
      </w:tr>
      <w:tr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Sweeps</w:t>
            </w:r>
          </w:p>
        </w:tc>
        <w:tc>
          <w:tcPr>
            <w:tcW w:type="dxa" w:w="4730"/>
          </w:tcPr>
          <w:p>
            <w:r>
              <w:rPr>
                <w:rFonts w:ascii="Times New Roman" w:hAnsi="Times New Roman"/>
                <w:sz w:val="17"/>
              </w:rPr>
              <w:t>VDD, temperature, load, and frequency independently</w:t>
            </w:r>
          </w:p>
        </w:tc>
      </w:tr>
    </w:tbl>
    <w:p/>
    <w:p>
      <w:pPr>
        <w:pStyle w:val="Heading1"/>
      </w:pPr>
      <w:r>
        <w:t>Chapter 8 - Results and Robustness Analysis</w:t>
      </w:r>
    </w:p>
    <w:p>
      <w:r>
        <w:rPr>
          <w:i w:val="0"/>
        </w:rPr>
        <w:t>Exhaustive verification covered 128 data words, 1536 single-bit cases, and 8448 double-bit cases. All passed.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52"/>
        <w:gridCol w:w="1352"/>
        <w:gridCol w:w="1352"/>
        <w:gridCol w:w="1352"/>
        <w:gridCol w:w="1352"/>
        <w:gridCol w:w="1352"/>
        <w:gridCol w:w="1352"/>
      </w:tblGrid>
      <w:tr>
        <w:trPr>
          <w:tblHeader w:val="true"/>
        </w:trPr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Architecture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Power (uW)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Delay (ps)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PDP (fJ)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Swing (V)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Transistors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Status</w:t>
            </w:r>
          </w:p>
        </w:tc>
      </w:tr>
      <w:tr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CMOS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27.0237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344.947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9.3217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1.2064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264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FSGDI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2.5502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429.062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1.0942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1.2135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132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HYBRID_A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25.8367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278.783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7.2029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1.2039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220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HYBRID_B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11.2029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215.846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2.4181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1.2042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152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77840" cy="3267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h127_nominal_po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E5964"/>
          <w:sz w:val="17"/>
        </w:rPr>
        <w:t>Figure 8.1. Nominal average power.</w:t>
      </w:r>
    </w:p>
    <w:p>
      <w:r>
        <w:drawing>
          <wp:inline xmlns:a="http://schemas.openxmlformats.org/drawingml/2006/main" xmlns:pic="http://schemas.openxmlformats.org/drawingml/2006/picture">
            <wp:extent cx="5577840" cy="32670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h127_nominal_de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E5964"/>
          <w:sz w:val="17"/>
        </w:rPr>
        <w:t>Figure 8.2. Nominal D1-to-P0 delay.</w:t>
      </w:r>
    </w:p>
    <w:p>
      <w:r>
        <w:drawing>
          <wp:inline xmlns:a="http://schemas.openxmlformats.org/drawingml/2006/main" xmlns:pic="http://schemas.openxmlformats.org/drawingml/2006/picture">
            <wp:extent cx="5577840" cy="32670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h127_nominal_pd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E5964"/>
          <w:sz w:val="17"/>
        </w:rPr>
        <w:t>Figure 8.3. Nominal power-delay product.</w:t>
      </w:r>
    </w:p>
    <w:p>
      <w:r>
        <w:drawing>
          <wp:inline xmlns:a="http://schemas.openxmlformats.org/drawingml/2006/main" xmlns:pic="http://schemas.openxmlformats.org/drawingml/2006/picture">
            <wp:extent cx="5577840" cy="32670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h127_pdp_vs_vd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E5964"/>
          <w:sz w:val="17"/>
        </w:rPr>
        <w:t>Figure 8.4. PDP versus supply voltage.</w:t>
      </w:r>
    </w:p>
    <w:p>
      <w:pPr>
        <w:pStyle w:val="Heading1"/>
      </w:pPr>
      <w:r>
        <w:t>Chapter 9 - Discussion</w:t>
      </w:r>
    </w:p>
    <w:p>
      <w:r>
        <w:rPr>
          <w:i w:val="0"/>
        </w:rPr>
        <w:t>At nominal conditions, Hybrid-B uses 11.203 uW and has a D1-to-P0 delay of 215.846 ps. Relative to CMOS, this is 58.54% lower power and 37.43% lower delay. FS-GDI uses only 2.550 uW but has a longer P0 path.</w:t>
      </w:r>
    </w:p>
    <w:p>
      <w:pPr>
        <w:pStyle w:val="Heading1"/>
      </w:pPr>
      <w:r>
        <w:t>Chapter 10 - Conclusions and Future Work</w:t>
      </w:r>
    </w:p>
    <w:p>
      <w:r>
        <w:rPr>
          <w:i w:val="0"/>
        </w:rPr>
        <w:t>Hybrid-B is supported as a speed-oriented selective-restoration candidate, not as a universal energy optimum. Future work requires supervisor review, an independent foundry-PDK or second-simulator cross-check, post-layout parasitics, and a lower-voltage boundary search.</w:t>
      </w:r>
    </w:p>
    <w:p>
      <w:pPr>
        <w:pStyle w:val="Heading1"/>
      </w:pPr>
      <w:r>
        <w:t>References</w:t>
      </w:r>
    </w:p>
    <w:p>
      <w:r>
        <w:rPr>
          <w:i w:val="0"/>
        </w:rPr>
        <w:t>[1] R. W. Hamming, 'Error Detecting and Error Correcting Codes,' Bell System Technical Journal, vol. 29, no. 2, pp. 147-160, 1950.</w:t>
      </w:r>
    </w:p>
    <w:p>
      <w:r>
        <w:rPr>
          <w:i w:val="0"/>
        </w:rPr>
        <w:t>[2] A. Morgenshtein, A. Fish, and I. A. Wagner, 'Gate-Diffusion Input (GDI): A Power-Efficient Method for Digital Combinatorial Circuits,' IEEE TVLSI, 2002.</w:t>
      </w:r>
    </w:p>
    <w:p>
      <w:r>
        <w:rPr>
          <w:i w:val="0"/>
        </w:rPr>
        <w:t>[3] A. Morgenshtein et al., 'Full-Swing Gate Diffusion Input Logic - Case-Study of Low-Power CLA Adder Design,' Integration, 2014.</w:t>
      </w:r>
    </w:p>
    <w:p>
      <w:r>
        <w:rPr>
          <w:i w:val="0"/>
        </w:rPr>
        <w:t>[4] M. A. M. El-Bendary and O. El-Badry, 'FS-GDI Based Area Efficient Hamming (11,7) Encoding,' International Journal of Electronics, 2024.</w:t>
      </w:r>
    </w:p>
    <w:sectPr w:rsidR="00FC693F" w:rsidRPr="0006063C" w:rsidSect="00034616">
      <w:footerReference w:type="default" r:id="rId9"/>
      <w:pgSz w:w="11909" w:h="16834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873"/>
        <w:sz w:val="16"/>
      </w:rPr>
      <w:t>Howida Gharib Saad El Din Selim | Research Project Version 0.2 - Validated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83B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E5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and Robustness Analysis of a Low-Power Hybrid FS-GDI/CMOS Extended Hamming (12,7) Encoder</dc:title>
  <dc:subject>Extended Hamming (12,7), FS-GDI, CMOS, Low-Power VLSI</dc:subject>
  <dc:creator>Howida Gharib Saad El Din Selim</dc:creator>
  <cp:keywords>Extended Hamming, SEC-DED, FS-GDI, CMOS, LTspice, 65 nm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