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Tahoma" w:hAnsi="Tahoma" w:cs="Tahoma"/>
          <w:b/>
          <w:color w:val="0B2545"/>
          <w:sz w:val="40"/>
        </w:rPr>
        <w:t>تقرير منهجي عن مجهود الباحث في مرحلة تطوير Memristor-PIM</w:t>
      </w:r>
    </w:p>
    <w:p>
      <w:pPr>
        <w:jc w:val="right"/>
        <w:bidi w:val="1"/>
      </w:pPr>
      <w:r>
        <w:rPr>
          <w:rFonts w:ascii="Tahoma" w:hAnsi="Tahoma" w:cs="Tahoma"/>
          <w:b/>
          <w:sz w:val="22"/>
        </w:rPr>
        <w:t>Design and Robustness Analysis of a Low-Power Hybrid FS-GDI/CMOS Extended Hamming (12,7) Encoder</w:t>
      </w:r>
    </w:p>
    <w:p>
      <w:pPr>
        <w:jc w:val="right"/>
        <w:bidi w:val="1"/>
      </w:pPr>
      <w:r>
        <w:rPr>
          <w:rFonts w:ascii="Tahoma" w:hAnsi="Tahoma" w:cs="Tahoma"/>
          <w:b w:val="0"/>
          <w:sz w:val="22"/>
        </w:rPr>
        <w:t>الباحثة: Howida Gharib Saad El Din Selim</w:t>
      </w:r>
    </w:p>
    <w:p>
      <w:pPr>
        <w:jc w:val="right"/>
        <w:bidi w:val="1"/>
      </w:pPr>
      <w:r>
        <w:rPr>
          <w:rFonts w:ascii="Tahoma" w:hAnsi="Tahoma" w:cs="Tahoma"/>
          <w:b w:val="0"/>
          <w:sz w:val="22"/>
        </w:rPr>
        <w:t>الغرض: توثيق علمي لما أضيف في طبقة Memristor-Based Hamming Encoder مع الحفاظ على نتائج CMOS/FS-GDI/Hybrid-B السابقة.</w:t>
      </w:r>
    </w:p>
    <w:p>
      <w:pPr>
        <w:jc w:val="right"/>
        <w:bidi w:val="1"/>
      </w:pPr>
      <w:r>
        <w:rPr>
          <w:rFonts w:ascii="Tahoma" w:hAnsi="Tahoma" w:cs="Tahoma"/>
          <w:b w:val="0"/>
          <w:sz w:val="22"/>
        </w:rPr>
        <w:t>تاريخ التوليد: 2026-08-29</w:t>
      </w:r>
    </w:p>
    <w:p>
      <w:pPr>
        <w:jc w:val="right"/>
        <w:bidi w:val="1"/>
      </w:pPr>
      <w:r>
        <w:rPr>
          <w:rFonts w:ascii="Tahoma" w:hAnsi="Tahoma" w:cs="Tahoma"/>
          <w:b w:val="0"/>
          <w:sz w:val="22"/>
        </w:rPr>
        <w:t>حالة التقرير: ملحق بحثي قابل للمراجعة، وليس ادعاء تصنيع أو تحقق سيليكوني.</w:t>
      </w:r>
    </w:p>
    <w:p>
      <w:r>
        <w:br w:type="page"/>
      </w:r>
    </w:p>
    <w:p>
      <w:pPr>
        <w:pStyle w:val="Heading1"/>
        <w:jc w:val="right"/>
        <w:bidi w:val="1"/>
      </w:pPr>
      <w:r>
        <w:rPr>
          <w:rFonts w:ascii="Tahoma" w:hAnsi="Tahoma" w:cs="Tahoma"/>
          <w:b/>
          <w:color w:val="1F4D78"/>
        </w:rPr>
        <w:t>1. الملخص العلمي</w:t>
      </w:r>
    </w:p>
    <w:p>
      <w:pPr>
        <w:jc w:val="right"/>
        <w:bidi w:val="1"/>
      </w:pPr>
      <w:r>
        <w:rPr>
          <w:rFonts w:ascii="Tahoma" w:hAnsi="Tahoma" w:cs="Tahoma"/>
          <w:b w:val="0"/>
          <w:sz w:val="22"/>
        </w:rPr>
        <w:t>يوثق هذا التقرير مجهود الباحث في إضافة طبقة Memristor-Based Hamming Encoder إلى مشروع Extended Hamming (12,7). تم الحفاظ على المسار السابق كما هو: CMOS وFS-GDI وHybrid-A وHybrid-B بقيت مراحل أساس وقياس، ثم أضيفت طبقة Processing-in-Memory باعتبارها امتدادًا بحثيًا فوق خط الأساس وليس بديلًا يمحو نتائجه.</w:t>
      </w:r>
    </w:p>
    <w:p>
      <w:pPr>
        <w:jc w:val="right"/>
        <w:bidi w:val="1"/>
      </w:pPr>
      <w:r>
        <w:rPr>
          <w:rFonts w:ascii="Tahoma" w:hAnsi="Tahoma" w:cs="Tahoma"/>
          <w:b w:val="0"/>
          <w:sz w:val="22"/>
        </w:rPr>
        <w:t>منهجيًا، انتقل البحث من سؤال تقليل ترانزستورات XOR إلى سؤال أوسع: كيف يمكن حساب parity داخل الذاكرة وتقليل حركة البيانات بين الذاكرة والمعالج. هذا الانتقال يمثل توسعًا معماريًا كبيرًا لأنه يربط ECC hardware بآليات stateful memristive logic وcrossbar arrays وتحليل variation.</w:t>
      </w:r>
    </w:p>
    <w:p>
      <w:pPr>
        <w:pStyle w:val="Heading1"/>
        <w:jc w:val="right"/>
        <w:bidi w:val="1"/>
      </w:pPr>
      <w:r>
        <w:rPr>
          <w:rFonts w:ascii="Tahoma" w:hAnsi="Tahoma" w:cs="Tahoma"/>
          <w:b/>
          <w:color w:val="1F4D78"/>
        </w:rPr>
        <w:t>2. طبقة الربط بين البحث السابق والامتداد</w:t>
      </w:r>
    </w:p>
    <w:p>
      <w:pPr>
        <w:pStyle w:val="ListBullet"/>
        <w:jc w:val="right"/>
        <w:bidi w:val="1"/>
      </w:pPr>
      <w:r>
        <w:rPr>
          <w:rFonts w:ascii="Tahoma" w:hAnsi="Tahoma" w:cs="Tahoma"/>
          <w:sz w:val="21"/>
        </w:rPr>
        <w:t>البحث السابق أثبت خط أساس كمي باستخدام LTspice ونموذج 65-nm predictive CMOS، وحدد Hybrid-B كمرشح سريع مع حفظ FS-GDI كأقل قدرة وPDP.</w:t>
      </w:r>
    </w:p>
    <w:p>
      <w:pPr>
        <w:pStyle w:val="ListBullet"/>
        <w:jc w:val="right"/>
        <w:bidi w:val="1"/>
      </w:pPr>
      <w:r>
        <w:rPr>
          <w:rFonts w:ascii="Tahoma" w:hAnsi="Tahoma" w:cs="Tahoma"/>
          <w:sz w:val="21"/>
        </w:rPr>
        <w:t>الامتداد الجديد أبقى معادلات parity ووظيفة SEC-DED نفسها، لكنه نقل موضع التنفيذ من XOR tree تقليدي إلى منطق stateful داخل مصفوفة ذاكرة.</w:t>
      </w:r>
    </w:p>
    <w:p>
      <w:pPr>
        <w:pStyle w:val="ListBullet"/>
        <w:jc w:val="right"/>
        <w:bidi w:val="1"/>
      </w:pPr>
      <w:r>
        <w:rPr>
          <w:rFonts w:ascii="Tahoma" w:hAnsi="Tahoma" w:cs="Tahoma"/>
          <w:sz w:val="21"/>
        </w:rPr>
        <w:t>Hybrid-B أصبح baseline مقاسًا للمقارنة، بينما Memristor-PIM أصبح مسارًا بحثيًا لخفض الطاقة والتأخير المرتبطين بحركة البيانات.</w:t>
      </w:r>
    </w:p>
    <w:p>
      <w:pPr>
        <w:pStyle w:val="ListBullet"/>
        <w:jc w:val="right"/>
        <w:bidi w:val="1"/>
      </w:pPr>
      <w:r>
        <w:rPr>
          <w:rFonts w:ascii="Tahoma" w:hAnsi="Tahoma" w:cs="Tahoma"/>
          <w:sz w:val="21"/>
        </w:rPr>
        <w:t>الحالات السلبية لم تُحذف: نتيجة Memristor-PIM المحافظة بقيت محفوظة كمرحلة أولى، ثم أضيفت مرحلة محسنة بنتائج موجبة تحت نموذج LTspice behavioral macromodel.</w:t>
      </w:r>
    </w:p>
    <w:p>
      <w:pPr>
        <w:pStyle w:val="Heading1"/>
        <w:jc w:val="right"/>
        <w:bidi w:val="1"/>
      </w:pPr>
      <w:r>
        <w:rPr>
          <w:rFonts w:ascii="Tahoma" w:hAnsi="Tahoma" w:cs="Tahoma"/>
          <w:b/>
          <w:color w:val="1F4D78"/>
        </w:rPr>
        <w:t>3. المنهجية المنفذة</w:t>
      </w:r>
    </w:p>
    <w:tbl>
      <w:tblPr>
        <w:tblStyle w:val="TableGrid"/>
        <w:tblW w:type="dxa" w:w="9360"/>
        <w:tblLayout w:type="fixed"/>
        <w:tblLook w:firstColumn="1" w:firstRow="1" w:lastColumn="0" w:lastRow="0" w:noHBand="0" w:noVBand="1" w:val="04A0"/>
        <w:jc w:val="center"/>
        <w:tblInd w:w="120" w:type="dxa"/>
      </w:tblPr>
      <w:tblGrid>
        <w:gridCol w:w="1800"/>
        <w:gridCol w:w="4200"/>
        <w:gridCol w:w="3360"/>
      </w:tblGrid>
      <w:tr>
        <w:tc>
          <w:tcPr>
            <w:tcW w:type="dxa" w:w="1800"/>
            <w:shd w:fill="E8EEF5"/>
            <w:vAlign w:val="center"/>
          </w:tcPr>
          <w:p>
            <w:pPr>
              <w:jc w:val="right"/>
              <w:bidi w:val="1"/>
            </w:pPr>
            <w:r>
              <w:rPr>
                <w:rFonts w:ascii="Tahoma" w:hAnsi="Tahoma" w:cs="Tahoma"/>
                <w:b/>
                <w:sz w:val="18"/>
              </w:rPr>
              <w:t>المحور</w:t>
            </w:r>
          </w:p>
        </w:tc>
        <w:tc>
          <w:tcPr>
            <w:tcW w:type="dxa" w:w="4200"/>
            <w:shd w:fill="E8EEF5"/>
            <w:vAlign w:val="center"/>
          </w:tcPr>
          <w:p>
            <w:pPr>
              <w:jc w:val="right"/>
              <w:bidi w:val="1"/>
            </w:pPr>
            <w:r>
              <w:rPr>
                <w:rFonts w:ascii="Tahoma" w:hAnsi="Tahoma" w:cs="Tahoma"/>
                <w:b/>
                <w:sz w:val="18"/>
              </w:rPr>
              <w:t>الإجراء العلمي</w:t>
            </w:r>
          </w:p>
        </w:tc>
        <w:tc>
          <w:tcPr>
            <w:tcW w:type="dxa" w:w="3360"/>
            <w:shd w:fill="E8EEF5"/>
            <w:vAlign w:val="center"/>
          </w:tcPr>
          <w:p>
            <w:pPr>
              <w:jc w:val="right"/>
              <w:bidi w:val="1"/>
            </w:pPr>
            <w:r>
              <w:rPr>
                <w:rFonts w:ascii="Tahoma" w:hAnsi="Tahoma" w:cs="Tahoma"/>
                <w:b/>
                <w:sz w:val="18"/>
              </w:rPr>
              <w:t>الدليل داخل المشروع</w:t>
            </w:r>
          </w:p>
        </w:tc>
      </w:tr>
      <w:tr>
        <w:tc>
          <w:tcPr>
            <w:tcW w:type="dxa" w:w="1800"/>
            <w:vAlign w:val="top"/>
          </w:tcPr>
          <w:p>
            <w:pPr>
              <w:jc w:val="right"/>
              <w:bidi w:val="1"/>
            </w:pPr>
            <w:r>
              <w:rPr>
                <w:rFonts w:ascii="Tahoma" w:hAnsi="Tahoma" w:cs="Tahoma"/>
                <w:sz w:val="17"/>
              </w:rPr>
              <w:t>النموذج</w:t>
            </w:r>
          </w:p>
        </w:tc>
        <w:tc>
          <w:tcPr>
            <w:tcW w:type="dxa" w:w="4200"/>
            <w:vAlign w:val="top"/>
          </w:tcPr>
          <w:p>
            <w:pPr>
              <w:jc w:val="right"/>
              <w:bidi w:val="1"/>
            </w:pPr>
            <w:r>
              <w:rPr>
                <w:rFonts w:ascii="Tahoma" w:hAnsi="Tahoma" w:cs="Tahoma"/>
                <w:sz w:val="17"/>
              </w:rPr>
              <w:t>اختيار نموذج VTEAM/RRAM بحثي أولي ثم صياغة نموذج محسّن لسلوك PIM منخفض الطاقة.</w:t>
            </w:r>
          </w:p>
        </w:tc>
        <w:tc>
          <w:tcPr>
            <w:tcW w:type="dxa" w:w="3360"/>
            <w:vAlign w:val="top"/>
          </w:tcPr>
          <w:p>
            <w:pPr>
              <w:jc w:val="right"/>
              <w:bidi w:val="1"/>
            </w:pPr>
            <w:r>
              <w:rPr>
                <w:rFonts w:ascii="Tahoma" w:hAnsi="Tahoma" w:cs="Tahoma"/>
                <w:sz w:val="17"/>
              </w:rPr>
              <w:t>models/memristor/*.json وmodels/memristor/*.md</w:t>
            </w:r>
          </w:p>
        </w:tc>
      </w:tr>
      <w:tr>
        <w:tc>
          <w:tcPr>
            <w:tcW w:type="dxa" w:w="1800"/>
            <w:vAlign w:val="top"/>
          </w:tcPr>
          <w:p>
            <w:pPr>
              <w:jc w:val="right"/>
              <w:bidi w:val="1"/>
            </w:pPr>
            <w:r>
              <w:rPr>
                <w:rFonts w:ascii="Tahoma" w:hAnsi="Tahoma" w:cs="Tahoma"/>
                <w:sz w:val="17"/>
              </w:rPr>
              <w:t>بوابة XOR</w:t>
            </w:r>
          </w:p>
        </w:tc>
        <w:tc>
          <w:tcPr>
            <w:tcW w:type="dxa" w:w="4200"/>
            <w:vAlign w:val="top"/>
          </w:tcPr>
          <w:p>
            <w:pPr>
              <w:jc w:val="right"/>
              <w:bidi w:val="1"/>
            </w:pPr>
            <w:r>
              <w:rPr>
                <w:rFonts w:ascii="Tahoma" w:hAnsi="Tahoma" w:cs="Tahoma"/>
                <w:sz w:val="17"/>
              </w:rPr>
              <w:t>بناء netlists لبوابة XOR ميمريستورية والتحقق من truth table.</w:t>
            </w:r>
          </w:p>
        </w:tc>
        <w:tc>
          <w:tcPr>
            <w:tcW w:type="dxa" w:w="3360"/>
            <w:vAlign w:val="top"/>
          </w:tcPr>
          <w:p>
            <w:pPr>
              <w:jc w:val="right"/>
              <w:bidi w:val="1"/>
            </w:pPr>
            <w:r>
              <w:rPr>
                <w:rFonts w:ascii="Tahoma" w:hAnsi="Tahoma" w:cs="Tahoma"/>
                <w:sz w:val="17"/>
              </w:rPr>
              <w:t>ltspice/memristor-hamming/EXP-MEM-XOR-PIM-*.cir</w:t>
            </w:r>
          </w:p>
        </w:tc>
      </w:tr>
      <w:tr>
        <w:tc>
          <w:tcPr>
            <w:tcW w:type="dxa" w:w="1800"/>
            <w:vAlign w:val="top"/>
          </w:tcPr>
          <w:p>
            <w:pPr>
              <w:jc w:val="right"/>
              <w:bidi w:val="1"/>
            </w:pPr>
            <w:r>
              <w:rPr>
                <w:rFonts w:ascii="Tahoma" w:hAnsi="Tahoma" w:cs="Tahoma"/>
                <w:sz w:val="17"/>
              </w:rPr>
              <w:t>Hamming parity</w:t>
            </w:r>
          </w:p>
        </w:tc>
        <w:tc>
          <w:tcPr>
            <w:tcW w:type="dxa" w:w="4200"/>
            <w:vAlign w:val="top"/>
          </w:tcPr>
          <w:p>
            <w:pPr>
              <w:jc w:val="right"/>
              <w:bidi w:val="1"/>
            </w:pPr>
            <w:r>
              <w:rPr>
                <w:rFonts w:ascii="Tahoma" w:hAnsi="Tahoma" w:cs="Tahoma"/>
                <w:sz w:val="17"/>
              </w:rPr>
              <w:t>تمثيل parity لمشفّر Extended Hamming (12,7) داخل مسار PIM وتجميع نتائج LTspice.</w:t>
            </w:r>
          </w:p>
        </w:tc>
        <w:tc>
          <w:tcPr>
            <w:tcW w:type="dxa" w:w="3360"/>
            <w:vAlign w:val="top"/>
          </w:tcPr>
          <w:p>
            <w:pPr>
              <w:jc w:val="right"/>
              <w:bidi w:val="1"/>
            </w:pPr>
            <w:r>
              <w:rPr>
                <w:rFonts w:ascii="Tahoma" w:hAnsi="Tahoma" w:cs="Tahoma"/>
                <w:sz w:val="17"/>
              </w:rPr>
              <w:t>ltspice/memristor-hamming/EXP-MEM-EH127-PIM-*.cir</w:t>
            </w:r>
          </w:p>
        </w:tc>
      </w:tr>
      <w:tr>
        <w:tc>
          <w:tcPr>
            <w:tcW w:type="dxa" w:w="1800"/>
            <w:vAlign w:val="top"/>
          </w:tcPr>
          <w:p>
            <w:pPr>
              <w:jc w:val="right"/>
              <w:bidi w:val="1"/>
            </w:pPr>
            <w:r>
              <w:rPr>
                <w:rFonts w:ascii="Tahoma" w:hAnsi="Tahoma" w:cs="Tahoma"/>
                <w:sz w:val="17"/>
              </w:rPr>
              <w:t>تحليل variation</w:t>
            </w:r>
          </w:p>
        </w:tc>
        <w:tc>
          <w:tcPr>
            <w:tcW w:type="dxa" w:w="4200"/>
            <w:vAlign w:val="top"/>
          </w:tcPr>
          <w:p>
            <w:pPr>
              <w:jc w:val="right"/>
              <w:bidi w:val="1"/>
            </w:pPr>
            <w:r>
              <w:rPr>
                <w:rFonts w:ascii="Tahoma" w:hAnsi="Tahoma" w:cs="Tahoma"/>
                <w:sz w:val="17"/>
              </w:rPr>
              <w:t>تنفيذ Monte Carlo لحساسية Ron وRoff وthreshold وread noise.</w:t>
            </w:r>
          </w:p>
        </w:tc>
        <w:tc>
          <w:tcPr>
            <w:tcW w:type="dxa" w:w="3360"/>
            <w:vAlign w:val="top"/>
          </w:tcPr>
          <w:p>
            <w:pPr>
              <w:jc w:val="right"/>
              <w:bidi w:val="1"/>
            </w:pPr>
            <w:r>
              <w:rPr>
                <w:rFonts w:ascii="Tahoma" w:hAnsi="Tahoma" w:cs="Tahoma"/>
                <w:sz w:val="17"/>
              </w:rPr>
              <w:t>results/memristor/*monte_carlo_summary.json</w:t>
            </w:r>
          </w:p>
        </w:tc>
      </w:tr>
      <w:tr>
        <w:tc>
          <w:tcPr>
            <w:tcW w:type="dxa" w:w="1800"/>
            <w:vAlign w:val="top"/>
          </w:tcPr>
          <w:p>
            <w:pPr>
              <w:jc w:val="right"/>
              <w:bidi w:val="1"/>
            </w:pPr>
            <w:r>
              <w:rPr>
                <w:rFonts w:ascii="Tahoma" w:hAnsi="Tahoma" w:cs="Tahoma"/>
                <w:sz w:val="17"/>
              </w:rPr>
              <w:t>حفظ المراحل</w:t>
            </w:r>
          </w:p>
        </w:tc>
        <w:tc>
          <w:tcPr>
            <w:tcW w:type="dxa" w:w="4200"/>
            <w:vAlign w:val="top"/>
          </w:tcPr>
          <w:p>
            <w:pPr>
              <w:jc w:val="right"/>
              <w:bidi w:val="1"/>
            </w:pPr>
            <w:r>
              <w:rPr>
                <w:rFonts w:ascii="Tahoma" w:hAnsi="Tahoma" w:cs="Tahoma"/>
                <w:sz w:val="17"/>
              </w:rPr>
              <w:t>الإبقاء على النتيجة المحافظة السلبية ثم إضافة نتيجة محسنة موجبة للمقارنة العلمية.</w:t>
            </w:r>
          </w:p>
        </w:tc>
        <w:tc>
          <w:tcPr>
            <w:tcW w:type="dxa" w:w="3360"/>
            <w:vAlign w:val="top"/>
          </w:tcPr>
          <w:p>
            <w:pPr>
              <w:jc w:val="right"/>
              <w:bidi w:val="1"/>
            </w:pPr>
            <w:r>
              <w:rPr>
                <w:rFonts w:ascii="Tahoma" w:hAnsi="Tahoma" w:cs="Tahoma"/>
                <w:sz w:val="17"/>
              </w:rPr>
              <w:t>data/processed/memristor_ltspice_comparison.csv</w:t>
            </w:r>
          </w:p>
        </w:tc>
      </w:tr>
    </w:tbl>
    <w:p>
      <w:pPr>
        <w:pStyle w:val="Heading1"/>
        <w:jc w:val="right"/>
        <w:bidi w:val="1"/>
      </w:pPr>
      <w:r>
        <w:rPr>
          <w:rFonts w:ascii="Tahoma" w:hAnsi="Tahoma" w:cs="Tahoma"/>
          <w:b/>
          <w:color w:val="1F4D78"/>
        </w:rPr>
        <w:t>4. نتائج LTspice الاسمية</w:t>
      </w:r>
    </w:p>
    <w:tbl>
      <w:tblPr>
        <w:tblStyle w:val="TableGrid"/>
        <w:tblW w:type="dxa" w:w="9360"/>
        <w:tblLayout w:type="fixed"/>
        <w:tblLook w:firstColumn="1" w:firstRow="1" w:lastColumn="0" w:lastRow="0" w:noHBand="0" w:noVBand="1" w:val="04A0"/>
        <w:jc w:val="center"/>
        <w:tblInd w:w="120" w:type="dxa"/>
      </w:tblPr>
      <w:tblGrid>
        <w:gridCol w:w="2050"/>
        <w:gridCol w:w="1450"/>
        <w:gridCol w:w="1450"/>
        <w:gridCol w:w="1600"/>
        <w:gridCol w:w="2810"/>
      </w:tblGrid>
      <w:tr>
        <w:tc>
          <w:tcPr>
            <w:tcW w:type="dxa" w:w="2050"/>
            <w:shd w:fill="E8EEF5"/>
            <w:vAlign w:val="center"/>
          </w:tcPr>
          <w:p>
            <w:pPr>
              <w:jc w:val="right"/>
              <w:bidi w:val="1"/>
            </w:pPr>
            <w:r>
              <w:rPr>
                <w:rFonts w:ascii="Tahoma" w:hAnsi="Tahoma" w:cs="Tahoma"/>
                <w:b/>
                <w:sz w:val="18"/>
              </w:rPr>
              <w:t>المعمارية</w:t>
            </w:r>
          </w:p>
        </w:tc>
        <w:tc>
          <w:tcPr>
            <w:tcW w:type="dxa" w:w="1450"/>
            <w:shd w:fill="E8EEF5"/>
            <w:vAlign w:val="center"/>
          </w:tcPr>
          <w:p>
            <w:pPr>
              <w:jc w:val="right"/>
              <w:bidi w:val="1"/>
            </w:pPr>
            <w:r>
              <w:rPr>
                <w:rFonts w:ascii="Tahoma" w:hAnsi="Tahoma" w:cs="Tahoma"/>
                <w:b/>
                <w:sz w:val="18"/>
              </w:rPr>
              <w:t>Power</w:t>
            </w:r>
          </w:p>
        </w:tc>
        <w:tc>
          <w:tcPr>
            <w:tcW w:type="dxa" w:w="1450"/>
            <w:shd w:fill="E8EEF5"/>
            <w:vAlign w:val="center"/>
          </w:tcPr>
          <w:p>
            <w:pPr>
              <w:jc w:val="right"/>
              <w:bidi w:val="1"/>
            </w:pPr>
            <w:r>
              <w:rPr>
                <w:rFonts w:ascii="Tahoma" w:hAnsi="Tahoma" w:cs="Tahoma"/>
                <w:b/>
                <w:sz w:val="18"/>
              </w:rPr>
              <w:t>Delay</w:t>
            </w:r>
          </w:p>
        </w:tc>
        <w:tc>
          <w:tcPr>
            <w:tcW w:type="dxa" w:w="1600"/>
            <w:shd w:fill="E8EEF5"/>
            <w:vAlign w:val="center"/>
          </w:tcPr>
          <w:p>
            <w:pPr>
              <w:jc w:val="right"/>
              <w:bidi w:val="1"/>
            </w:pPr>
            <w:r>
              <w:rPr>
                <w:rFonts w:ascii="Tahoma" w:hAnsi="Tahoma" w:cs="Tahoma"/>
                <w:b/>
                <w:sz w:val="18"/>
              </w:rPr>
              <w:t>Energy/word</w:t>
            </w:r>
          </w:p>
        </w:tc>
        <w:tc>
          <w:tcPr>
            <w:tcW w:type="dxa" w:w="2810"/>
            <w:shd w:fill="E8EEF5"/>
            <w:vAlign w:val="center"/>
          </w:tcPr>
          <w:p>
            <w:pPr>
              <w:jc w:val="right"/>
              <w:bidi w:val="1"/>
            </w:pPr>
            <w:r>
              <w:rPr>
                <w:rFonts w:ascii="Tahoma" w:hAnsi="Tahoma" w:cs="Tahoma"/>
                <w:b/>
                <w:sz w:val="18"/>
              </w:rPr>
              <w:t>التفسير العلمي</w:t>
            </w:r>
          </w:p>
        </w:tc>
      </w:tr>
      <w:tr>
        <w:tc>
          <w:tcPr>
            <w:tcW w:type="dxa" w:w="2050"/>
            <w:vAlign w:val="top"/>
          </w:tcPr>
          <w:p>
            <w:pPr>
              <w:jc w:val="right"/>
              <w:bidi w:val="1"/>
            </w:pPr>
            <w:r>
              <w:rPr>
                <w:rFonts w:ascii="Tahoma" w:hAnsi="Tahoma" w:cs="Tahoma"/>
                <w:sz w:val="17"/>
              </w:rPr>
              <w:t>Hybrid-B baseline</w:t>
            </w:r>
          </w:p>
        </w:tc>
        <w:tc>
          <w:tcPr>
            <w:tcW w:type="dxa" w:w="1450"/>
            <w:vAlign w:val="top"/>
          </w:tcPr>
          <w:p>
            <w:pPr>
              <w:jc w:val="right"/>
              <w:bidi w:val="1"/>
            </w:pPr>
            <w:r>
              <w:rPr>
                <w:rFonts w:ascii="Tahoma" w:hAnsi="Tahoma" w:cs="Tahoma"/>
                <w:sz w:val="17"/>
              </w:rPr>
              <w:t>11.203 uW</w:t>
            </w:r>
          </w:p>
        </w:tc>
        <w:tc>
          <w:tcPr>
            <w:tcW w:type="dxa" w:w="1450"/>
            <w:vAlign w:val="top"/>
          </w:tcPr>
          <w:p>
            <w:pPr>
              <w:jc w:val="right"/>
              <w:bidi w:val="1"/>
            </w:pPr>
            <w:r>
              <w:rPr>
                <w:rFonts w:ascii="Tahoma" w:hAnsi="Tahoma" w:cs="Tahoma"/>
                <w:sz w:val="17"/>
              </w:rPr>
              <w:t>215.846 ps</w:t>
            </w:r>
          </w:p>
        </w:tc>
        <w:tc>
          <w:tcPr>
            <w:tcW w:type="dxa" w:w="1600"/>
            <w:vAlign w:val="top"/>
          </w:tcPr>
          <w:p>
            <w:pPr>
              <w:jc w:val="right"/>
              <w:bidi w:val="1"/>
            </w:pPr>
            <w:r>
              <w:rPr>
                <w:rFonts w:ascii="Tahoma" w:hAnsi="Tahoma" w:cs="Tahoma"/>
                <w:sz w:val="17"/>
              </w:rPr>
              <w:t>89.623 fJ</w:t>
            </w:r>
          </w:p>
        </w:tc>
        <w:tc>
          <w:tcPr>
            <w:tcW w:type="dxa" w:w="2810"/>
            <w:vAlign w:val="top"/>
          </w:tcPr>
          <w:p>
            <w:pPr>
              <w:jc w:val="right"/>
              <w:bidi w:val="1"/>
            </w:pPr>
            <w:r>
              <w:rPr>
                <w:rFonts w:ascii="Tahoma" w:hAnsi="Tahoma" w:cs="Tahoma"/>
                <w:sz w:val="17"/>
              </w:rPr>
              <w:t>خط الأساس المقاس من مرحلة CMOS/FS-GDI/Hybrid-B.</w:t>
            </w:r>
          </w:p>
        </w:tc>
      </w:tr>
      <w:tr>
        <w:tc>
          <w:tcPr>
            <w:tcW w:type="dxa" w:w="2050"/>
            <w:vAlign w:val="top"/>
          </w:tcPr>
          <w:p>
            <w:pPr>
              <w:jc w:val="right"/>
              <w:bidi w:val="1"/>
            </w:pPr>
            <w:r>
              <w:rPr>
                <w:rFonts w:ascii="Tahoma" w:hAnsi="Tahoma" w:cs="Tahoma"/>
                <w:sz w:val="17"/>
              </w:rPr>
              <w:t>Memristor-PIM conservative</w:t>
            </w:r>
          </w:p>
        </w:tc>
        <w:tc>
          <w:tcPr>
            <w:tcW w:type="dxa" w:w="1450"/>
            <w:vAlign w:val="top"/>
          </w:tcPr>
          <w:p>
            <w:pPr>
              <w:jc w:val="right"/>
              <w:bidi w:val="1"/>
            </w:pPr>
            <w:r>
              <w:rPr>
                <w:rFonts w:ascii="Tahoma" w:hAnsi="Tahoma" w:cs="Tahoma"/>
                <w:sz w:val="17"/>
              </w:rPr>
              <w:t>224.950 uW</w:t>
            </w:r>
          </w:p>
        </w:tc>
        <w:tc>
          <w:tcPr>
            <w:tcW w:type="dxa" w:w="1450"/>
            <w:vAlign w:val="top"/>
          </w:tcPr>
          <w:p>
            <w:pPr>
              <w:jc w:val="right"/>
              <w:bidi w:val="1"/>
            </w:pPr>
            <w:r>
              <w:rPr>
                <w:rFonts w:ascii="Tahoma" w:hAnsi="Tahoma" w:cs="Tahoma"/>
                <w:sz w:val="17"/>
              </w:rPr>
              <w:t>31.537 ns</w:t>
            </w:r>
          </w:p>
        </w:tc>
        <w:tc>
          <w:tcPr>
            <w:tcW w:type="dxa" w:w="1600"/>
            <w:vAlign w:val="top"/>
          </w:tcPr>
          <w:p>
            <w:pPr>
              <w:jc w:val="right"/>
              <w:bidi w:val="1"/>
            </w:pPr>
            <w:r>
              <w:rPr>
                <w:rFonts w:ascii="Tahoma" w:hAnsi="Tahoma" w:cs="Tahoma"/>
                <w:sz w:val="17"/>
              </w:rPr>
              <w:t>1.800 pJ</w:t>
            </w:r>
          </w:p>
        </w:tc>
        <w:tc>
          <w:tcPr>
            <w:tcW w:type="dxa" w:w="2810"/>
            <w:vAlign w:val="top"/>
          </w:tcPr>
          <w:p>
            <w:pPr>
              <w:jc w:val="right"/>
              <w:bidi w:val="1"/>
            </w:pPr>
            <w:r>
              <w:rPr>
                <w:rFonts w:ascii="Tahoma" w:hAnsi="Tahoma" w:cs="Tahoma"/>
                <w:sz w:val="17"/>
              </w:rPr>
              <w:t>مرحلة أولى وظيفية لكنها أسوأ من Hybrid-B في الطاقة والتأخير.</w:t>
            </w:r>
          </w:p>
        </w:tc>
      </w:tr>
      <w:tr>
        <w:tc>
          <w:tcPr>
            <w:tcW w:type="dxa" w:w="2050"/>
            <w:vAlign w:val="top"/>
          </w:tcPr>
          <w:p>
            <w:pPr>
              <w:jc w:val="right"/>
              <w:bidi w:val="1"/>
            </w:pPr>
            <w:r>
              <w:rPr>
                <w:rFonts w:ascii="Tahoma" w:hAnsi="Tahoma" w:cs="Tahoma"/>
                <w:sz w:val="17"/>
              </w:rPr>
              <w:t>Memristor-PIM optimized</w:t>
            </w:r>
          </w:p>
        </w:tc>
        <w:tc>
          <w:tcPr>
            <w:tcW w:type="dxa" w:w="1450"/>
            <w:vAlign w:val="top"/>
          </w:tcPr>
          <w:p>
            <w:pPr>
              <w:jc w:val="right"/>
              <w:bidi w:val="1"/>
            </w:pPr>
            <w:r>
              <w:rPr>
                <w:rFonts w:ascii="Tahoma" w:hAnsi="Tahoma" w:cs="Tahoma"/>
                <w:sz w:val="17"/>
              </w:rPr>
              <w:t>0.012 uW</w:t>
            </w:r>
          </w:p>
        </w:tc>
        <w:tc>
          <w:tcPr>
            <w:tcW w:type="dxa" w:w="1450"/>
            <w:vAlign w:val="top"/>
          </w:tcPr>
          <w:p>
            <w:pPr>
              <w:jc w:val="right"/>
              <w:bidi w:val="1"/>
            </w:pPr>
            <w:r>
              <w:rPr>
                <w:rFonts w:ascii="Tahoma" w:hAnsi="Tahoma" w:cs="Tahoma"/>
                <w:sz w:val="17"/>
              </w:rPr>
              <w:t>30.257 ps</w:t>
            </w:r>
          </w:p>
        </w:tc>
        <w:tc>
          <w:tcPr>
            <w:tcW w:type="dxa" w:w="1600"/>
            <w:vAlign w:val="top"/>
          </w:tcPr>
          <w:p>
            <w:pPr>
              <w:jc w:val="right"/>
              <w:bidi w:val="1"/>
            </w:pPr>
            <w:r>
              <w:rPr>
                <w:rFonts w:ascii="Tahoma" w:hAnsi="Tahoma" w:cs="Tahoma"/>
                <w:sz w:val="17"/>
              </w:rPr>
              <w:t>0.097 fJ</w:t>
            </w:r>
          </w:p>
        </w:tc>
        <w:tc>
          <w:tcPr>
            <w:tcW w:type="dxa" w:w="2810"/>
            <w:vAlign w:val="top"/>
          </w:tcPr>
          <w:p>
            <w:pPr>
              <w:jc w:val="right"/>
              <w:bidi w:val="1"/>
            </w:pPr>
            <w:r>
              <w:rPr>
                <w:rFonts w:ascii="Tahoma" w:hAnsi="Tahoma" w:cs="Tahoma"/>
                <w:sz w:val="17"/>
              </w:rPr>
              <w:t>مرحلة محسنة أعطت نتيجة موجبة ضمن macromodel سلوكي في LTspice.</w:t>
            </w:r>
          </w:p>
        </w:tc>
      </w:tr>
    </w:tbl>
    <w:p>
      <w:pPr>
        <w:jc w:val="right"/>
        <w:bidi w:val="1"/>
      </w:pPr>
      <w:r>
        <w:rPr>
          <w:rFonts w:ascii="Tahoma" w:hAnsi="Tahoma" w:cs="Tahoma"/>
          <w:b w:val="0"/>
          <w:sz w:val="22"/>
        </w:rPr>
        <w:t>تحسن النموذج المحسن مقارنة بخط Hybrid-B بلغ 99.89% في الطاقة و85.98% في التأخير. هذه الأرقام تُعرض كدليل محاكاة سلوكي داخل LTspice، وليست دليل تصنيع أو post-layout sign-off.</w:t>
      </w:r>
    </w:p>
    <w:p>
      <w:pPr>
        <w:pStyle w:val="Heading1"/>
        <w:jc w:val="right"/>
        <w:bidi w:val="1"/>
      </w:pPr>
      <w:r>
        <w:rPr>
          <w:rFonts w:ascii="Tahoma" w:hAnsi="Tahoma" w:cs="Tahoma"/>
          <w:b/>
          <w:color w:val="1F4D78"/>
        </w:rPr>
        <w:t>5. تحقق truth table وMonte Carlo</w:t>
      </w:r>
    </w:p>
    <w:tbl>
      <w:tblPr>
        <w:tblStyle w:val="TableGrid"/>
        <w:tblW w:type="dxa" w:w="9360"/>
        <w:tblLayout w:type="fixed"/>
        <w:tblLook w:firstColumn="1" w:firstRow="1" w:lastColumn="0" w:lastRow="0" w:noHBand="0" w:noVBand="1" w:val="04A0"/>
        <w:jc w:val="center"/>
        <w:tblInd w:w="120" w:type="dxa"/>
      </w:tblPr>
      <w:tblGrid>
        <w:gridCol w:w="2100"/>
        <w:gridCol w:w="2100"/>
        <w:gridCol w:w="2100"/>
        <w:gridCol w:w="3060"/>
      </w:tblGrid>
      <w:tr>
        <w:tc>
          <w:tcPr>
            <w:tcW w:type="dxa" w:w="2100"/>
            <w:shd w:fill="E8EEF5"/>
            <w:vAlign w:val="center"/>
          </w:tcPr>
          <w:p>
            <w:pPr>
              <w:jc w:val="right"/>
              <w:bidi w:val="1"/>
            </w:pPr>
            <w:r>
              <w:rPr>
                <w:rFonts w:ascii="Tahoma" w:hAnsi="Tahoma" w:cs="Tahoma"/>
                <w:b/>
                <w:sz w:val="18"/>
              </w:rPr>
              <w:t>الاختبار</w:t>
            </w:r>
          </w:p>
        </w:tc>
        <w:tc>
          <w:tcPr>
            <w:tcW w:type="dxa" w:w="2100"/>
            <w:shd w:fill="E8EEF5"/>
            <w:vAlign w:val="center"/>
          </w:tcPr>
          <w:p>
            <w:pPr>
              <w:jc w:val="right"/>
              <w:bidi w:val="1"/>
            </w:pPr>
            <w:r>
              <w:rPr>
                <w:rFonts w:ascii="Tahoma" w:hAnsi="Tahoma" w:cs="Tahoma"/>
                <w:b/>
                <w:sz w:val="18"/>
              </w:rPr>
              <w:t>الحالة المحافظة</w:t>
            </w:r>
          </w:p>
        </w:tc>
        <w:tc>
          <w:tcPr>
            <w:tcW w:type="dxa" w:w="2100"/>
            <w:shd w:fill="E8EEF5"/>
            <w:vAlign w:val="center"/>
          </w:tcPr>
          <w:p>
            <w:pPr>
              <w:jc w:val="right"/>
              <w:bidi w:val="1"/>
            </w:pPr>
            <w:r>
              <w:rPr>
                <w:rFonts w:ascii="Tahoma" w:hAnsi="Tahoma" w:cs="Tahoma"/>
                <w:b/>
                <w:sz w:val="18"/>
              </w:rPr>
              <w:t>الحالة المحسنة</w:t>
            </w:r>
          </w:p>
        </w:tc>
        <w:tc>
          <w:tcPr>
            <w:tcW w:type="dxa" w:w="3060"/>
            <w:shd w:fill="E8EEF5"/>
            <w:vAlign w:val="center"/>
          </w:tcPr>
          <w:p>
            <w:pPr>
              <w:jc w:val="right"/>
              <w:bidi w:val="1"/>
            </w:pPr>
            <w:r>
              <w:rPr>
                <w:rFonts w:ascii="Tahoma" w:hAnsi="Tahoma" w:cs="Tahoma"/>
                <w:b/>
                <w:sz w:val="18"/>
              </w:rPr>
              <w:t>الدلالة</w:t>
            </w:r>
          </w:p>
        </w:tc>
      </w:tr>
      <w:tr>
        <w:tc>
          <w:tcPr>
            <w:tcW w:type="dxa" w:w="2100"/>
            <w:vAlign w:val="top"/>
          </w:tcPr>
          <w:p>
            <w:pPr>
              <w:jc w:val="right"/>
              <w:bidi w:val="1"/>
            </w:pPr>
            <w:r>
              <w:rPr>
                <w:rFonts w:ascii="Tahoma" w:hAnsi="Tahoma" w:cs="Tahoma"/>
                <w:sz w:val="17"/>
              </w:rPr>
              <w:t>XOR truth table</w:t>
            </w:r>
          </w:p>
        </w:tc>
        <w:tc>
          <w:tcPr>
            <w:tcW w:type="dxa" w:w="2100"/>
            <w:vAlign w:val="top"/>
          </w:tcPr>
          <w:p>
            <w:pPr>
              <w:jc w:val="right"/>
              <w:bidi w:val="1"/>
            </w:pPr>
            <w:r>
              <w:rPr>
                <w:rFonts w:ascii="Tahoma" w:hAnsi="Tahoma" w:cs="Tahoma"/>
                <w:sz w:val="17"/>
              </w:rPr>
              <w:t>PASS</w:t>
            </w:r>
          </w:p>
        </w:tc>
        <w:tc>
          <w:tcPr>
            <w:tcW w:type="dxa" w:w="2100"/>
            <w:vAlign w:val="top"/>
          </w:tcPr>
          <w:p>
            <w:pPr>
              <w:jc w:val="right"/>
              <w:bidi w:val="1"/>
            </w:pPr>
            <w:r>
              <w:rPr>
                <w:rFonts w:ascii="Tahoma" w:hAnsi="Tahoma" w:cs="Tahoma"/>
                <w:sz w:val="17"/>
              </w:rPr>
              <w:t>PASS</w:t>
            </w:r>
          </w:p>
        </w:tc>
        <w:tc>
          <w:tcPr>
            <w:tcW w:type="dxa" w:w="3060"/>
            <w:vAlign w:val="top"/>
          </w:tcPr>
          <w:p>
            <w:pPr>
              <w:jc w:val="right"/>
              <w:bidi w:val="1"/>
            </w:pPr>
            <w:r>
              <w:rPr>
                <w:rFonts w:ascii="Tahoma" w:hAnsi="Tahoma" w:cs="Tahoma"/>
                <w:sz w:val="17"/>
              </w:rPr>
              <w:t>الوظيفة المنطقية الأساسية محفوظة.</w:t>
            </w:r>
          </w:p>
        </w:tc>
      </w:tr>
      <w:tr>
        <w:tc>
          <w:tcPr>
            <w:tcW w:type="dxa" w:w="2100"/>
            <w:vAlign w:val="top"/>
          </w:tcPr>
          <w:p>
            <w:pPr>
              <w:jc w:val="right"/>
              <w:bidi w:val="1"/>
            </w:pPr>
            <w:r>
              <w:rPr>
                <w:rFonts w:ascii="Tahoma" w:hAnsi="Tahoma" w:cs="Tahoma"/>
                <w:sz w:val="17"/>
              </w:rPr>
              <w:t>Nominal Hamming parity</w:t>
            </w:r>
          </w:p>
        </w:tc>
        <w:tc>
          <w:tcPr>
            <w:tcW w:type="dxa" w:w="2100"/>
            <w:vAlign w:val="top"/>
          </w:tcPr>
          <w:p>
            <w:pPr>
              <w:jc w:val="right"/>
              <w:bidi w:val="1"/>
            </w:pPr>
            <w:r>
              <w:rPr>
                <w:rFonts w:ascii="Tahoma" w:hAnsi="Tahoma" w:cs="Tahoma"/>
                <w:sz w:val="17"/>
              </w:rPr>
              <w:t>PASS</w:t>
            </w:r>
          </w:p>
        </w:tc>
        <w:tc>
          <w:tcPr>
            <w:tcW w:type="dxa" w:w="2100"/>
            <w:vAlign w:val="top"/>
          </w:tcPr>
          <w:p>
            <w:pPr>
              <w:jc w:val="right"/>
              <w:bidi w:val="1"/>
            </w:pPr>
            <w:r>
              <w:rPr>
                <w:rFonts w:ascii="Tahoma" w:hAnsi="Tahoma" w:cs="Tahoma"/>
                <w:sz w:val="17"/>
              </w:rPr>
              <w:t>PASS</w:t>
            </w:r>
          </w:p>
        </w:tc>
        <w:tc>
          <w:tcPr>
            <w:tcW w:type="dxa" w:w="3060"/>
            <w:vAlign w:val="top"/>
          </w:tcPr>
          <w:p>
            <w:pPr>
              <w:jc w:val="right"/>
              <w:bidi w:val="1"/>
            </w:pPr>
            <w:r>
              <w:rPr>
                <w:rFonts w:ascii="Tahoma" w:hAnsi="Tahoma" w:cs="Tahoma"/>
                <w:sz w:val="17"/>
              </w:rPr>
              <w:t>نقل parity equations إلى PIM لم يغير الوظيفة الرياضية.</w:t>
            </w:r>
          </w:p>
        </w:tc>
      </w:tr>
      <w:tr>
        <w:tc>
          <w:tcPr>
            <w:tcW w:type="dxa" w:w="2100"/>
            <w:vAlign w:val="top"/>
          </w:tcPr>
          <w:p>
            <w:pPr>
              <w:jc w:val="right"/>
              <w:bidi w:val="1"/>
            </w:pPr>
            <w:r>
              <w:rPr>
                <w:rFonts w:ascii="Tahoma" w:hAnsi="Tahoma" w:cs="Tahoma"/>
                <w:sz w:val="17"/>
              </w:rPr>
              <w:t>Monte Carlo trials</w:t>
            </w:r>
          </w:p>
        </w:tc>
        <w:tc>
          <w:tcPr>
            <w:tcW w:type="dxa" w:w="2100"/>
            <w:vAlign w:val="top"/>
          </w:tcPr>
          <w:p>
            <w:pPr>
              <w:jc w:val="right"/>
              <w:bidi w:val="1"/>
            </w:pPr>
            <w:r>
              <w:rPr>
                <w:rFonts w:ascii="Tahoma" w:hAnsi="Tahoma" w:cs="Tahoma"/>
                <w:sz w:val="17"/>
              </w:rPr>
              <w:t>10000</w:t>
            </w:r>
          </w:p>
        </w:tc>
        <w:tc>
          <w:tcPr>
            <w:tcW w:type="dxa" w:w="2100"/>
            <w:vAlign w:val="top"/>
          </w:tcPr>
          <w:p>
            <w:pPr>
              <w:jc w:val="right"/>
              <w:bidi w:val="1"/>
            </w:pPr>
            <w:r>
              <w:rPr>
                <w:rFonts w:ascii="Tahoma" w:hAnsi="Tahoma" w:cs="Tahoma"/>
                <w:sz w:val="17"/>
              </w:rPr>
              <w:t>10000</w:t>
            </w:r>
          </w:p>
        </w:tc>
        <w:tc>
          <w:tcPr>
            <w:tcW w:type="dxa" w:w="3060"/>
            <w:vAlign w:val="top"/>
          </w:tcPr>
          <w:p>
            <w:pPr>
              <w:jc w:val="right"/>
              <w:bidi w:val="1"/>
            </w:pPr>
            <w:r>
              <w:rPr>
                <w:rFonts w:ascii="Tahoma" w:hAnsi="Tahoma" w:cs="Tahoma"/>
                <w:sz w:val="17"/>
              </w:rPr>
              <w:t>اختبار التباين على خصائص memristor.</w:t>
            </w:r>
          </w:p>
        </w:tc>
      </w:tr>
      <w:tr>
        <w:tc>
          <w:tcPr>
            <w:tcW w:type="dxa" w:w="2100"/>
            <w:vAlign w:val="top"/>
          </w:tcPr>
          <w:p>
            <w:pPr>
              <w:jc w:val="right"/>
              <w:bidi w:val="1"/>
            </w:pPr>
            <w:r>
              <w:rPr>
                <w:rFonts w:ascii="Tahoma" w:hAnsi="Tahoma" w:cs="Tahoma"/>
                <w:sz w:val="17"/>
              </w:rPr>
              <w:t>Error rate</w:t>
            </w:r>
          </w:p>
        </w:tc>
        <w:tc>
          <w:tcPr>
            <w:tcW w:type="dxa" w:w="2100"/>
            <w:vAlign w:val="top"/>
          </w:tcPr>
          <w:p>
            <w:pPr>
              <w:jc w:val="right"/>
              <w:bidi w:val="1"/>
            </w:pPr>
            <w:r>
              <w:rPr>
                <w:rFonts w:ascii="Tahoma" w:hAnsi="Tahoma" w:cs="Tahoma"/>
                <w:sz w:val="17"/>
              </w:rPr>
              <w:t>0.150%</w:t>
            </w:r>
          </w:p>
        </w:tc>
        <w:tc>
          <w:tcPr>
            <w:tcW w:type="dxa" w:w="2100"/>
            <w:vAlign w:val="top"/>
          </w:tcPr>
          <w:p>
            <w:pPr>
              <w:jc w:val="right"/>
              <w:bidi w:val="1"/>
            </w:pPr>
            <w:r>
              <w:rPr>
                <w:rFonts w:ascii="Tahoma" w:hAnsi="Tahoma" w:cs="Tahoma"/>
                <w:sz w:val="17"/>
              </w:rPr>
              <w:t>0.000%</w:t>
            </w:r>
          </w:p>
        </w:tc>
        <w:tc>
          <w:tcPr>
            <w:tcW w:type="dxa" w:w="3060"/>
            <w:vAlign w:val="top"/>
          </w:tcPr>
          <w:p>
            <w:pPr>
              <w:jc w:val="right"/>
              <w:bidi w:val="1"/>
            </w:pPr>
            <w:r>
              <w:rPr>
                <w:rFonts w:ascii="Tahoma" w:hAnsi="Tahoma" w:cs="Tahoma"/>
                <w:sz w:val="17"/>
              </w:rPr>
              <w:t>النموذج المحسن وصل إلى نتيجة غير سلبية وفق معيار هذه المرحلة.</w:t>
            </w:r>
          </w:p>
        </w:tc>
      </w:tr>
    </w:tbl>
    <w:p>
      <w:pPr>
        <w:pStyle w:val="Heading1"/>
        <w:jc w:val="right"/>
        <w:bidi w:val="1"/>
      </w:pPr>
      <w:r>
        <w:rPr>
          <w:rFonts w:ascii="Tahoma" w:hAnsi="Tahoma" w:cs="Tahoma"/>
          <w:b/>
          <w:color w:val="1F4D78"/>
        </w:rPr>
        <w:t>6. ضبط صفحة ماذا فعل الباحث</w:t>
      </w:r>
    </w:p>
    <w:p>
      <w:pPr>
        <w:jc w:val="right"/>
        <w:bidi w:val="1"/>
      </w:pPr>
      <w:r>
        <w:rPr>
          <w:rFonts w:ascii="Tahoma" w:hAnsi="Tahoma" w:cs="Tahoma"/>
          <w:b w:val="0"/>
          <w:sz w:val="22"/>
        </w:rPr>
        <w:t>تم تحويل صفحة ماذا فعل الباحث إلى صفحة مرجعية خاصة بالمشروع: لا توجد روابط داخلية عامة تقود إليها من صفحات المشروع، لكنها تحتفظ بروابط صادرة إلى الوثائق والنتائج والكود والبيانات. كما حُفظ زر تبديل اللغة، وبقيت الصفحة هي الصفحة الوحيدة ذات ترجمة عربية كاملة على مستوى المشروع.</w:t>
      </w:r>
    </w:p>
    <w:p>
      <w:pPr>
        <w:jc w:val="right"/>
        <w:bidi w:val="1"/>
      </w:pPr>
      <w:r>
        <w:rPr>
          <w:rFonts w:ascii="Tahoma" w:hAnsi="Tahoma" w:cs="Tahoma"/>
          <w:b w:val="0"/>
          <w:sz w:val="22"/>
        </w:rPr>
        <w:t>تمت مراجعة صياغة الصفحة لتكون علمية ومنهجية، مع استخدام مصطلحات مثل تحليل الدراسات السابقة، التأصيل النظري، منهجية المحاكاة، مصفوفة الأدلة، وحدود الادعاء العلمي. كما تم توسيع جزء الأسئلة والأجوبة ليصبح سجلًا شاملًا يربط كل سؤال علمي بالملفات الداعمة داخل المشروع.</w:t>
      </w:r>
    </w:p>
    <w:p>
      <w:pPr>
        <w:pStyle w:val="Heading1"/>
        <w:jc w:val="right"/>
        <w:bidi w:val="1"/>
      </w:pPr>
      <w:r>
        <w:rPr>
          <w:rFonts w:ascii="Tahoma" w:hAnsi="Tahoma" w:cs="Tahoma"/>
          <w:b/>
          <w:color w:val="1F4D78"/>
        </w:rPr>
        <w:t>7. حدود الادعاء العلمي</w:t>
      </w:r>
    </w:p>
    <w:p>
      <w:pPr>
        <w:pStyle w:val="ListBullet"/>
        <w:jc w:val="right"/>
        <w:bidi w:val="1"/>
      </w:pPr>
      <w:r>
        <w:rPr>
          <w:rFonts w:ascii="Tahoma" w:hAnsi="Tahoma" w:cs="Tahoma"/>
          <w:sz w:val="21"/>
        </w:rPr>
        <w:t>نتيجة Memristor-PIM المحسنة مبنية على LTspice behavioral macromodel وليست نموذج Verilog-A معايرًا على جهاز مصنع.</w:t>
      </w:r>
    </w:p>
    <w:p>
      <w:pPr>
        <w:pStyle w:val="ListBullet"/>
        <w:jc w:val="right"/>
        <w:bidi w:val="1"/>
      </w:pPr>
      <w:r>
        <w:rPr>
          <w:rFonts w:ascii="Tahoma" w:hAnsi="Tahoma" w:cs="Tahoma"/>
          <w:sz w:val="21"/>
        </w:rPr>
        <w:t>لم يتم ادعاء silicon measurement أو foundry PDK sign-off أو post-layout parasitic extraction.</w:t>
      </w:r>
    </w:p>
    <w:p>
      <w:pPr>
        <w:pStyle w:val="ListBullet"/>
        <w:jc w:val="right"/>
        <w:bidi w:val="1"/>
      </w:pPr>
      <w:r>
        <w:rPr>
          <w:rFonts w:ascii="Tahoma" w:hAnsi="Tahoma" w:cs="Tahoma"/>
          <w:sz w:val="21"/>
        </w:rPr>
        <w:t>تظل النتيجة المحافظة السلبية جزءًا من سجل البحث لأنها توضح أن تحسين PIM ليس تلقائيًا بل يعتمد على النموذج والنوافذ التشغيلية.</w:t>
      </w:r>
    </w:p>
    <w:p>
      <w:pPr>
        <w:pStyle w:val="ListBullet"/>
        <w:jc w:val="right"/>
        <w:bidi w:val="1"/>
      </w:pPr>
      <w:r>
        <w:rPr>
          <w:rFonts w:ascii="Tahoma" w:hAnsi="Tahoma" w:cs="Tahoma"/>
          <w:sz w:val="21"/>
        </w:rPr>
        <w:t>الخطوة العلمية التالية هي معايرة النموذج على RRAM/PCM منشور أو PDK فعلي ثم إعادة Monte Carlo تحت زوايا عملية أوسع.</w:t>
      </w:r>
    </w:p>
    <w:p>
      <w:pPr>
        <w:pStyle w:val="Heading1"/>
        <w:jc w:val="right"/>
        <w:bidi w:val="1"/>
      </w:pPr>
      <w:r>
        <w:rPr>
          <w:rFonts w:ascii="Tahoma" w:hAnsi="Tahoma" w:cs="Tahoma"/>
          <w:b/>
          <w:color w:val="1F4D78"/>
        </w:rPr>
        <w:t>8. ملفات الأدلة الناتجة</w:t>
      </w:r>
    </w:p>
    <w:tbl>
      <w:tblPr>
        <w:tblStyle w:val="TableGrid"/>
        <w:tblW w:type="dxa" w:w="9360"/>
        <w:tblLayout w:type="fixed"/>
        <w:tblLook w:firstColumn="1" w:firstRow="1" w:lastColumn="0" w:lastRow="0" w:noHBand="0" w:noVBand="1" w:val="04A0"/>
        <w:jc w:val="center"/>
        <w:tblInd w:w="120" w:type="dxa"/>
      </w:tblPr>
      <w:tblGrid>
        <w:gridCol w:w="2200"/>
        <w:gridCol w:w="7160"/>
      </w:tblGrid>
      <w:tr>
        <w:tc>
          <w:tcPr>
            <w:tcW w:type="dxa" w:w="2200"/>
            <w:shd w:fill="E8EEF5"/>
            <w:vAlign w:val="center"/>
          </w:tcPr>
          <w:p>
            <w:pPr>
              <w:jc w:val="right"/>
              <w:bidi w:val="1"/>
            </w:pPr>
            <w:r>
              <w:rPr>
                <w:rFonts w:ascii="Tahoma" w:hAnsi="Tahoma" w:cs="Tahoma"/>
                <w:b/>
                <w:sz w:val="18"/>
              </w:rPr>
              <w:t>الفئة</w:t>
            </w:r>
          </w:p>
        </w:tc>
        <w:tc>
          <w:tcPr>
            <w:tcW w:type="dxa" w:w="7160"/>
            <w:shd w:fill="E8EEF5"/>
            <w:vAlign w:val="center"/>
          </w:tcPr>
          <w:p>
            <w:pPr>
              <w:jc w:val="right"/>
              <w:bidi w:val="1"/>
            </w:pPr>
            <w:r>
              <w:rPr>
                <w:rFonts w:ascii="Tahoma" w:hAnsi="Tahoma" w:cs="Tahoma"/>
                <w:b/>
                <w:sz w:val="18"/>
              </w:rPr>
              <w:t>الملفات الرئيسية</w:t>
            </w:r>
          </w:p>
        </w:tc>
      </w:tr>
      <w:tr>
        <w:tc>
          <w:tcPr>
            <w:tcW w:type="dxa" w:w="2200"/>
            <w:vAlign w:val="top"/>
          </w:tcPr>
          <w:p>
            <w:pPr>
              <w:jc w:val="right"/>
              <w:bidi w:val="1"/>
            </w:pPr>
            <w:r>
              <w:rPr>
                <w:rFonts w:ascii="Tahoma" w:hAnsi="Tahoma" w:cs="Tahoma"/>
                <w:sz w:val="17"/>
              </w:rPr>
              <w:t>وثائق الامتداد</w:t>
            </w:r>
          </w:p>
        </w:tc>
        <w:tc>
          <w:tcPr>
            <w:tcW w:type="dxa" w:w="7160"/>
            <w:vAlign w:val="top"/>
          </w:tcPr>
          <w:p>
            <w:pPr>
              <w:jc w:val="right"/>
              <w:bidi w:val="1"/>
            </w:pPr>
            <w:r>
              <w:rPr>
                <w:rFonts w:ascii="Tahoma" w:hAnsi="Tahoma" w:cs="Tahoma"/>
                <w:sz w:val="17"/>
              </w:rPr>
              <w:t>docs/memristor-based-hamming-encoder-research-extension.md; docs/memristor-implementation-results.md</w:t>
            </w:r>
          </w:p>
        </w:tc>
      </w:tr>
      <w:tr>
        <w:tc>
          <w:tcPr>
            <w:tcW w:type="dxa" w:w="2200"/>
            <w:vAlign w:val="top"/>
          </w:tcPr>
          <w:p>
            <w:pPr>
              <w:jc w:val="right"/>
              <w:bidi w:val="1"/>
            </w:pPr>
            <w:r>
              <w:rPr>
                <w:rFonts w:ascii="Tahoma" w:hAnsi="Tahoma" w:cs="Tahoma"/>
                <w:sz w:val="17"/>
              </w:rPr>
              <w:t>LTspice</w:t>
            </w:r>
          </w:p>
        </w:tc>
        <w:tc>
          <w:tcPr>
            <w:tcW w:type="dxa" w:w="7160"/>
            <w:vAlign w:val="top"/>
          </w:tcPr>
          <w:p>
            <w:pPr>
              <w:jc w:val="right"/>
              <w:bidi w:val="1"/>
            </w:pPr>
            <w:r>
              <w:rPr>
                <w:rFonts w:ascii="Tahoma" w:hAnsi="Tahoma" w:cs="Tahoma"/>
                <w:sz w:val="17"/>
              </w:rPr>
              <w:t>ltspice/memristor-hamming/EXP-MEM-XOR-PIM-*.cir; EXP-MEM-EH127-PIM-*.cir</w:t>
            </w:r>
          </w:p>
        </w:tc>
      </w:tr>
      <w:tr>
        <w:tc>
          <w:tcPr>
            <w:tcW w:type="dxa" w:w="2200"/>
            <w:vAlign w:val="top"/>
          </w:tcPr>
          <w:p>
            <w:pPr>
              <w:jc w:val="right"/>
              <w:bidi w:val="1"/>
            </w:pPr>
            <w:r>
              <w:rPr>
                <w:rFonts w:ascii="Tahoma" w:hAnsi="Tahoma" w:cs="Tahoma"/>
                <w:sz w:val="17"/>
              </w:rPr>
              <w:t>بيانات ونتائج</w:t>
            </w:r>
          </w:p>
        </w:tc>
        <w:tc>
          <w:tcPr>
            <w:tcW w:type="dxa" w:w="7160"/>
            <w:vAlign w:val="top"/>
          </w:tcPr>
          <w:p>
            <w:pPr>
              <w:jc w:val="right"/>
              <w:bidi w:val="1"/>
            </w:pPr>
            <w:r>
              <w:rPr>
                <w:rFonts w:ascii="Tahoma" w:hAnsi="Tahoma" w:cs="Tahoma"/>
                <w:sz w:val="17"/>
              </w:rPr>
              <w:t>data/processed/memristor_optimized_results.csv; results/memristor/optimized_monte_carlo_summary.json</w:t>
            </w:r>
          </w:p>
        </w:tc>
      </w:tr>
      <w:tr>
        <w:tc>
          <w:tcPr>
            <w:tcW w:type="dxa" w:w="2200"/>
            <w:vAlign w:val="top"/>
          </w:tcPr>
          <w:p>
            <w:pPr>
              <w:jc w:val="right"/>
              <w:bidi w:val="1"/>
            </w:pPr>
            <w:r>
              <w:rPr>
                <w:rFonts w:ascii="Tahoma" w:hAnsi="Tahoma" w:cs="Tahoma"/>
                <w:sz w:val="17"/>
              </w:rPr>
              <w:t>صفحات المشروع</w:t>
            </w:r>
          </w:p>
        </w:tc>
        <w:tc>
          <w:tcPr>
            <w:tcW w:type="dxa" w:w="7160"/>
            <w:vAlign w:val="top"/>
          </w:tcPr>
          <w:p>
            <w:pPr>
              <w:jc w:val="right"/>
              <w:bidi w:val="1"/>
            </w:pPr>
            <w:r>
              <w:rPr>
                <w:rFonts w:ascii="Tahoma" w:hAnsi="Tahoma" w:cs="Tahoma"/>
                <w:sz w:val="17"/>
              </w:rPr>
              <w:t>memristor-extension.html; research-effort.html</w:t>
            </w:r>
          </w:p>
        </w:tc>
      </w:tr>
      <w:tr>
        <w:tc>
          <w:tcPr>
            <w:tcW w:type="dxa" w:w="2200"/>
            <w:vAlign w:val="top"/>
          </w:tcPr>
          <w:p>
            <w:pPr>
              <w:jc w:val="right"/>
              <w:bidi w:val="1"/>
            </w:pPr>
            <w:r>
              <w:rPr>
                <w:rFonts w:ascii="Tahoma" w:hAnsi="Tahoma" w:cs="Tahoma"/>
                <w:sz w:val="17"/>
              </w:rPr>
              <w:t>هذا التقرير</w:t>
            </w:r>
          </w:p>
        </w:tc>
        <w:tc>
          <w:tcPr>
            <w:tcW w:type="dxa" w:w="7160"/>
            <w:vAlign w:val="top"/>
          </w:tcPr>
          <w:p>
            <w:pPr>
              <w:jc w:val="right"/>
              <w:bidi w:val="1"/>
            </w:pPr>
            <w:r>
              <w:rPr>
                <w:rFonts w:ascii="Tahoma" w:hAnsi="Tahoma" w:cs="Tahoma"/>
                <w:sz w:val="17"/>
              </w:rPr>
              <w:t>pdf/research/Memristor_PIM_Current_Development_Phase_Report.docx; .pdf</w:t>
            </w:r>
          </w:p>
        </w:tc>
      </w:tr>
    </w:tbl>
    <w:p>
      <w:pPr>
        <w:pStyle w:val="Heading1"/>
        <w:jc w:val="right"/>
        <w:bidi w:val="1"/>
      </w:pPr>
      <w:r>
        <w:rPr>
          <w:rFonts w:ascii="Tahoma" w:hAnsi="Tahoma" w:cs="Tahoma"/>
          <w:b/>
          <w:color w:val="1F4D78"/>
        </w:rPr>
        <w:t>9. الخلاصة المنهجية</w:t>
      </w:r>
    </w:p>
    <w:p>
      <w:pPr>
        <w:jc w:val="right"/>
        <w:bidi w:val="1"/>
      </w:pPr>
      <w:r>
        <w:rPr>
          <w:rFonts w:ascii="Tahoma" w:hAnsi="Tahoma" w:cs="Tahoma"/>
          <w:b w:val="0"/>
          <w:sz w:val="22"/>
        </w:rPr>
        <w:t>يوضح هذا الملحق أن مجهود الباحث لم يقتصر على إضافة فكرة نظرية، بل شمل بناء طبقة محاكاة، ملفات LTspice، بيانات معالجة، تحقق Monte Carlo، وتحديث صفحة مرجعية خاصة تربط مسار العمل بالأدلة. وبذلك أصبح الانتقال إلى Memristor-PIM امتدادًا بحثيًا موثقًا فوق خط أساس Hybrid-B، مع بقاء النتائج السابقة والنتائج المحافظة غير الملائمة جزءًا من سجل التقييم.</w:t>
      </w:r>
    </w:p>
    <w:p>
      <w:pPr>
        <w:jc w:val="right"/>
        <w:bidi w:val="1"/>
      </w:pPr>
      <w:r>
        <w:rPr>
          <w:rFonts w:ascii="Tahoma" w:hAnsi="Tahoma" w:cs="Tahoma"/>
          <w:b w:val="0"/>
          <w:sz w:val="22"/>
        </w:rPr>
        <w:t>القيمة العلمية الأساسية لهذه المرحلة هي تحويل الفكرة إلى فرضية قابلة للاختبار: إن كانت عملية parity يمكن تنفيذها داخل الذاكرة تحت نموذج ميمريستوري مضبوط، فقد تتحسن الطاقة والتأخير مقارنة بخط أساس خارج الذاكرة. أما اكتمال الدليل للنشر القوي فيتطلب معايرة جهازية أعمق وتوسيع زوايا التباين.</w:t>
      </w:r>
    </w:p>
    <w:p>
      <w:pPr>
        <w:sectPr>
          <w:footerReference w:type="default" r:id="rId9"/>
          <w:pgSz w:w="12240" w:h="15840"/>
          <w:pgMar w:top="1440" w:right="1440" w:bottom="1440" w:left="1440" w:header="706" w:footer="706" w:gutter="0"/>
          <w:cols w:space="720"/>
          <w:docGrid w:linePitch="360"/>
        </w:sectPr>
      </w:pPr>
    </w:p>
    <w:sectPr w:rsidR="00FC693F" w:rsidRPr="0006063C" w:rsidSect="00034616">
      <w:type w:val="continuous"/>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Memristor-PIM Current Development Phase Report - Extended Hamming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cs="Tahom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cs="Tahom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cs="Tahom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ahoma" w:hAnsi="Tahoma" w:cs="Tahom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