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638F" w14:textId="3336ECD7" w:rsidR="009A4772" w:rsidRDefault="00CD2C17" w:rsidP="00ED0BD0">
      <w:pPr>
        <w:pStyle w:val="Heading1"/>
        <w:jc w:val="left"/>
      </w:pPr>
      <w:proofErr w:type="spellStart"/>
      <w:r>
        <w:t>Dhanopinion</w:t>
      </w:r>
      <w:proofErr w:type="spellEnd"/>
      <w:r>
        <w:t xml:space="preserve"> </w:t>
      </w:r>
      <w:r w:rsidR="008C4356">
        <w:t>investment process</w:t>
      </w:r>
      <w:r w:rsidR="00BE4596">
        <w:t xml:space="preserve"> –</w:t>
      </w:r>
      <w:r w:rsidR="008C4356">
        <w:t xml:space="preserve"> </w:t>
      </w:r>
      <w:r w:rsidR="00BE4596">
        <w:t>in simple steps</w:t>
      </w:r>
    </w:p>
    <w:p w14:paraId="1C5AD717" w14:textId="77777777" w:rsidR="00CD2C17" w:rsidRDefault="00CD2C17" w:rsidP="00CD2C17">
      <w:pPr>
        <w:rPr>
          <w:lang w:val="en-IN"/>
        </w:rPr>
      </w:pPr>
    </w:p>
    <w:p w14:paraId="15FB4B92" w14:textId="77777777" w:rsidR="00CD2C17" w:rsidRPr="00CD2C17" w:rsidRDefault="00CD2C17" w:rsidP="00CD2C17">
      <w:pPr>
        <w:rPr>
          <w:lang w:val="en-IN"/>
        </w:rPr>
      </w:pPr>
      <w:r w:rsidRPr="00CD2C17">
        <w:rPr>
          <w:lang w:val="en-IN"/>
        </w:rPr>
        <w:t>Dear Investor,</w:t>
      </w:r>
    </w:p>
    <w:p w14:paraId="648EDC6E" w14:textId="194D5ADA" w:rsidR="00CD2C17" w:rsidRPr="00CD2C17" w:rsidRDefault="00CD2C17" w:rsidP="00CD2C17">
      <w:pPr>
        <w:rPr>
          <w:lang w:val="en-IN"/>
        </w:rPr>
      </w:pPr>
      <w:r w:rsidRPr="00CD2C17">
        <w:rPr>
          <w:lang w:val="en-IN"/>
        </w:rPr>
        <w:t xml:space="preserve">Thank you for your interest in </w:t>
      </w:r>
      <w:proofErr w:type="spellStart"/>
      <w:r w:rsidRPr="00061BA1">
        <w:rPr>
          <w:lang w:val="en-IN"/>
        </w:rPr>
        <w:t>Dhanopinion’s</w:t>
      </w:r>
      <w:proofErr w:type="spellEnd"/>
      <w:r w:rsidRPr="00061BA1">
        <w:rPr>
          <w:lang w:val="en-IN"/>
        </w:rPr>
        <w:t xml:space="preserve"> investment advisory service</w:t>
      </w:r>
      <w:r w:rsidRPr="00CD2C17">
        <w:rPr>
          <w:lang w:val="en-IN"/>
        </w:rPr>
        <w:t xml:space="preserve">. </w:t>
      </w:r>
      <w:r w:rsidR="00BE4596">
        <w:rPr>
          <w:lang w:val="en-IN"/>
        </w:rPr>
        <w:t xml:space="preserve">On this page you will find a set of steps that </w:t>
      </w:r>
      <w:proofErr w:type="spellStart"/>
      <w:r w:rsidR="00BE4596">
        <w:rPr>
          <w:lang w:val="en-IN"/>
        </w:rPr>
        <w:t>Dhanopinion</w:t>
      </w:r>
      <w:proofErr w:type="spellEnd"/>
      <w:r w:rsidR="00BE4596">
        <w:rPr>
          <w:lang w:val="en-IN"/>
        </w:rPr>
        <w:t xml:space="preserve"> recommends you go through in order to discover the most suitable investment avenues for yourself. </w:t>
      </w:r>
      <w:r w:rsidRPr="00CD2C17">
        <w:rPr>
          <w:lang w:val="en-IN"/>
        </w:rPr>
        <w:t>You can use this service in complete confidentiality—we do not collect personal details such as your name, phone number, or email address.</w:t>
      </w:r>
    </w:p>
    <w:p w14:paraId="57AB513C" w14:textId="08A40D44" w:rsidR="00CD2C17" w:rsidRPr="00CD2C17" w:rsidRDefault="00CD2C17" w:rsidP="00CD2C17">
      <w:pPr>
        <w:rPr>
          <w:lang w:val="en-IN"/>
        </w:rPr>
      </w:pPr>
      <w:r w:rsidRPr="00CD2C17">
        <w:rPr>
          <w:lang w:val="en-IN"/>
        </w:rPr>
        <w:t>At any stage, if you wish to discuss your situation with one of our advisors</w:t>
      </w:r>
      <w:r w:rsidR="00CE14BA">
        <w:rPr>
          <w:lang w:val="en-IN"/>
        </w:rPr>
        <w:t xml:space="preserve"> and receive specific, personalized advice</w:t>
      </w:r>
      <w:r w:rsidRPr="00CD2C17">
        <w:rPr>
          <w:lang w:val="en-IN"/>
        </w:rPr>
        <w:t xml:space="preserve">, please click the </w:t>
      </w:r>
      <w:r w:rsidRPr="00061BA1">
        <w:rPr>
          <w:lang w:val="en-IN"/>
        </w:rPr>
        <w:t>“Connect to Advisor”</w:t>
      </w:r>
      <w:r w:rsidRPr="00CD2C17">
        <w:rPr>
          <w:lang w:val="en-IN"/>
        </w:rPr>
        <w:t xml:space="preserve"> button. You’ll then be asked to share your contact details so our team can reach you.</w:t>
      </w:r>
      <w:r w:rsidR="00CE14BA">
        <w:rPr>
          <w:lang w:val="en-IN"/>
        </w:rPr>
        <w:t xml:space="preserve"> You can also write to us at contact@dhanopinion.com.</w:t>
      </w:r>
    </w:p>
    <w:p w14:paraId="62584C80" w14:textId="42DF4CAF" w:rsidR="00CD2C17" w:rsidRPr="00CD2C17" w:rsidRDefault="00CD2C17" w:rsidP="00CD2C17">
      <w:pPr>
        <w:rPr>
          <w:lang w:val="en-IN"/>
        </w:rPr>
      </w:pPr>
      <w:r w:rsidRPr="00CD2C17">
        <w:rPr>
          <w:lang w:val="en-IN"/>
        </w:rPr>
        <w:t xml:space="preserve">This service uses the </w:t>
      </w:r>
      <w:r w:rsidRPr="00061BA1">
        <w:rPr>
          <w:lang w:val="en-IN"/>
        </w:rPr>
        <w:t>new income tax regime</w:t>
      </w:r>
      <w:r w:rsidRPr="00CD2C17">
        <w:rPr>
          <w:lang w:val="en-IN"/>
        </w:rPr>
        <w:t xml:space="preserve"> for </w:t>
      </w:r>
      <w:r w:rsidR="00061BA1">
        <w:rPr>
          <w:lang w:val="en-IN"/>
        </w:rPr>
        <w:t>all decisions and illustrations</w:t>
      </w:r>
      <w:r w:rsidRPr="00CD2C17">
        <w:rPr>
          <w:lang w:val="en-IN"/>
        </w:rPr>
        <w:t xml:space="preserve">, as over 70% of returns </w:t>
      </w:r>
      <w:r w:rsidR="00CE14BA">
        <w:rPr>
          <w:lang w:val="en-IN"/>
        </w:rPr>
        <w:t xml:space="preserve">for FY 24-25 were </w:t>
      </w:r>
      <w:r w:rsidRPr="00CD2C17">
        <w:rPr>
          <w:lang w:val="en-IN"/>
        </w:rPr>
        <w:t>filed under it and adoption is expected to grow.</w:t>
      </w:r>
    </w:p>
    <w:p w14:paraId="2926A610" w14:textId="48403EF6" w:rsidR="00CE14BA" w:rsidRDefault="00CD2C17" w:rsidP="00CD2C17">
      <w:pPr>
        <w:rPr>
          <w:lang w:val="en-IN"/>
        </w:rPr>
      </w:pPr>
      <w:r w:rsidRPr="00CD2C17">
        <w:rPr>
          <w:lang w:val="en-IN"/>
        </w:rPr>
        <w:t>We hope this advisory service provides you with the key inputs you need to move forward in your investment journey.</w:t>
      </w:r>
      <w:r w:rsidR="00CE14BA">
        <w:rPr>
          <w:lang w:val="en-IN"/>
        </w:rPr>
        <w:t xml:space="preserve"> </w:t>
      </w:r>
      <w:r w:rsidRPr="00CD2C17">
        <w:rPr>
          <w:lang w:val="en-IN"/>
        </w:rPr>
        <w:t xml:space="preserve">Before proceeding, please read the </w:t>
      </w:r>
      <w:r w:rsidRPr="00061BA1">
        <w:rPr>
          <w:lang w:val="en-IN"/>
        </w:rPr>
        <w:t>Terms &amp; Conditions</w:t>
      </w:r>
      <w:r w:rsidRPr="00CD2C17">
        <w:rPr>
          <w:lang w:val="en-IN"/>
        </w:rPr>
        <w:t xml:space="preserve"> and </w:t>
      </w:r>
      <w:r w:rsidR="00CE14BA">
        <w:rPr>
          <w:lang w:val="en-IN"/>
        </w:rPr>
        <w:t>move forward only if you agree with them.</w:t>
      </w:r>
    </w:p>
    <w:p w14:paraId="47BE6957" w14:textId="0BC80AD7" w:rsidR="00BE4596" w:rsidRDefault="00BE4596" w:rsidP="00CD2C17">
      <w:pPr>
        <w:rPr>
          <w:lang w:val="en-IN"/>
        </w:rPr>
      </w:pPr>
      <w:r>
        <w:rPr>
          <w:lang w:val="en-IN"/>
        </w:rPr>
        <w:t>We wish you a successful investing journey!</w:t>
      </w:r>
    </w:p>
    <w:p w14:paraId="482BD039" w14:textId="77777777" w:rsidR="00CD2C17" w:rsidRPr="00CD2C17" w:rsidRDefault="00CD2C17" w:rsidP="00CD2C17">
      <w:pPr>
        <w:rPr>
          <w:lang w:val="en-IN"/>
        </w:rPr>
      </w:pPr>
      <w:r w:rsidRPr="00CD2C17">
        <w:rPr>
          <w:lang w:val="en-IN"/>
        </w:rPr>
        <w:t xml:space="preserve">— The </w:t>
      </w:r>
      <w:proofErr w:type="spellStart"/>
      <w:r w:rsidRPr="00CD2C17">
        <w:rPr>
          <w:lang w:val="en-IN"/>
        </w:rPr>
        <w:t>Dhanopinion</w:t>
      </w:r>
      <w:proofErr w:type="spellEnd"/>
      <w:r w:rsidRPr="00CD2C17">
        <w:rPr>
          <w:lang w:val="en-IN"/>
        </w:rPr>
        <w:t xml:space="preserve"> Team</w:t>
      </w:r>
    </w:p>
    <w:p w14:paraId="53E00242" w14:textId="77777777" w:rsidR="00CD2C17" w:rsidRPr="00CD2C17" w:rsidRDefault="00000000" w:rsidP="00CD2C17">
      <w:pPr>
        <w:rPr>
          <w:lang w:val="en-IN"/>
        </w:rPr>
      </w:pPr>
      <w:r>
        <w:rPr>
          <w:lang w:val="en-IN"/>
        </w:rPr>
        <w:pict w14:anchorId="7B1BD382">
          <v:rect id="_x0000_i1025" style="width:0;height:1.5pt" o:hralign="center" o:hrstd="t" o:hr="t" fillcolor="#a0a0a0" stroked="f"/>
        </w:pict>
      </w:r>
    </w:p>
    <w:p w14:paraId="53C378DD" w14:textId="77777777" w:rsidR="00CD2C17" w:rsidRPr="00CD2C17" w:rsidRDefault="00CD2C17" w:rsidP="00B57736">
      <w:pPr>
        <w:pStyle w:val="Heading2"/>
        <w:rPr>
          <w:lang w:val="en-IN"/>
        </w:rPr>
      </w:pPr>
      <w:r w:rsidRPr="00CD2C17">
        <w:rPr>
          <w:lang w:val="en-IN"/>
        </w:rPr>
        <w:t>Step 1 – Debt Check</w:t>
      </w:r>
    </w:p>
    <w:p w14:paraId="0D009CCA" w14:textId="22F808C5" w:rsidR="00CD2C17" w:rsidRPr="00CD2C17" w:rsidRDefault="00CD2C17" w:rsidP="00CD2C17">
      <w:pPr>
        <w:rPr>
          <w:lang w:val="en-IN"/>
        </w:rPr>
      </w:pPr>
      <w:r w:rsidRPr="00CD2C17">
        <w:rPr>
          <w:lang w:val="en-IN"/>
        </w:rPr>
        <w:t>Before investing, it is important to evaluate your debt</w:t>
      </w:r>
      <w:r w:rsidR="009A48FB">
        <w:rPr>
          <w:lang w:val="en-IN"/>
        </w:rPr>
        <w:t xml:space="preserve"> situation</w:t>
      </w:r>
      <w:r w:rsidRPr="00CD2C17">
        <w:rPr>
          <w:lang w:val="en-IN"/>
        </w:rPr>
        <w:t>. Paying high interest on debt while expecting lower returns from investments is counterproductive.</w:t>
      </w:r>
    </w:p>
    <w:p w14:paraId="7F89FEA4" w14:textId="15CB3713" w:rsidR="00CD2C17" w:rsidRPr="00CD2C17" w:rsidRDefault="00CD2C17" w:rsidP="00CD2C17">
      <w:pPr>
        <w:rPr>
          <w:lang w:val="en-IN"/>
        </w:rPr>
      </w:pPr>
      <w:r w:rsidRPr="005B5513">
        <w:rPr>
          <w:lang w:val="en-IN"/>
        </w:rPr>
        <w:t xml:space="preserve">Do you currently have debt </w:t>
      </w:r>
      <w:r w:rsidR="009A48FB" w:rsidRPr="005B5513">
        <w:rPr>
          <w:lang w:val="en-IN"/>
        </w:rPr>
        <w:t xml:space="preserve">which has a cost of </w:t>
      </w:r>
      <w:r w:rsidRPr="005B5513">
        <w:rPr>
          <w:lang w:val="en-IN"/>
        </w:rPr>
        <w:t>10% p.a. interest</w:t>
      </w:r>
      <w:r w:rsidR="009A48FB" w:rsidRPr="005B5513">
        <w:rPr>
          <w:lang w:val="en-IN"/>
        </w:rPr>
        <w:t xml:space="preserve"> or higher</w:t>
      </w:r>
      <w:r w:rsidRPr="005B5513">
        <w:rPr>
          <w:lang w:val="en-IN"/>
        </w:rPr>
        <w:t>?</w:t>
      </w:r>
    </w:p>
    <w:p w14:paraId="4BCE404F" w14:textId="300C9F82" w:rsidR="0056381A" w:rsidRPr="005B5513" w:rsidRDefault="00CD2C17" w:rsidP="0056381A">
      <w:pPr>
        <w:rPr>
          <w:lang w:val="en-IN"/>
        </w:rPr>
      </w:pPr>
      <w:r w:rsidRPr="00CD2C17">
        <w:rPr>
          <w:lang w:val="en-IN"/>
        </w:rPr>
        <w:t xml:space="preserve">If </w:t>
      </w:r>
      <w:proofErr w:type="gramStart"/>
      <w:r w:rsidRPr="00CD2C17">
        <w:rPr>
          <w:lang w:val="en-IN"/>
        </w:rPr>
        <w:t>Yes</w:t>
      </w:r>
      <w:proofErr w:type="gramEnd"/>
      <w:r w:rsidR="0056381A">
        <w:rPr>
          <w:lang w:val="en-IN"/>
        </w:rPr>
        <w:t xml:space="preserve">, </w:t>
      </w:r>
      <w:r w:rsidR="0056381A" w:rsidRPr="005B5513">
        <w:rPr>
          <w:lang w:val="en-IN"/>
        </w:rPr>
        <w:t>paying down debt may be better than investing a</w:t>
      </w:r>
      <w:r w:rsidRPr="005B5513">
        <w:rPr>
          <w:lang w:val="en-IN"/>
        </w:rPr>
        <w:t>s investment returns are unlikely to exceed 10% p.a. sustainably</w:t>
      </w:r>
      <w:r w:rsidR="009A48FB" w:rsidRPr="005B5513">
        <w:rPr>
          <w:lang w:val="en-IN"/>
        </w:rPr>
        <w:t>.</w:t>
      </w:r>
    </w:p>
    <w:p w14:paraId="2D9FBE29" w14:textId="5B0BF178" w:rsidR="0056381A" w:rsidRPr="005B5513" w:rsidRDefault="0056381A" w:rsidP="0056381A">
      <w:pPr>
        <w:rPr>
          <w:lang w:val="en-IN"/>
        </w:rPr>
      </w:pPr>
      <w:r w:rsidRPr="005B5513">
        <w:rPr>
          <w:lang w:val="en-IN"/>
        </w:rPr>
        <w:t xml:space="preserve">If </w:t>
      </w:r>
      <w:proofErr w:type="gramStart"/>
      <w:r w:rsidRPr="005B5513">
        <w:rPr>
          <w:lang w:val="en-IN"/>
        </w:rPr>
        <w:t>No</w:t>
      </w:r>
      <w:proofErr w:type="gramEnd"/>
      <w:r w:rsidRPr="005B5513">
        <w:rPr>
          <w:lang w:val="en-IN"/>
        </w:rPr>
        <w:t>, you can move to the next step</w:t>
      </w:r>
      <w:r w:rsidR="009A48FB" w:rsidRPr="005B5513">
        <w:rPr>
          <w:lang w:val="en-IN"/>
        </w:rPr>
        <w:t xml:space="preserve"> and </w:t>
      </w:r>
      <w:r w:rsidR="00B353A1" w:rsidRPr="005B5513">
        <w:rPr>
          <w:lang w:val="en-IN"/>
        </w:rPr>
        <w:t>initiate the investing journey</w:t>
      </w:r>
      <w:r w:rsidRPr="005B5513">
        <w:rPr>
          <w:lang w:val="en-IN"/>
        </w:rPr>
        <w:t>.</w:t>
      </w:r>
    </w:p>
    <w:p w14:paraId="51A413E8" w14:textId="47000F92" w:rsidR="0056381A" w:rsidRPr="005B5513" w:rsidRDefault="0056381A" w:rsidP="0056381A">
      <w:pPr>
        <w:rPr>
          <w:lang w:val="en-IN"/>
        </w:rPr>
      </w:pPr>
      <w:r w:rsidRPr="005B5513">
        <w:rPr>
          <w:lang w:val="en-IN"/>
        </w:rPr>
        <w:t>At the same time, you should bear in mind that the 10% indicative threshold is for growth-ori</w:t>
      </w:r>
      <w:r w:rsidR="009A48FB" w:rsidRPr="005B5513">
        <w:rPr>
          <w:lang w:val="en-IN"/>
        </w:rPr>
        <w:t>ented</w:t>
      </w:r>
      <w:r w:rsidRPr="005B5513">
        <w:rPr>
          <w:lang w:val="en-IN"/>
        </w:rPr>
        <w:t xml:space="preserve"> investments such as equity. If your primary investment target is debt investments, then you should use 7% as the benchmark instead of 10%, to determine if you should pare down debt or invest.</w:t>
      </w:r>
    </w:p>
    <w:p w14:paraId="1DD668DF" w14:textId="77777777" w:rsidR="00467E35" w:rsidRDefault="0056381A" w:rsidP="0056381A">
      <w:pPr>
        <w:rPr>
          <w:lang w:val="en-IN"/>
        </w:rPr>
      </w:pPr>
      <w:r w:rsidRPr="005B5513">
        <w:rPr>
          <w:lang w:val="en-IN"/>
        </w:rPr>
        <w:t>Note</w:t>
      </w:r>
      <w:r w:rsidR="00467E35">
        <w:rPr>
          <w:lang w:val="en-IN"/>
        </w:rPr>
        <w:t>s</w:t>
      </w:r>
      <w:r w:rsidRPr="005B5513">
        <w:rPr>
          <w:lang w:val="en-IN"/>
        </w:rPr>
        <w:t xml:space="preserve">: </w:t>
      </w:r>
    </w:p>
    <w:p w14:paraId="083DD51A" w14:textId="27E026CD" w:rsidR="0056381A" w:rsidRPr="00467E35" w:rsidRDefault="0056381A" w:rsidP="00467E35">
      <w:pPr>
        <w:pStyle w:val="ListParagraph"/>
        <w:numPr>
          <w:ilvl w:val="0"/>
          <w:numId w:val="15"/>
        </w:numPr>
        <w:rPr>
          <w:lang w:val="en-IN"/>
        </w:rPr>
      </w:pPr>
      <w:r w:rsidRPr="00467E35">
        <w:rPr>
          <w:lang w:val="en-IN"/>
        </w:rPr>
        <w:t xml:space="preserve">Please ensure that tax implications are factored in. In case of some debt servicing payments, financial benefits such as </w:t>
      </w:r>
      <w:r w:rsidR="00061BA1">
        <w:rPr>
          <w:lang w:val="en-IN"/>
        </w:rPr>
        <w:t>setoffs</w:t>
      </w:r>
      <w:r w:rsidRPr="00467E35">
        <w:rPr>
          <w:lang w:val="en-IN"/>
        </w:rPr>
        <w:t xml:space="preserve"> against income may be available</w:t>
      </w:r>
      <w:r w:rsidR="009A48FB" w:rsidRPr="00467E35">
        <w:rPr>
          <w:lang w:val="en-IN"/>
        </w:rPr>
        <w:t>, lowering your tax liability</w:t>
      </w:r>
      <w:r w:rsidRPr="00467E35">
        <w:rPr>
          <w:lang w:val="en-IN"/>
        </w:rPr>
        <w:t>.</w:t>
      </w:r>
    </w:p>
    <w:p w14:paraId="28075F61" w14:textId="19209730" w:rsidR="00467E35" w:rsidRPr="00467E35" w:rsidRDefault="00467E35" w:rsidP="00467E35">
      <w:pPr>
        <w:pStyle w:val="ListParagraph"/>
        <w:numPr>
          <w:ilvl w:val="0"/>
          <w:numId w:val="15"/>
        </w:numPr>
        <w:rPr>
          <w:lang w:val="en-IN"/>
        </w:rPr>
      </w:pPr>
      <w:r w:rsidRPr="00467E35">
        <w:rPr>
          <w:lang w:val="en-IN"/>
        </w:rPr>
        <w:t xml:space="preserve">The 10% and 7% numbers used are indicative and relevant to the economic environment in Q2 of 2026. If the economic environment changes, </w:t>
      </w:r>
      <w:proofErr w:type="spellStart"/>
      <w:r w:rsidRPr="00467E35">
        <w:rPr>
          <w:lang w:val="en-IN"/>
        </w:rPr>
        <w:t>eg.</w:t>
      </w:r>
      <w:proofErr w:type="spellEnd"/>
      <w:r w:rsidRPr="00467E35">
        <w:rPr>
          <w:lang w:val="en-IN"/>
        </w:rPr>
        <w:t xml:space="preserve"> inflation rises, increasing the cost of money, the</w:t>
      </w:r>
      <w:r w:rsidR="00061BA1">
        <w:rPr>
          <w:lang w:val="en-IN"/>
        </w:rPr>
        <w:t xml:space="preserve"> indicative rates used should </w:t>
      </w:r>
      <w:r w:rsidRPr="00467E35">
        <w:rPr>
          <w:lang w:val="en-IN"/>
        </w:rPr>
        <w:t>change as well.</w:t>
      </w:r>
    </w:p>
    <w:p w14:paraId="2B1FAC7E" w14:textId="77777777" w:rsidR="00CD2C17" w:rsidRPr="00CD2C17" w:rsidRDefault="00000000" w:rsidP="00CD2C17">
      <w:pPr>
        <w:rPr>
          <w:lang w:val="en-IN"/>
        </w:rPr>
      </w:pPr>
      <w:r>
        <w:rPr>
          <w:lang w:val="en-IN"/>
        </w:rPr>
        <w:pict w14:anchorId="758E0F65">
          <v:rect id="_x0000_i1026" style="width:0;height:1.5pt" o:hralign="center" o:hrstd="t" o:hr="t" fillcolor="#a0a0a0" stroked="f"/>
        </w:pict>
      </w:r>
    </w:p>
    <w:p w14:paraId="79292FE4" w14:textId="3C76F7A1" w:rsidR="00CD2C17" w:rsidRPr="00CD2C17" w:rsidRDefault="00CD2C17" w:rsidP="00B57736">
      <w:pPr>
        <w:pStyle w:val="Heading2"/>
        <w:rPr>
          <w:lang w:val="en-IN"/>
        </w:rPr>
      </w:pPr>
      <w:r w:rsidRPr="00CD2C17">
        <w:rPr>
          <w:lang w:val="en-IN"/>
        </w:rPr>
        <w:lastRenderedPageBreak/>
        <w:t xml:space="preserve">Step 2 – Allocation </w:t>
      </w:r>
      <w:r w:rsidR="009A48FB">
        <w:rPr>
          <w:lang w:val="en-IN"/>
        </w:rPr>
        <w:t>between</w:t>
      </w:r>
      <w:r w:rsidRPr="00CD2C17">
        <w:rPr>
          <w:lang w:val="en-IN"/>
        </w:rPr>
        <w:t xml:space="preserve"> Equity</w:t>
      </w:r>
      <w:r w:rsidR="009A48FB">
        <w:rPr>
          <w:lang w:val="en-IN"/>
        </w:rPr>
        <w:t xml:space="preserve"> and Debt</w:t>
      </w:r>
    </w:p>
    <w:p w14:paraId="2D17C289" w14:textId="033F3408" w:rsidR="0056381A" w:rsidRDefault="009A48FB" w:rsidP="00CD2C17">
      <w:pPr>
        <w:rPr>
          <w:lang w:val="en-IN"/>
        </w:rPr>
      </w:pPr>
      <w:r>
        <w:rPr>
          <w:lang w:val="en-IN"/>
        </w:rPr>
        <w:t>OK! You have cleared the first hurdle of the debt check and decided that you are ready to invest.</w:t>
      </w:r>
    </w:p>
    <w:p w14:paraId="738BE5DA" w14:textId="43B1B0D5" w:rsidR="00061BA1" w:rsidRDefault="00CD2C17" w:rsidP="00CD2C17">
      <w:pPr>
        <w:rPr>
          <w:lang w:val="en-IN"/>
        </w:rPr>
      </w:pPr>
      <w:r w:rsidRPr="00CD2C17">
        <w:rPr>
          <w:lang w:val="en-IN"/>
        </w:rPr>
        <w:t xml:space="preserve">Your portfolio should balance </w:t>
      </w:r>
      <w:r w:rsidRPr="005B5513">
        <w:rPr>
          <w:lang w:val="en-IN"/>
        </w:rPr>
        <w:t>equity (stocks, mutual funds)</w:t>
      </w:r>
      <w:r w:rsidRPr="00CD2C17">
        <w:rPr>
          <w:lang w:val="en-IN"/>
        </w:rPr>
        <w:t xml:space="preserve"> and </w:t>
      </w:r>
      <w:r w:rsidRPr="005B5513">
        <w:rPr>
          <w:lang w:val="en-IN"/>
        </w:rPr>
        <w:t>debt (bonds, fixed income, government schemes)</w:t>
      </w:r>
      <w:r w:rsidRPr="00CD2C17">
        <w:rPr>
          <w:lang w:val="en-IN"/>
        </w:rPr>
        <w:t>.</w:t>
      </w:r>
      <w:r w:rsidR="00061BA1">
        <w:rPr>
          <w:lang w:val="en-IN"/>
        </w:rPr>
        <w:t xml:space="preserve"> But how much to invest in debt and how much in equity is a personal choice. This decision is known as the allocation decision which is what you need to make at this stage.</w:t>
      </w:r>
    </w:p>
    <w:p w14:paraId="30C0B61B" w14:textId="60889A14" w:rsidR="00B353A1" w:rsidRDefault="00B353A1" w:rsidP="00CD2C17">
      <w:pPr>
        <w:rPr>
          <w:lang w:val="en-IN"/>
        </w:rPr>
      </w:pPr>
      <w:r>
        <w:rPr>
          <w:lang w:val="en-IN"/>
        </w:rPr>
        <w:t xml:space="preserve">This </w:t>
      </w:r>
      <w:r w:rsidR="004A30D6">
        <w:rPr>
          <w:lang w:val="en-IN"/>
        </w:rPr>
        <w:t>allocation, or division, is also referred to as the growth vs. income decision. How much money are you willing to squirrel away into growth investments that will, hopefully, deliver superior returns over an extended period of time, and how much will you invest in income-generating investments that deliver predictable, if lower, returns</w:t>
      </w:r>
      <w:r w:rsidR="00061BA1">
        <w:rPr>
          <w:lang w:val="en-IN"/>
        </w:rPr>
        <w:t>, on a regular basis</w:t>
      </w:r>
      <w:r w:rsidR="004A30D6">
        <w:rPr>
          <w:lang w:val="en-IN"/>
        </w:rPr>
        <w:t>?</w:t>
      </w:r>
    </w:p>
    <w:p w14:paraId="3159F3BD" w14:textId="0B8753F1" w:rsidR="004A30D6" w:rsidRDefault="004A30D6" w:rsidP="00CD2C17">
      <w:pPr>
        <w:rPr>
          <w:lang w:val="en-IN"/>
        </w:rPr>
      </w:pPr>
      <w:r>
        <w:rPr>
          <w:lang w:val="en-IN"/>
        </w:rPr>
        <w:t>While the exact numbers might vary, most experts agree that the two variables that should influence the decision are the investor’s age and risk tolerance:</w:t>
      </w:r>
    </w:p>
    <w:p w14:paraId="231E93DF" w14:textId="3319ECE2" w:rsidR="004A30D6" w:rsidRPr="005B5513" w:rsidRDefault="004A30D6" w:rsidP="005B5513">
      <w:pPr>
        <w:pStyle w:val="ListParagraph"/>
        <w:numPr>
          <w:ilvl w:val="0"/>
          <w:numId w:val="14"/>
        </w:numPr>
        <w:rPr>
          <w:lang w:val="en-IN"/>
        </w:rPr>
      </w:pPr>
      <w:r w:rsidRPr="005B5513">
        <w:rPr>
          <w:lang w:val="en-IN"/>
        </w:rPr>
        <w:t>The lower the age of the investor, the higher the allocation to equity</w:t>
      </w:r>
    </w:p>
    <w:p w14:paraId="3C6BE9F4" w14:textId="45C66E82" w:rsidR="004A30D6" w:rsidRPr="005B5513" w:rsidRDefault="004A30D6" w:rsidP="005B5513">
      <w:pPr>
        <w:pStyle w:val="ListParagraph"/>
        <w:numPr>
          <w:ilvl w:val="0"/>
          <w:numId w:val="14"/>
        </w:numPr>
        <w:rPr>
          <w:lang w:val="en-IN"/>
        </w:rPr>
      </w:pPr>
      <w:r w:rsidRPr="005B5513">
        <w:rPr>
          <w:lang w:val="en-IN"/>
        </w:rPr>
        <w:t>The lower the risk tolerance of the investor, the lower the allocation to equity.</w:t>
      </w:r>
    </w:p>
    <w:p w14:paraId="41467A34" w14:textId="72436752" w:rsidR="00A24432" w:rsidRDefault="004A30D6" w:rsidP="00CD2C17">
      <w:pPr>
        <w:rPr>
          <w:lang w:val="en-IN"/>
        </w:rPr>
      </w:pPr>
      <w:r>
        <w:rPr>
          <w:lang w:val="en-IN"/>
        </w:rPr>
        <w:t xml:space="preserve">Allocation numbers are not cast in stone. They should anyway be adjusted periodically </w:t>
      </w:r>
      <w:r w:rsidR="00A24432">
        <w:rPr>
          <w:lang w:val="en-IN"/>
        </w:rPr>
        <w:t>for changing age and risk tolerance levels. They can also</w:t>
      </w:r>
      <w:r>
        <w:rPr>
          <w:lang w:val="en-IN"/>
        </w:rPr>
        <w:t xml:space="preserve"> </w:t>
      </w:r>
      <w:r w:rsidR="00A24432">
        <w:rPr>
          <w:lang w:val="en-IN"/>
        </w:rPr>
        <w:t xml:space="preserve">be </w:t>
      </w:r>
      <w:r>
        <w:rPr>
          <w:lang w:val="en-IN"/>
        </w:rPr>
        <w:t xml:space="preserve">adjusted </w:t>
      </w:r>
      <w:r w:rsidR="00A24432">
        <w:rPr>
          <w:lang w:val="en-IN"/>
        </w:rPr>
        <w:t>for any other factor the investor wishes to take into account.</w:t>
      </w:r>
    </w:p>
    <w:p w14:paraId="360A6D30" w14:textId="5456CCCF" w:rsidR="004A30D6" w:rsidRDefault="00A24432" w:rsidP="00CD2C17">
      <w:pPr>
        <w:rPr>
          <w:lang w:val="en-IN"/>
        </w:rPr>
      </w:pPr>
      <w:r>
        <w:rPr>
          <w:lang w:val="en-IN"/>
        </w:rPr>
        <w:t xml:space="preserve">For allocation strategies, read our article on </w:t>
      </w:r>
      <w:r w:rsidRPr="005B5513">
        <w:rPr>
          <w:lang w:val="en-IN"/>
        </w:rPr>
        <w:t>Allocation.</w:t>
      </w:r>
    </w:p>
    <w:p w14:paraId="6E2C814A" w14:textId="77777777" w:rsidR="00CD2C17" w:rsidRPr="00CD2C17" w:rsidRDefault="00000000" w:rsidP="00CD2C17">
      <w:pPr>
        <w:rPr>
          <w:lang w:val="en-IN"/>
        </w:rPr>
      </w:pPr>
      <w:r>
        <w:rPr>
          <w:lang w:val="en-IN"/>
        </w:rPr>
        <w:pict w14:anchorId="65F1888E">
          <v:rect id="_x0000_i1027" style="width:0;height:1.5pt" o:hralign="center" o:hrstd="t" o:hr="t" fillcolor="#a0a0a0" stroked="f"/>
        </w:pict>
      </w:r>
    </w:p>
    <w:p w14:paraId="4FBC0EC5" w14:textId="484F0340" w:rsidR="007769BD" w:rsidRPr="00CD2C17" w:rsidRDefault="007769BD" w:rsidP="00B57736">
      <w:pPr>
        <w:pStyle w:val="Heading2"/>
        <w:rPr>
          <w:lang w:val="en-IN"/>
        </w:rPr>
      </w:pPr>
      <w:r w:rsidRPr="00CD2C17">
        <w:rPr>
          <w:lang w:val="en-IN"/>
        </w:rPr>
        <w:t xml:space="preserve">Step </w:t>
      </w:r>
      <w:r w:rsidR="008B199A">
        <w:rPr>
          <w:lang w:val="en-IN"/>
        </w:rPr>
        <w:t>3</w:t>
      </w:r>
      <w:r w:rsidRPr="00CD2C17">
        <w:rPr>
          <w:lang w:val="en-IN"/>
        </w:rPr>
        <w:t xml:space="preserve"> – </w:t>
      </w:r>
      <w:r w:rsidR="008B199A">
        <w:rPr>
          <w:lang w:val="en-IN"/>
        </w:rPr>
        <w:t>Emergency Funds</w:t>
      </w:r>
    </w:p>
    <w:p w14:paraId="553220F6" w14:textId="0A1DCEBF" w:rsidR="003F38ED" w:rsidRPr="003F38ED" w:rsidRDefault="003F38ED" w:rsidP="007769BD">
      <w:pPr>
        <w:rPr>
          <w:lang w:val="en-IN"/>
        </w:rPr>
      </w:pPr>
      <w:r w:rsidRPr="003F38ED">
        <w:rPr>
          <w:lang w:val="en-IN"/>
        </w:rPr>
        <w:t>An unplanned pulling out from an investment can cause severe damage to the portfolio in several ways:</w:t>
      </w:r>
    </w:p>
    <w:p w14:paraId="42437C27" w14:textId="339129BA" w:rsidR="003F38ED" w:rsidRPr="003F38ED" w:rsidRDefault="003F38ED" w:rsidP="003F38ED">
      <w:pPr>
        <w:pStyle w:val="ListParagraph"/>
        <w:numPr>
          <w:ilvl w:val="0"/>
          <w:numId w:val="13"/>
        </w:numPr>
        <w:rPr>
          <w:lang w:val="en-IN"/>
        </w:rPr>
      </w:pPr>
      <w:r w:rsidRPr="003F38ED">
        <w:rPr>
          <w:lang w:val="en-IN"/>
        </w:rPr>
        <w:t>Liquidating equity investments in a downward spiral can impair the returns and limit the potential to bounce back during an upswing.</w:t>
      </w:r>
    </w:p>
    <w:p w14:paraId="68AF8834" w14:textId="643F5149" w:rsidR="003F38ED" w:rsidRPr="003F38ED" w:rsidRDefault="003F38ED" w:rsidP="003F38ED">
      <w:pPr>
        <w:pStyle w:val="ListParagraph"/>
        <w:numPr>
          <w:ilvl w:val="0"/>
          <w:numId w:val="13"/>
        </w:numPr>
        <w:rPr>
          <w:lang w:val="en-IN"/>
        </w:rPr>
      </w:pPr>
      <w:r w:rsidRPr="003F38ED">
        <w:rPr>
          <w:lang w:val="en-IN"/>
        </w:rPr>
        <w:t>Liquidating debt investments can invite penalties and lower than assured returns.</w:t>
      </w:r>
    </w:p>
    <w:p w14:paraId="4580D53F" w14:textId="77777777" w:rsidR="003F38ED" w:rsidRDefault="003F38ED" w:rsidP="007769BD">
      <w:pPr>
        <w:rPr>
          <w:lang w:val="en-IN"/>
        </w:rPr>
      </w:pPr>
      <w:r>
        <w:rPr>
          <w:lang w:val="en-IN"/>
        </w:rPr>
        <w:t>Hence, it is recommended that a part of the investment intended for debt instruments be invested for such emergencies in suitable instruments. These typically include:</w:t>
      </w:r>
    </w:p>
    <w:p w14:paraId="5B219631" w14:textId="793C056E" w:rsidR="003F38ED" w:rsidRPr="00061BA1" w:rsidRDefault="003F38ED" w:rsidP="00061BA1">
      <w:pPr>
        <w:pStyle w:val="ListParagraph"/>
        <w:numPr>
          <w:ilvl w:val="0"/>
          <w:numId w:val="18"/>
        </w:numPr>
        <w:rPr>
          <w:lang w:val="en-IN"/>
        </w:rPr>
      </w:pPr>
      <w:r w:rsidRPr="00061BA1">
        <w:rPr>
          <w:lang w:val="en-IN"/>
        </w:rPr>
        <w:t>Bank Fixed Deposits – Can be liquidated immediately. Many banks also offer the service of liquidating an FD automatically to cover shortfalls in a linked Savings account.</w:t>
      </w:r>
    </w:p>
    <w:p w14:paraId="10277440" w14:textId="58F07C54" w:rsidR="003F38ED" w:rsidRPr="00061BA1" w:rsidRDefault="003F38ED" w:rsidP="00061BA1">
      <w:pPr>
        <w:pStyle w:val="ListParagraph"/>
        <w:numPr>
          <w:ilvl w:val="0"/>
          <w:numId w:val="18"/>
        </w:numPr>
        <w:rPr>
          <w:lang w:val="en-IN"/>
        </w:rPr>
      </w:pPr>
      <w:r w:rsidRPr="00061BA1">
        <w:rPr>
          <w:lang w:val="en-IN"/>
        </w:rPr>
        <w:t>Liquid or Overnight Mutual Funds – These can be liquidated within 24 hours and serve the ‘urgent but not immediate’ category of requirement.</w:t>
      </w:r>
      <w:r w:rsidR="00FE4D73" w:rsidRPr="00061BA1">
        <w:rPr>
          <w:lang w:val="en-IN"/>
        </w:rPr>
        <w:t xml:space="preserve"> </w:t>
      </w:r>
    </w:p>
    <w:p w14:paraId="12EDF6C8" w14:textId="39AD8B5A" w:rsidR="007769BD" w:rsidRPr="00CD2C17" w:rsidRDefault="00FE4D73" w:rsidP="007769BD">
      <w:pPr>
        <w:rPr>
          <w:lang w:val="en-IN"/>
        </w:rPr>
      </w:pPr>
      <w:r>
        <w:rPr>
          <w:lang w:val="en-IN"/>
        </w:rPr>
        <w:t xml:space="preserve">Choose from the largest in the category to get the benefit of cost efficiency. </w:t>
      </w:r>
      <w:r w:rsidR="007769BD" w:rsidRPr="00CD2C17">
        <w:rPr>
          <w:lang w:val="en-IN"/>
        </w:rPr>
        <w:t>Example (as of June 2025, Liquid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1558"/>
        <w:gridCol w:w="2282"/>
      </w:tblGrid>
      <w:tr w:rsidR="007769BD" w:rsidRPr="00CD2C17" w14:paraId="6DBF4A77" w14:textId="77777777" w:rsidTr="00AF57D9">
        <w:trPr>
          <w:tblHeader/>
          <w:tblCellSpacing w:w="15" w:type="dxa"/>
        </w:trPr>
        <w:tc>
          <w:tcPr>
            <w:tcW w:w="0" w:type="auto"/>
            <w:vAlign w:val="center"/>
            <w:hideMark/>
          </w:tcPr>
          <w:p w14:paraId="4E211A77" w14:textId="77777777" w:rsidR="007769BD" w:rsidRPr="00CD2C17" w:rsidRDefault="007769BD" w:rsidP="00AF57D9">
            <w:pPr>
              <w:rPr>
                <w:b/>
                <w:bCs/>
                <w:lang w:val="en-IN"/>
              </w:rPr>
            </w:pPr>
            <w:r w:rsidRPr="00CD2C17">
              <w:rPr>
                <w:b/>
                <w:bCs/>
                <w:lang w:val="en-IN"/>
              </w:rPr>
              <w:t>Fund</w:t>
            </w:r>
          </w:p>
        </w:tc>
        <w:tc>
          <w:tcPr>
            <w:tcW w:w="0" w:type="auto"/>
            <w:vAlign w:val="center"/>
            <w:hideMark/>
          </w:tcPr>
          <w:p w14:paraId="67012FD4" w14:textId="77777777" w:rsidR="007769BD" w:rsidRPr="00CD2C17" w:rsidRDefault="007769BD" w:rsidP="00AF57D9">
            <w:pPr>
              <w:rPr>
                <w:b/>
                <w:bCs/>
                <w:lang w:val="en-IN"/>
              </w:rPr>
            </w:pPr>
            <w:r w:rsidRPr="00CD2C17">
              <w:rPr>
                <w:b/>
                <w:bCs/>
                <w:lang w:val="en-IN"/>
              </w:rPr>
              <w:t xml:space="preserve">Corpus (INR </w:t>
            </w:r>
            <w:proofErr w:type="spellStart"/>
            <w:r w:rsidRPr="00CD2C17">
              <w:rPr>
                <w:b/>
                <w:bCs/>
                <w:lang w:val="en-IN"/>
              </w:rPr>
              <w:t>mn</w:t>
            </w:r>
            <w:proofErr w:type="spellEnd"/>
            <w:r w:rsidRPr="00CD2C17">
              <w:rPr>
                <w:b/>
                <w:bCs/>
                <w:lang w:val="en-IN"/>
              </w:rPr>
              <w:t>)</w:t>
            </w:r>
          </w:p>
        </w:tc>
        <w:tc>
          <w:tcPr>
            <w:tcW w:w="0" w:type="auto"/>
            <w:vAlign w:val="center"/>
            <w:hideMark/>
          </w:tcPr>
          <w:p w14:paraId="3394C7BC" w14:textId="77777777" w:rsidR="007769BD" w:rsidRPr="00CD2C17" w:rsidRDefault="007769BD" w:rsidP="00AF57D9">
            <w:pPr>
              <w:rPr>
                <w:b/>
                <w:bCs/>
                <w:lang w:val="en-IN"/>
              </w:rPr>
            </w:pPr>
            <w:r w:rsidRPr="00CD2C17">
              <w:rPr>
                <w:b/>
                <w:bCs/>
                <w:lang w:val="en-IN"/>
              </w:rPr>
              <w:t>10-yr Annualized Return</w:t>
            </w:r>
          </w:p>
        </w:tc>
      </w:tr>
      <w:tr w:rsidR="007769BD" w:rsidRPr="00CD2C17" w14:paraId="51662B52" w14:textId="77777777" w:rsidTr="00AF57D9">
        <w:trPr>
          <w:tblCellSpacing w:w="15" w:type="dxa"/>
        </w:trPr>
        <w:tc>
          <w:tcPr>
            <w:tcW w:w="0" w:type="auto"/>
            <w:vAlign w:val="center"/>
            <w:hideMark/>
          </w:tcPr>
          <w:p w14:paraId="5E98A8E5" w14:textId="77777777" w:rsidR="007769BD" w:rsidRPr="00CD2C17" w:rsidRDefault="007769BD" w:rsidP="00AF57D9">
            <w:pPr>
              <w:rPr>
                <w:lang w:val="en-IN"/>
              </w:rPr>
            </w:pPr>
            <w:r w:rsidRPr="00CD2C17">
              <w:rPr>
                <w:lang w:val="en-IN"/>
              </w:rPr>
              <w:t>SBI Liquid</w:t>
            </w:r>
          </w:p>
        </w:tc>
        <w:tc>
          <w:tcPr>
            <w:tcW w:w="0" w:type="auto"/>
            <w:vAlign w:val="center"/>
            <w:hideMark/>
          </w:tcPr>
          <w:p w14:paraId="2194482A" w14:textId="77777777" w:rsidR="007769BD" w:rsidRPr="00CD2C17" w:rsidRDefault="007769BD" w:rsidP="00AF57D9">
            <w:pPr>
              <w:rPr>
                <w:lang w:val="en-IN"/>
              </w:rPr>
            </w:pPr>
            <w:r w:rsidRPr="00CD2C17">
              <w:rPr>
                <w:lang w:val="en-IN"/>
              </w:rPr>
              <w:t>688,705</w:t>
            </w:r>
          </w:p>
        </w:tc>
        <w:tc>
          <w:tcPr>
            <w:tcW w:w="0" w:type="auto"/>
            <w:vAlign w:val="center"/>
            <w:hideMark/>
          </w:tcPr>
          <w:p w14:paraId="50A1271C" w14:textId="77777777" w:rsidR="007769BD" w:rsidRPr="00CD2C17" w:rsidRDefault="007769BD" w:rsidP="00AF57D9">
            <w:pPr>
              <w:rPr>
                <w:lang w:val="en-IN"/>
              </w:rPr>
            </w:pPr>
            <w:r w:rsidRPr="00CD2C17">
              <w:rPr>
                <w:lang w:val="en-IN"/>
              </w:rPr>
              <w:t>6.28%</w:t>
            </w:r>
          </w:p>
        </w:tc>
      </w:tr>
      <w:tr w:rsidR="007769BD" w:rsidRPr="00CD2C17" w14:paraId="54C62F95" w14:textId="77777777" w:rsidTr="00AF57D9">
        <w:trPr>
          <w:tblCellSpacing w:w="15" w:type="dxa"/>
        </w:trPr>
        <w:tc>
          <w:tcPr>
            <w:tcW w:w="0" w:type="auto"/>
            <w:vAlign w:val="center"/>
            <w:hideMark/>
          </w:tcPr>
          <w:p w14:paraId="5798D3EF" w14:textId="77777777" w:rsidR="007769BD" w:rsidRPr="00CD2C17" w:rsidRDefault="007769BD" w:rsidP="00AF57D9">
            <w:pPr>
              <w:rPr>
                <w:lang w:val="en-IN"/>
              </w:rPr>
            </w:pPr>
            <w:r w:rsidRPr="00CD2C17">
              <w:rPr>
                <w:lang w:val="en-IN"/>
              </w:rPr>
              <w:t>HDFC Liquid</w:t>
            </w:r>
          </w:p>
        </w:tc>
        <w:tc>
          <w:tcPr>
            <w:tcW w:w="0" w:type="auto"/>
            <w:vAlign w:val="center"/>
            <w:hideMark/>
          </w:tcPr>
          <w:p w14:paraId="1D076E4A" w14:textId="77777777" w:rsidR="007769BD" w:rsidRPr="00CD2C17" w:rsidRDefault="007769BD" w:rsidP="00AF57D9">
            <w:pPr>
              <w:rPr>
                <w:lang w:val="en-IN"/>
              </w:rPr>
            </w:pPr>
            <w:r w:rsidRPr="00CD2C17">
              <w:rPr>
                <w:lang w:val="en-IN"/>
              </w:rPr>
              <w:t>643,976</w:t>
            </w:r>
          </w:p>
        </w:tc>
        <w:tc>
          <w:tcPr>
            <w:tcW w:w="0" w:type="auto"/>
            <w:vAlign w:val="center"/>
            <w:hideMark/>
          </w:tcPr>
          <w:p w14:paraId="411EC707" w14:textId="77777777" w:rsidR="007769BD" w:rsidRPr="00CD2C17" w:rsidRDefault="007769BD" w:rsidP="00AF57D9">
            <w:pPr>
              <w:rPr>
                <w:lang w:val="en-IN"/>
              </w:rPr>
            </w:pPr>
            <w:r w:rsidRPr="00CD2C17">
              <w:rPr>
                <w:lang w:val="en-IN"/>
              </w:rPr>
              <w:t>6.28%</w:t>
            </w:r>
          </w:p>
        </w:tc>
      </w:tr>
      <w:tr w:rsidR="007769BD" w:rsidRPr="00CD2C17" w14:paraId="022CDCDB" w14:textId="77777777" w:rsidTr="00AF57D9">
        <w:trPr>
          <w:tblCellSpacing w:w="15" w:type="dxa"/>
        </w:trPr>
        <w:tc>
          <w:tcPr>
            <w:tcW w:w="0" w:type="auto"/>
            <w:vAlign w:val="center"/>
            <w:hideMark/>
          </w:tcPr>
          <w:p w14:paraId="521C5160" w14:textId="77777777" w:rsidR="007769BD" w:rsidRPr="00CD2C17" w:rsidRDefault="007769BD" w:rsidP="00AF57D9">
            <w:pPr>
              <w:rPr>
                <w:lang w:val="en-IN"/>
              </w:rPr>
            </w:pPr>
            <w:r w:rsidRPr="00CD2C17">
              <w:rPr>
                <w:lang w:val="en-IN"/>
              </w:rPr>
              <w:t>Aditya Birla Liquid</w:t>
            </w:r>
          </w:p>
        </w:tc>
        <w:tc>
          <w:tcPr>
            <w:tcW w:w="0" w:type="auto"/>
            <w:vAlign w:val="center"/>
            <w:hideMark/>
          </w:tcPr>
          <w:p w14:paraId="236ABF72" w14:textId="77777777" w:rsidR="007769BD" w:rsidRPr="00CD2C17" w:rsidRDefault="007769BD" w:rsidP="00AF57D9">
            <w:pPr>
              <w:rPr>
                <w:lang w:val="en-IN"/>
              </w:rPr>
            </w:pPr>
            <w:r w:rsidRPr="00CD2C17">
              <w:rPr>
                <w:lang w:val="en-IN"/>
              </w:rPr>
              <w:t>568,403</w:t>
            </w:r>
          </w:p>
        </w:tc>
        <w:tc>
          <w:tcPr>
            <w:tcW w:w="0" w:type="auto"/>
            <w:vAlign w:val="center"/>
            <w:hideMark/>
          </w:tcPr>
          <w:p w14:paraId="513F3DA6" w14:textId="77777777" w:rsidR="007769BD" w:rsidRPr="00CD2C17" w:rsidRDefault="007769BD" w:rsidP="00AF57D9">
            <w:pPr>
              <w:rPr>
                <w:lang w:val="en-IN"/>
              </w:rPr>
            </w:pPr>
            <w:r w:rsidRPr="00CD2C17">
              <w:rPr>
                <w:lang w:val="en-IN"/>
              </w:rPr>
              <w:t>6.28%</w:t>
            </w:r>
          </w:p>
        </w:tc>
      </w:tr>
      <w:tr w:rsidR="007769BD" w:rsidRPr="00CD2C17" w14:paraId="3C297035" w14:textId="77777777" w:rsidTr="00AF57D9">
        <w:trPr>
          <w:tblCellSpacing w:w="15" w:type="dxa"/>
        </w:trPr>
        <w:tc>
          <w:tcPr>
            <w:tcW w:w="0" w:type="auto"/>
            <w:vAlign w:val="center"/>
            <w:hideMark/>
          </w:tcPr>
          <w:p w14:paraId="0E215EFB" w14:textId="77777777" w:rsidR="007769BD" w:rsidRPr="00CD2C17" w:rsidRDefault="007769BD" w:rsidP="00AF57D9">
            <w:pPr>
              <w:rPr>
                <w:lang w:val="en-IN"/>
              </w:rPr>
            </w:pPr>
            <w:r w:rsidRPr="00CD2C17">
              <w:rPr>
                <w:lang w:val="en-IN"/>
              </w:rPr>
              <w:lastRenderedPageBreak/>
              <w:t>ICICI Pru Liquid</w:t>
            </w:r>
          </w:p>
        </w:tc>
        <w:tc>
          <w:tcPr>
            <w:tcW w:w="0" w:type="auto"/>
            <w:vAlign w:val="center"/>
            <w:hideMark/>
          </w:tcPr>
          <w:p w14:paraId="3145771D" w14:textId="77777777" w:rsidR="007769BD" w:rsidRPr="00CD2C17" w:rsidRDefault="007769BD" w:rsidP="00AF57D9">
            <w:pPr>
              <w:rPr>
                <w:lang w:val="en-IN"/>
              </w:rPr>
            </w:pPr>
            <w:r w:rsidRPr="00CD2C17">
              <w:rPr>
                <w:lang w:val="en-IN"/>
              </w:rPr>
              <w:t>499,999</w:t>
            </w:r>
          </w:p>
        </w:tc>
        <w:tc>
          <w:tcPr>
            <w:tcW w:w="0" w:type="auto"/>
            <w:vAlign w:val="center"/>
            <w:hideMark/>
          </w:tcPr>
          <w:p w14:paraId="50F7594B" w14:textId="77777777" w:rsidR="007769BD" w:rsidRPr="00CD2C17" w:rsidRDefault="007769BD" w:rsidP="00AF57D9">
            <w:pPr>
              <w:rPr>
                <w:lang w:val="en-IN"/>
              </w:rPr>
            </w:pPr>
            <w:r w:rsidRPr="00CD2C17">
              <w:rPr>
                <w:lang w:val="en-IN"/>
              </w:rPr>
              <w:t>6.33%</w:t>
            </w:r>
          </w:p>
        </w:tc>
      </w:tr>
    </w:tbl>
    <w:p w14:paraId="1F3CD7D8" w14:textId="1E019D94" w:rsidR="00D801E0" w:rsidRDefault="00D801E0" w:rsidP="00D801E0">
      <w:pPr>
        <w:rPr>
          <w:lang w:val="en-IN"/>
        </w:rPr>
      </w:pPr>
      <w:r>
        <w:rPr>
          <w:lang w:val="en-IN"/>
        </w:rPr>
        <w:t>Define the e</w:t>
      </w:r>
      <w:r w:rsidRPr="00CD2C17">
        <w:rPr>
          <w:lang w:val="en-IN"/>
        </w:rPr>
        <w:t>mergency liquidity</w:t>
      </w:r>
      <w:r>
        <w:rPr>
          <w:lang w:val="en-IN"/>
        </w:rPr>
        <w:t xml:space="preserve"> you could need, including </w:t>
      </w:r>
      <w:r w:rsidRPr="00CD2C17">
        <w:rPr>
          <w:lang w:val="en-IN"/>
        </w:rPr>
        <w:t xml:space="preserve">how much </w:t>
      </w:r>
      <w:r>
        <w:rPr>
          <w:lang w:val="en-IN"/>
        </w:rPr>
        <w:t xml:space="preserve">could be </w:t>
      </w:r>
      <w:r w:rsidRPr="00CD2C17">
        <w:rPr>
          <w:lang w:val="en-IN"/>
        </w:rPr>
        <w:t>required immediately</w:t>
      </w:r>
      <w:r>
        <w:rPr>
          <w:lang w:val="en-IN"/>
        </w:rPr>
        <w:t xml:space="preserve"> and how much within the next 24-48 hours.</w:t>
      </w:r>
      <w:r w:rsidR="00061BA1">
        <w:rPr>
          <w:lang w:val="en-IN"/>
        </w:rPr>
        <w:t xml:space="preserve"> Invest that in the two instruments above and the balance in other debt instruments shared in the section on fixed income investing.</w:t>
      </w:r>
    </w:p>
    <w:p w14:paraId="5F580B72" w14:textId="4EBA86B3" w:rsidR="007769BD" w:rsidRPr="007B0384" w:rsidRDefault="00000000" w:rsidP="00CD2C17">
      <w:pPr>
        <w:rPr>
          <w:lang w:val="en-IN"/>
        </w:rPr>
      </w:pPr>
      <w:r>
        <w:rPr>
          <w:lang w:val="en-IN"/>
        </w:rPr>
        <w:pict w14:anchorId="32F4C32F">
          <v:rect id="_x0000_i1028" style="width:0;height:1.5pt" o:hralign="center" o:hrstd="t" o:hr="t" fillcolor="#a0a0a0" stroked="f"/>
        </w:pict>
      </w:r>
    </w:p>
    <w:p w14:paraId="1A60B4B5" w14:textId="1B8AD3D5" w:rsidR="00CD2C17" w:rsidRPr="00CD2C17" w:rsidRDefault="00CD2C17" w:rsidP="00B57736">
      <w:pPr>
        <w:pStyle w:val="Heading2"/>
        <w:rPr>
          <w:lang w:val="en-IN"/>
        </w:rPr>
      </w:pPr>
      <w:r w:rsidRPr="00CD2C17">
        <w:rPr>
          <w:lang w:val="en-IN"/>
        </w:rPr>
        <w:t xml:space="preserve">Step 4 – </w:t>
      </w:r>
      <w:r w:rsidR="00467E35">
        <w:rPr>
          <w:lang w:val="en-IN"/>
        </w:rPr>
        <w:t xml:space="preserve">Investing in </w:t>
      </w:r>
      <w:r w:rsidRPr="00CD2C17">
        <w:rPr>
          <w:lang w:val="en-IN"/>
        </w:rPr>
        <w:t>Equity (Stocks / Mutual Funds)</w:t>
      </w:r>
    </w:p>
    <w:p w14:paraId="0DC1A8B7" w14:textId="3D42459A" w:rsidR="00B57736" w:rsidRDefault="00CD2C17" w:rsidP="00467E35">
      <w:pPr>
        <w:rPr>
          <w:lang w:val="en-IN"/>
        </w:rPr>
      </w:pPr>
      <w:r w:rsidRPr="00467E35">
        <w:rPr>
          <w:lang w:val="en-IN"/>
        </w:rPr>
        <w:t>We recommend exposure</w:t>
      </w:r>
      <w:r w:rsidR="00061BA1">
        <w:rPr>
          <w:lang w:val="en-IN"/>
        </w:rPr>
        <w:t xml:space="preserve"> to equity</w:t>
      </w:r>
      <w:r w:rsidRPr="00467E35">
        <w:rPr>
          <w:lang w:val="en-IN"/>
        </w:rPr>
        <w:t xml:space="preserve"> through mutual funds, not direct stock picking.</w:t>
      </w:r>
      <w:r w:rsidR="00467E35">
        <w:rPr>
          <w:lang w:val="en-IN"/>
        </w:rPr>
        <w:t xml:space="preserve"> </w:t>
      </w:r>
      <w:r w:rsidR="00B57736">
        <w:rPr>
          <w:lang w:val="en-IN"/>
        </w:rPr>
        <w:t xml:space="preserve">This can be done either </w:t>
      </w:r>
      <w:r w:rsidR="00061BA1">
        <w:rPr>
          <w:lang w:val="en-IN"/>
        </w:rPr>
        <w:t xml:space="preserve">through </w:t>
      </w:r>
      <w:r w:rsidR="00B57736">
        <w:rPr>
          <w:lang w:val="en-IN"/>
        </w:rPr>
        <w:t>equity mutual funds or the NPS (National Pension System) scheme.</w:t>
      </w:r>
    </w:p>
    <w:p w14:paraId="7A6638ED" w14:textId="010FC6DB" w:rsidR="00B57736" w:rsidRDefault="00B57736" w:rsidP="00B57736">
      <w:pPr>
        <w:pStyle w:val="Heading3"/>
        <w:rPr>
          <w:lang w:val="en-IN"/>
        </w:rPr>
      </w:pPr>
      <w:r>
        <w:rPr>
          <w:lang w:val="en-IN"/>
        </w:rPr>
        <w:t xml:space="preserve">Equity Mutual Funds </w:t>
      </w:r>
    </w:p>
    <w:p w14:paraId="0B014745" w14:textId="566F4EEA" w:rsidR="00CD2C17" w:rsidRPr="00467E35" w:rsidRDefault="00467E35" w:rsidP="00467E35">
      <w:pPr>
        <w:rPr>
          <w:lang w:val="en-IN"/>
        </w:rPr>
      </w:pPr>
      <w:r>
        <w:rPr>
          <w:lang w:val="en-IN"/>
        </w:rPr>
        <w:t>Keep the following in mind while choosing a</w:t>
      </w:r>
      <w:r w:rsidR="00B57736">
        <w:rPr>
          <w:lang w:val="en-IN"/>
        </w:rPr>
        <w:t>n equity</w:t>
      </w:r>
      <w:r>
        <w:rPr>
          <w:lang w:val="en-IN"/>
        </w:rPr>
        <w:t xml:space="preserve"> fund:</w:t>
      </w:r>
    </w:p>
    <w:p w14:paraId="4B17C86E" w14:textId="77777777" w:rsidR="00CD2C17" w:rsidRPr="00467E35" w:rsidRDefault="00CD2C17" w:rsidP="00467E35">
      <w:pPr>
        <w:pStyle w:val="ListParagraph"/>
        <w:numPr>
          <w:ilvl w:val="0"/>
          <w:numId w:val="17"/>
        </w:numPr>
        <w:rPr>
          <w:lang w:val="en-IN"/>
        </w:rPr>
      </w:pPr>
      <w:r w:rsidRPr="00467E35">
        <w:rPr>
          <w:lang w:val="en-IN"/>
        </w:rPr>
        <w:t>Choose Direct Plans, not Regular Plans (to avoid distributor commissions).</w:t>
      </w:r>
    </w:p>
    <w:p w14:paraId="6A70FDCC" w14:textId="799F78DB" w:rsidR="00CD2C17" w:rsidRPr="00467E35" w:rsidRDefault="00467E35" w:rsidP="00467E35">
      <w:pPr>
        <w:pStyle w:val="ListParagraph"/>
        <w:numPr>
          <w:ilvl w:val="0"/>
          <w:numId w:val="17"/>
        </w:numPr>
        <w:rPr>
          <w:lang w:val="en-IN"/>
        </w:rPr>
      </w:pPr>
      <w:r w:rsidRPr="00467E35">
        <w:rPr>
          <w:lang w:val="en-IN"/>
        </w:rPr>
        <w:t>Choose</w:t>
      </w:r>
      <w:r w:rsidR="00CD2C17" w:rsidRPr="00467E35">
        <w:rPr>
          <w:lang w:val="en-IN"/>
        </w:rPr>
        <w:t xml:space="preserve"> Index Funds (Passive) over Active Funds.</w:t>
      </w:r>
    </w:p>
    <w:p w14:paraId="0BC57326" w14:textId="268B8290" w:rsidR="00CD2C17" w:rsidRPr="00467E35" w:rsidRDefault="00467E35" w:rsidP="00467E35">
      <w:pPr>
        <w:pStyle w:val="ListParagraph"/>
        <w:numPr>
          <w:ilvl w:val="0"/>
          <w:numId w:val="17"/>
        </w:numPr>
        <w:rPr>
          <w:lang w:val="en-IN"/>
        </w:rPr>
      </w:pPr>
      <w:r w:rsidRPr="00467E35">
        <w:rPr>
          <w:lang w:val="en-IN"/>
        </w:rPr>
        <w:t>Choose</w:t>
      </w:r>
      <w:r w:rsidR="00CD2C17" w:rsidRPr="00467E35">
        <w:rPr>
          <w:lang w:val="en-IN"/>
        </w:rPr>
        <w:t xml:space="preserve"> large funds from reputed houses (e.g., SBI, UTI, LIC, HDFC, ICICI, Axis)</w:t>
      </w:r>
      <w:r w:rsidRPr="00467E35">
        <w:rPr>
          <w:lang w:val="en-IN"/>
        </w:rPr>
        <w:t xml:space="preserve"> to bring down the cost burden per unit</w:t>
      </w:r>
      <w:r w:rsidR="00CD2C17" w:rsidRPr="00467E35">
        <w:rPr>
          <w:lang w:val="en-IN"/>
        </w:rPr>
        <w:t>.</w:t>
      </w:r>
    </w:p>
    <w:p w14:paraId="30DF2BD5" w14:textId="77777777" w:rsidR="00CD2C17" w:rsidRPr="00467E35" w:rsidRDefault="00CD2C17" w:rsidP="00467E35">
      <w:pPr>
        <w:rPr>
          <w:lang w:val="en-IN"/>
        </w:rPr>
      </w:pPr>
      <w:r w:rsidRPr="00467E35">
        <w:rPr>
          <w:lang w:val="en-IN"/>
        </w:rPr>
        <w:t>Example (as of June 2025, Nifty-based index 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6"/>
        <w:gridCol w:w="1558"/>
        <w:gridCol w:w="2282"/>
      </w:tblGrid>
      <w:tr w:rsidR="00CD2C17" w:rsidRPr="00CD2C17" w14:paraId="16964123" w14:textId="77777777">
        <w:trPr>
          <w:tblHeader/>
          <w:tblCellSpacing w:w="15" w:type="dxa"/>
        </w:trPr>
        <w:tc>
          <w:tcPr>
            <w:tcW w:w="0" w:type="auto"/>
            <w:vAlign w:val="center"/>
            <w:hideMark/>
          </w:tcPr>
          <w:p w14:paraId="7CA1589A" w14:textId="77777777" w:rsidR="00CD2C17" w:rsidRPr="00CD2C17" w:rsidRDefault="00CD2C17" w:rsidP="00CD2C17">
            <w:pPr>
              <w:rPr>
                <w:b/>
                <w:bCs/>
                <w:lang w:val="en-IN"/>
              </w:rPr>
            </w:pPr>
            <w:r w:rsidRPr="00CD2C17">
              <w:rPr>
                <w:b/>
                <w:bCs/>
                <w:lang w:val="en-IN"/>
              </w:rPr>
              <w:t>Fund</w:t>
            </w:r>
          </w:p>
        </w:tc>
        <w:tc>
          <w:tcPr>
            <w:tcW w:w="0" w:type="auto"/>
            <w:vAlign w:val="center"/>
            <w:hideMark/>
          </w:tcPr>
          <w:p w14:paraId="54D0FE0F" w14:textId="77777777" w:rsidR="00CD2C17" w:rsidRPr="00CD2C17" w:rsidRDefault="00CD2C17" w:rsidP="00CD2C17">
            <w:pPr>
              <w:rPr>
                <w:b/>
                <w:bCs/>
                <w:lang w:val="en-IN"/>
              </w:rPr>
            </w:pPr>
            <w:r w:rsidRPr="00CD2C17">
              <w:rPr>
                <w:b/>
                <w:bCs/>
                <w:lang w:val="en-IN"/>
              </w:rPr>
              <w:t xml:space="preserve">Corpus (INR </w:t>
            </w:r>
            <w:proofErr w:type="spellStart"/>
            <w:r w:rsidRPr="00CD2C17">
              <w:rPr>
                <w:b/>
                <w:bCs/>
                <w:lang w:val="en-IN"/>
              </w:rPr>
              <w:t>mn</w:t>
            </w:r>
            <w:proofErr w:type="spellEnd"/>
            <w:r w:rsidRPr="00CD2C17">
              <w:rPr>
                <w:b/>
                <w:bCs/>
                <w:lang w:val="en-IN"/>
              </w:rPr>
              <w:t>)</w:t>
            </w:r>
          </w:p>
        </w:tc>
        <w:tc>
          <w:tcPr>
            <w:tcW w:w="0" w:type="auto"/>
            <w:vAlign w:val="center"/>
            <w:hideMark/>
          </w:tcPr>
          <w:p w14:paraId="70AF77DD" w14:textId="77777777" w:rsidR="00CD2C17" w:rsidRPr="00CD2C17" w:rsidRDefault="00CD2C17" w:rsidP="00CD2C17">
            <w:pPr>
              <w:rPr>
                <w:b/>
                <w:bCs/>
                <w:lang w:val="en-IN"/>
              </w:rPr>
            </w:pPr>
            <w:r w:rsidRPr="00CD2C17">
              <w:rPr>
                <w:b/>
                <w:bCs/>
                <w:lang w:val="en-IN"/>
              </w:rPr>
              <w:t>10-yr Annualized Return</w:t>
            </w:r>
          </w:p>
        </w:tc>
      </w:tr>
      <w:tr w:rsidR="00CD2C17" w:rsidRPr="00CD2C17" w14:paraId="519BDE3B" w14:textId="77777777">
        <w:trPr>
          <w:tblCellSpacing w:w="15" w:type="dxa"/>
        </w:trPr>
        <w:tc>
          <w:tcPr>
            <w:tcW w:w="0" w:type="auto"/>
            <w:vAlign w:val="center"/>
            <w:hideMark/>
          </w:tcPr>
          <w:p w14:paraId="1D4DAC44" w14:textId="77777777" w:rsidR="00CD2C17" w:rsidRPr="00CD2C17" w:rsidRDefault="00CD2C17" w:rsidP="00CD2C17">
            <w:pPr>
              <w:rPr>
                <w:lang w:val="en-IN"/>
              </w:rPr>
            </w:pPr>
            <w:r w:rsidRPr="00CD2C17">
              <w:rPr>
                <w:lang w:val="en-IN"/>
              </w:rPr>
              <w:t>UTI Nifty 50 Index Fund – Direct Growth</w:t>
            </w:r>
          </w:p>
        </w:tc>
        <w:tc>
          <w:tcPr>
            <w:tcW w:w="0" w:type="auto"/>
            <w:vAlign w:val="center"/>
            <w:hideMark/>
          </w:tcPr>
          <w:p w14:paraId="47D66A4B" w14:textId="77777777" w:rsidR="00CD2C17" w:rsidRPr="00CD2C17" w:rsidRDefault="00CD2C17" w:rsidP="00CD2C17">
            <w:pPr>
              <w:rPr>
                <w:lang w:val="en-IN"/>
              </w:rPr>
            </w:pPr>
            <w:r w:rsidRPr="00CD2C17">
              <w:rPr>
                <w:lang w:val="en-IN"/>
              </w:rPr>
              <w:t>232,494</w:t>
            </w:r>
          </w:p>
        </w:tc>
        <w:tc>
          <w:tcPr>
            <w:tcW w:w="0" w:type="auto"/>
            <w:vAlign w:val="center"/>
            <w:hideMark/>
          </w:tcPr>
          <w:p w14:paraId="07B8A4ED" w14:textId="77777777" w:rsidR="00CD2C17" w:rsidRPr="00CD2C17" w:rsidRDefault="00CD2C17" w:rsidP="00CD2C17">
            <w:pPr>
              <w:rPr>
                <w:lang w:val="en-IN"/>
              </w:rPr>
            </w:pPr>
            <w:r w:rsidRPr="00CD2C17">
              <w:rPr>
                <w:lang w:val="en-IN"/>
              </w:rPr>
              <w:t>13.12%</w:t>
            </w:r>
          </w:p>
        </w:tc>
      </w:tr>
      <w:tr w:rsidR="00CD2C17" w:rsidRPr="00CD2C17" w14:paraId="65BF21AA" w14:textId="77777777">
        <w:trPr>
          <w:tblCellSpacing w:w="15" w:type="dxa"/>
        </w:trPr>
        <w:tc>
          <w:tcPr>
            <w:tcW w:w="0" w:type="auto"/>
            <w:vAlign w:val="center"/>
            <w:hideMark/>
          </w:tcPr>
          <w:p w14:paraId="63A957DF" w14:textId="77777777" w:rsidR="00CD2C17" w:rsidRPr="00CD2C17" w:rsidRDefault="00CD2C17" w:rsidP="00CD2C17">
            <w:pPr>
              <w:rPr>
                <w:lang w:val="en-IN"/>
              </w:rPr>
            </w:pPr>
            <w:r w:rsidRPr="00CD2C17">
              <w:rPr>
                <w:lang w:val="en-IN"/>
              </w:rPr>
              <w:t>HDFC Nifty 50 Index Fund – Direct Growth</w:t>
            </w:r>
          </w:p>
        </w:tc>
        <w:tc>
          <w:tcPr>
            <w:tcW w:w="0" w:type="auto"/>
            <w:vAlign w:val="center"/>
            <w:hideMark/>
          </w:tcPr>
          <w:p w14:paraId="729CE910" w14:textId="77777777" w:rsidR="00CD2C17" w:rsidRPr="00CD2C17" w:rsidRDefault="00CD2C17" w:rsidP="00CD2C17">
            <w:pPr>
              <w:rPr>
                <w:lang w:val="en-IN"/>
              </w:rPr>
            </w:pPr>
            <w:r w:rsidRPr="00CD2C17">
              <w:rPr>
                <w:lang w:val="en-IN"/>
              </w:rPr>
              <w:t>204,093</w:t>
            </w:r>
          </w:p>
        </w:tc>
        <w:tc>
          <w:tcPr>
            <w:tcW w:w="0" w:type="auto"/>
            <w:vAlign w:val="center"/>
            <w:hideMark/>
          </w:tcPr>
          <w:p w14:paraId="08A60FF7" w14:textId="77777777" w:rsidR="00CD2C17" w:rsidRPr="00CD2C17" w:rsidRDefault="00CD2C17" w:rsidP="00CD2C17">
            <w:pPr>
              <w:rPr>
                <w:lang w:val="en-IN"/>
              </w:rPr>
            </w:pPr>
            <w:r w:rsidRPr="00CD2C17">
              <w:rPr>
                <w:lang w:val="en-IN"/>
              </w:rPr>
              <w:t>13.04%</w:t>
            </w:r>
          </w:p>
        </w:tc>
      </w:tr>
      <w:tr w:rsidR="00CD2C17" w:rsidRPr="00CD2C17" w14:paraId="00E40EC7" w14:textId="77777777">
        <w:trPr>
          <w:tblCellSpacing w:w="15" w:type="dxa"/>
        </w:trPr>
        <w:tc>
          <w:tcPr>
            <w:tcW w:w="0" w:type="auto"/>
            <w:vAlign w:val="center"/>
            <w:hideMark/>
          </w:tcPr>
          <w:p w14:paraId="707B53AB" w14:textId="77777777" w:rsidR="00CD2C17" w:rsidRPr="00CD2C17" w:rsidRDefault="00CD2C17" w:rsidP="00CD2C17">
            <w:pPr>
              <w:rPr>
                <w:lang w:val="en-IN"/>
              </w:rPr>
            </w:pPr>
            <w:r w:rsidRPr="00CD2C17">
              <w:rPr>
                <w:lang w:val="en-IN"/>
              </w:rPr>
              <w:t>ICICI Pru Nifty 50 Index Fund – Direct Growth</w:t>
            </w:r>
          </w:p>
        </w:tc>
        <w:tc>
          <w:tcPr>
            <w:tcW w:w="0" w:type="auto"/>
            <w:vAlign w:val="center"/>
            <w:hideMark/>
          </w:tcPr>
          <w:p w14:paraId="4645A9F4" w14:textId="77777777" w:rsidR="00CD2C17" w:rsidRPr="00CD2C17" w:rsidRDefault="00CD2C17" w:rsidP="00CD2C17">
            <w:pPr>
              <w:rPr>
                <w:lang w:val="en-IN"/>
              </w:rPr>
            </w:pPr>
            <w:r w:rsidRPr="00CD2C17">
              <w:rPr>
                <w:lang w:val="en-IN"/>
              </w:rPr>
              <w:t>135,350</w:t>
            </w:r>
          </w:p>
        </w:tc>
        <w:tc>
          <w:tcPr>
            <w:tcW w:w="0" w:type="auto"/>
            <w:vAlign w:val="center"/>
            <w:hideMark/>
          </w:tcPr>
          <w:p w14:paraId="7995BF97" w14:textId="77777777" w:rsidR="00CD2C17" w:rsidRPr="00CD2C17" w:rsidRDefault="00CD2C17" w:rsidP="00CD2C17">
            <w:pPr>
              <w:rPr>
                <w:lang w:val="en-IN"/>
              </w:rPr>
            </w:pPr>
            <w:r w:rsidRPr="00CD2C17">
              <w:rPr>
                <w:lang w:val="en-IN"/>
              </w:rPr>
              <w:t>12.96%</w:t>
            </w:r>
          </w:p>
        </w:tc>
      </w:tr>
      <w:tr w:rsidR="00CD2C17" w:rsidRPr="00CD2C17" w14:paraId="45A66254" w14:textId="77777777">
        <w:trPr>
          <w:tblCellSpacing w:w="15" w:type="dxa"/>
        </w:trPr>
        <w:tc>
          <w:tcPr>
            <w:tcW w:w="0" w:type="auto"/>
            <w:vAlign w:val="center"/>
            <w:hideMark/>
          </w:tcPr>
          <w:p w14:paraId="481792C7" w14:textId="77777777" w:rsidR="00CD2C17" w:rsidRPr="00CD2C17" w:rsidRDefault="00CD2C17" w:rsidP="00CD2C17">
            <w:pPr>
              <w:rPr>
                <w:lang w:val="en-IN"/>
              </w:rPr>
            </w:pPr>
            <w:r w:rsidRPr="00CD2C17">
              <w:rPr>
                <w:lang w:val="en-IN"/>
              </w:rPr>
              <w:t>SBI Nifty Index Fund – Direct Growth</w:t>
            </w:r>
          </w:p>
        </w:tc>
        <w:tc>
          <w:tcPr>
            <w:tcW w:w="0" w:type="auto"/>
            <w:vAlign w:val="center"/>
            <w:hideMark/>
          </w:tcPr>
          <w:p w14:paraId="4B66B5C2" w14:textId="77777777" w:rsidR="00CD2C17" w:rsidRPr="00CD2C17" w:rsidRDefault="00CD2C17" w:rsidP="00CD2C17">
            <w:pPr>
              <w:rPr>
                <w:lang w:val="en-IN"/>
              </w:rPr>
            </w:pPr>
            <w:r w:rsidRPr="00CD2C17">
              <w:rPr>
                <w:lang w:val="en-IN"/>
              </w:rPr>
              <w:t>98,387</w:t>
            </w:r>
          </w:p>
        </w:tc>
        <w:tc>
          <w:tcPr>
            <w:tcW w:w="0" w:type="auto"/>
            <w:vAlign w:val="center"/>
            <w:hideMark/>
          </w:tcPr>
          <w:p w14:paraId="3E57B422" w14:textId="77777777" w:rsidR="00CD2C17" w:rsidRPr="00CD2C17" w:rsidRDefault="00CD2C17" w:rsidP="00CD2C17">
            <w:pPr>
              <w:rPr>
                <w:lang w:val="en-IN"/>
              </w:rPr>
            </w:pPr>
            <w:r w:rsidRPr="00CD2C17">
              <w:rPr>
                <w:lang w:val="en-IN"/>
              </w:rPr>
              <w:t>12.96%</w:t>
            </w:r>
          </w:p>
        </w:tc>
      </w:tr>
    </w:tbl>
    <w:p w14:paraId="53D2DBEF" w14:textId="77777777" w:rsidR="00B57736" w:rsidRDefault="00B57736" w:rsidP="00B57736">
      <w:pPr>
        <w:pStyle w:val="Heading3"/>
        <w:rPr>
          <w:lang w:val="en-IN"/>
        </w:rPr>
      </w:pPr>
      <w:r>
        <w:rPr>
          <w:lang w:val="en-IN"/>
        </w:rPr>
        <w:t xml:space="preserve">Investing through </w:t>
      </w:r>
      <w:r w:rsidR="00CD2C17" w:rsidRPr="00CD2C17">
        <w:rPr>
          <w:lang w:val="en-IN"/>
        </w:rPr>
        <w:t xml:space="preserve">NPS (National Pension System) </w:t>
      </w:r>
    </w:p>
    <w:p w14:paraId="7B27CC0D" w14:textId="01C289BC" w:rsidR="00B57736" w:rsidRDefault="00B57736" w:rsidP="00B57736">
      <w:pPr>
        <w:rPr>
          <w:lang w:val="en-IN"/>
        </w:rPr>
      </w:pPr>
      <w:r>
        <w:rPr>
          <w:lang w:val="en-IN"/>
        </w:rPr>
        <w:t>NPS has its own system of allocation of investor funds between debt and equity based on age. Hence, within one investment scheme you could potentially meet your allocation goals for exposure to equity as well as debt.</w:t>
      </w:r>
    </w:p>
    <w:p w14:paraId="15DF04BB" w14:textId="0961F588" w:rsidR="00B57736" w:rsidRDefault="00B57736" w:rsidP="00B57736">
      <w:pPr>
        <w:rPr>
          <w:lang w:val="en-IN"/>
        </w:rPr>
      </w:pPr>
      <w:r>
        <w:rPr>
          <w:lang w:val="en-IN"/>
        </w:rPr>
        <w:t>In case the NPS allocation is different from your own preferred allocation, you could select the non-NPS investments in a manner that enables you to reach your target allocation.</w:t>
      </w:r>
    </w:p>
    <w:p w14:paraId="59545804" w14:textId="497C1267" w:rsidR="00B57736" w:rsidRDefault="00B57736" w:rsidP="00B57736">
      <w:pPr>
        <w:rPr>
          <w:lang w:val="en-IN"/>
        </w:rPr>
      </w:pPr>
      <w:r>
        <w:rPr>
          <w:lang w:val="en-IN"/>
        </w:rPr>
        <w:t>For example:</w:t>
      </w:r>
    </w:p>
    <w:p w14:paraId="63AA7CD5" w14:textId="44A1B542" w:rsidR="00B57736" w:rsidRDefault="00B57736" w:rsidP="00B57736">
      <w:pPr>
        <w:rPr>
          <w:lang w:val="en-IN"/>
        </w:rPr>
      </w:pPr>
      <w:r>
        <w:rPr>
          <w:lang w:val="en-IN"/>
        </w:rPr>
        <w:t>If NPS allocation to equity is lower than your preference, choose equity funds to get a higher exposure than provided by NPS.</w:t>
      </w:r>
    </w:p>
    <w:p w14:paraId="78AA138F" w14:textId="3F1424B8" w:rsidR="00B57736" w:rsidRDefault="00B57736" w:rsidP="00B57736">
      <w:pPr>
        <w:rPr>
          <w:lang w:val="en-IN"/>
        </w:rPr>
      </w:pPr>
      <w:r>
        <w:rPr>
          <w:lang w:val="en-IN"/>
        </w:rPr>
        <w:t xml:space="preserve">If NPS allocation to equity is </w:t>
      </w:r>
      <w:r>
        <w:rPr>
          <w:lang w:val="en-IN"/>
        </w:rPr>
        <w:t xml:space="preserve">higher </w:t>
      </w:r>
      <w:r>
        <w:rPr>
          <w:lang w:val="en-IN"/>
        </w:rPr>
        <w:t xml:space="preserve">than your preference, choose </w:t>
      </w:r>
      <w:r>
        <w:rPr>
          <w:lang w:val="en-IN"/>
        </w:rPr>
        <w:t>debt schemes</w:t>
      </w:r>
      <w:r>
        <w:rPr>
          <w:lang w:val="en-IN"/>
        </w:rPr>
        <w:t xml:space="preserve"> </w:t>
      </w:r>
      <w:r w:rsidR="007528FA">
        <w:rPr>
          <w:lang w:val="en-IN"/>
        </w:rPr>
        <w:t xml:space="preserve">outside NPS </w:t>
      </w:r>
      <w:r>
        <w:rPr>
          <w:lang w:val="en-IN"/>
        </w:rPr>
        <w:t>to get a higher exposure than provided by NPS.</w:t>
      </w:r>
      <w:r>
        <w:rPr>
          <w:lang w:val="en-IN"/>
        </w:rPr>
        <w:t xml:space="preserve"> At the same time, NPS permits investors to choose a level of equity exposure lower than its recommended exposure for the age, but does not permit a higher exposure. Hence, you could also choose a lower exposure to equity within NPS if you so prefer.</w:t>
      </w:r>
    </w:p>
    <w:p w14:paraId="2DC5757F" w14:textId="4139D0D0" w:rsidR="004603A1" w:rsidRPr="00CD2C17" w:rsidRDefault="004603A1" w:rsidP="004603A1">
      <w:pPr>
        <w:rPr>
          <w:lang w:val="en-IN"/>
        </w:rPr>
      </w:pPr>
      <w:r w:rsidRPr="00CD2C17">
        <w:rPr>
          <w:lang w:val="en-IN"/>
        </w:rPr>
        <w:lastRenderedPageBreak/>
        <w:t>Allocate maximum permissible equity exposure under NPS for your age</w:t>
      </w:r>
      <w:r>
        <w:rPr>
          <w:lang w:val="en-IN"/>
        </w:rPr>
        <w:t xml:space="preserve"> and c</w:t>
      </w:r>
      <w:r w:rsidRPr="00CD2C17">
        <w:rPr>
          <w:lang w:val="en-IN"/>
        </w:rPr>
        <w:t>hoose passive funds within NPS to minimize costs.</w:t>
      </w:r>
    </w:p>
    <w:p w14:paraId="541B136B" w14:textId="294A06F0" w:rsidR="00B57736" w:rsidRDefault="00B57736" w:rsidP="00B57736">
      <w:pPr>
        <w:rPr>
          <w:lang w:val="en-IN"/>
        </w:rPr>
      </w:pPr>
      <w:r>
        <w:rPr>
          <w:lang w:val="en-IN"/>
        </w:rPr>
        <w:t>Read our knowledge article on the NPS scheme for more information.</w:t>
      </w:r>
    </w:p>
    <w:p w14:paraId="68746DA8" w14:textId="77777777" w:rsidR="00A323C4" w:rsidRPr="00A323C4" w:rsidRDefault="00A323C4" w:rsidP="00A323C4">
      <w:pPr>
        <w:rPr>
          <w:lang w:val="en-IN"/>
        </w:rPr>
      </w:pPr>
      <w:r>
        <w:rPr>
          <w:lang w:val="en-IN"/>
        </w:rPr>
        <w:pict w14:anchorId="59428851">
          <v:rect id="_x0000_i1041" style="width:0;height:1.5pt" o:hralign="center" o:hrstd="t" o:hr="t" fillcolor="#a0a0a0" stroked="f"/>
        </w:pict>
      </w:r>
    </w:p>
    <w:p w14:paraId="1236AD7B" w14:textId="296DB644" w:rsidR="00CD2C17" w:rsidRPr="00CD2C17" w:rsidRDefault="00A323C4" w:rsidP="00602F23">
      <w:pPr>
        <w:pStyle w:val="Heading2"/>
        <w:rPr>
          <w:lang w:val="en-IN"/>
        </w:rPr>
      </w:pPr>
      <w:r>
        <w:rPr>
          <w:lang w:val="en-IN"/>
        </w:rPr>
        <w:t>Step 5 – Investing in</w:t>
      </w:r>
      <w:r w:rsidR="00CD2C17" w:rsidRPr="00CD2C17">
        <w:rPr>
          <w:lang w:val="en-IN"/>
        </w:rPr>
        <w:t xml:space="preserve"> Debt (Fixed Income)</w:t>
      </w:r>
    </w:p>
    <w:p w14:paraId="56AA1336" w14:textId="3364C6AE" w:rsidR="00CD2C17" w:rsidRDefault="00061BA1" w:rsidP="00061BA1">
      <w:pPr>
        <w:pStyle w:val="Heading3"/>
        <w:rPr>
          <w:lang w:val="en-IN"/>
        </w:rPr>
      </w:pPr>
      <w:r>
        <w:rPr>
          <w:lang w:val="en-IN"/>
        </w:rPr>
        <w:t>G</w:t>
      </w:r>
      <w:r w:rsidR="00CD2C17" w:rsidRPr="00CD2C17">
        <w:rPr>
          <w:lang w:val="en-IN"/>
        </w:rPr>
        <w:t>overnment-backed schemes</w:t>
      </w:r>
    </w:p>
    <w:p w14:paraId="01097A85" w14:textId="3BD00DDB" w:rsidR="00061BA1" w:rsidRDefault="00061BA1" w:rsidP="00061BA1">
      <w:pPr>
        <w:rPr>
          <w:lang w:val="en-IN"/>
        </w:rPr>
      </w:pPr>
      <w:r>
        <w:rPr>
          <w:lang w:val="en-IN"/>
        </w:rPr>
        <w:t>Prioritize government schemes for fixed income investing.</w:t>
      </w:r>
    </w:p>
    <w:p w14:paraId="01D253B8" w14:textId="75B731FE" w:rsidR="00061BA1" w:rsidRPr="00061BA1" w:rsidRDefault="00061BA1" w:rsidP="00061BA1">
      <w:pPr>
        <w:rPr>
          <w:lang w:val="en-IN"/>
        </w:rPr>
      </w:pPr>
      <w:r>
        <w:rPr>
          <w:lang w:val="en-IN"/>
        </w:rPr>
        <w:t>An overview of the popular schemes: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1240"/>
        <w:gridCol w:w="2694"/>
        <w:gridCol w:w="4050"/>
      </w:tblGrid>
      <w:tr w:rsidR="00CD2C17" w:rsidRPr="00CD2C17" w14:paraId="54437AEE" w14:textId="77777777">
        <w:trPr>
          <w:tblHeader/>
          <w:tblCellSpacing w:w="15" w:type="dxa"/>
        </w:trPr>
        <w:tc>
          <w:tcPr>
            <w:tcW w:w="0" w:type="auto"/>
            <w:vAlign w:val="center"/>
            <w:hideMark/>
          </w:tcPr>
          <w:p w14:paraId="55AFDC0D" w14:textId="77777777" w:rsidR="00CD2C17" w:rsidRPr="00CD2C17" w:rsidRDefault="00CD2C17" w:rsidP="00CD2C17">
            <w:pPr>
              <w:rPr>
                <w:b/>
                <w:bCs/>
                <w:lang w:val="en-IN"/>
              </w:rPr>
            </w:pPr>
            <w:r w:rsidRPr="00CD2C17">
              <w:rPr>
                <w:b/>
                <w:bCs/>
                <w:lang w:val="en-IN"/>
              </w:rPr>
              <w:t>Scheme</w:t>
            </w:r>
          </w:p>
        </w:tc>
        <w:tc>
          <w:tcPr>
            <w:tcW w:w="0" w:type="auto"/>
            <w:vAlign w:val="center"/>
            <w:hideMark/>
          </w:tcPr>
          <w:p w14:paraId="5699CBF8" w14:textId="77777777" w:rsidR="00CD2C17" w:rsidRPr="00CD2C17" w:rsidRDefault="00CD2C17" w:rsidP="00CD2C17">
            <w:pPr>
              <w:rPr>
                <w:b/>
                <w:bCs/>
                <w:lang w:val="en-IN"/>
              </w:rPr>
            </w:pPr>
            <w:r w:rsidRPr="00CD2C17">
              <w:rPr>
                <w:b/>
                <w:bCs/>
                <w:lang w:val="en-IN"/>
              </w:rPr>
              <w:t>Gross Return</w:t>
            </w:r>
          </w:p>
        </w:tc>
        <w:tc>
          <w:tcPr>
            <w:tcW w:w="0" w:type="auto"/>
            <w:vAlign w:val="center"/>
            <w:hideMark/>
          </w:tcPr>
          <w:p w14:paraId="6532BC7D" w14:textId="77777777" w:rsidR="00CD2C17" w:rsidRPr="00CD2C17" w:rsidRDefault="00CD2C17" w:rsidP="00CD2C17">
            <w:pPr>
              <w:rPr>
                <w:b/>
                <w:bCs/>
                <w:lang w:val="en-IN"/>
              </w:rPr>
            </w:pPr>
            <w:r w:rsidRPr="00CD2C17">
              <w:rPr>
                <w:b/>
                <w:bCs/>
                <w:lang w:val="en-IN"/>
              </w:rPr>
              <w:t>Tax Treatment (New Regime)</w:t>
            </w:r>
          </w:p>
        </w:tc>
        <w:tc>
          <w:tcPr>
            <w:tcW w:w="0" w:type="auto"/>
            <w:vAlign w:val="center"/>
            <w:hideMark/>
          </w:tcPr>
          <w:p w14:paraId="6675E79E" w14:textId="77777777" w:rsidR="00CD2C17" w:rsidRPr="00CD2C17" w:rsidRDefault="00CD2C17" w:rsidP="00CD2C17">
            <w:pPr>
              <w:rPr>
                <w:b/>
                <w:bCs/>
                <w:lang w:val="en-IN"/>
              </w:rPr>
            </w:pPr>
            <w:r w:rsidRPr="00CD2C17">
              <w:rPr>
                <w:b/>
                <w:bCs/>
                <w:lang w:val="en-IN"/>
              </w:rPr>
              <w:t>Effective Post-Tax Return (10% / 20% / 30%)</w:t>
            </w:r>
          </w:p>
        </w:tc>
      </w:tr>
      <w:tr w:rsidR="00CD2C17" w:rsidRPr="00CD2C17" w14:paraId="587DD4A0" w14:textId="77777777">
        <w:trPr>
          <w:tblCellSpacing w:w="15" w:type="dxa"/>
        </w:trPr>
        <w:tc>
          <w:tcPr>
            <w:tcW w:w="0" w:type="auto"/>
            <w:vAlign w:val="center"/>
            <w:hideMark/>
          </w:tcPr>
          <w:p w14:paraId="3BCFD0D5" w14:textId="77777777" w:rsidR="00CD2C17" w:rsidRPr="00CD2C17" w:rsidRDefault="00CD2C17" w:rsidP="00CD2C17">
            <w:pPr>
              <w:rPr>
                <w:lang w:val="en-IN"/>
              </w:rPr>
            </w:pPr>
            <w:r w:rsidRPr="00CD2C17">
              <w:rPr>
                <w:lang w:val="en-IN"/>
              </w:rPr>
              <w:t>PPF</w:t>
            </w:r>
          </w:p>
        </w:tc>
        <w:tc>
          <w:tcPr>
            <w:tcW w:w="0" w:type="auto"/>
            <w:vAlign w:val="center"/>
            <w:hideMark/>
          </w:tcPr>
          <w:p w14:paraId="2E8B4316" w14:textId="77777777" w:rsidR="00CD2C17" w:rsidRPr="00CD2C17" w:rsidRDefault="00CD2C17" w:rsidP="00CD2C17">
            <w:pPr>
              <w:rPr>
                <w:lang w:val="en-IN"/>
              </w:rPr>
            </w:pPr>
            <w:r w:rsidRPr="00CD2C17">
              <w:rPr>
                <w:lang w:val="en-IN"/>
              </w:rPr>
              <w:t>~7.1%</w:t>
            </w:r>
          </w:p>
        </w:tc>
        <w:tc>
          <w:tcPr>
            <w:tcW w:w="0" w:type="auto"/>
            <w:vAlign w:val="center"/>
            <w:hideMark/>
          </w:tcPr>
          <w:p w14:paraId="2F997650" w14:textId="77777777" w:rsidR="00CD2C17" w:rsidRPr="00CD2C17" w:rsidRDefault="00CD2C17" w:rsidP="00CD2C17">
            <w:pPr>
              <w:rPr>
                <w:lang w:val="en-IN"/>
              </w:rPr>
            </w:pPr>
            <w:r w:rsidRPr="00CD2C17">
              <w:rPr>
                <w:lang w:val="en-IN"/>
              </w:rPr>
              <w:t>Fully tax-free</w:t>
            </w:r>
          </w:p>
        </w:tc>
        <w:tc>
          <w:tcPr>
            <w:tcW w:w="0" w:type="auto"/>
            <w:vAlign w:val="center"/>
            <w:hideMark/>
          </w:tcPr>
          <w:p w14:paraId="2D5CB44E" w14:textId="77777777" w:rsidR="00CD2C17" w:rsidRPr="00CD2C17" w:rsidRDefault="00CD2C17" w:rsidP="00CD2C17">
            <w:pPr>
              <w:rPr>
                <w:lang w:val="en-IN"/>
              </w:rPr>
            </w:pPr>
            <w:r w:rsidRPr="00CD2C17">
              <w:rPr>
                <w:lang w:val="en-IN"/>
              </w:rPr>
              <w:t>7.1 / 7.1 / 7.1</w:t>
            </w:r>
          </w:p>
        </w:tc>
      </w:tr>
      <w:tr w:rsidR="00CD2C17" w:rsidRPr="00CD2C17" w14:paraId="243C4184" w14:textId="77777777">
        <w:trPr>
          <w:tblCellSpacing w:w="15" w:type="dxa"/>
        </w:trPr>
        <w:tc>
          <w:tcPr>
            <w:tcW w:w="0" w:type="auto"/>
            <w:vAlign w:val="center"/>
            <w:hideMark/>
          </w:tcPr>
          <w:p w14:paraId="6E52D21E" w14:textId="77777777" w:rsidR="00CD2C17" w:rsidRPr="00CD2C17" w:rsidRDefault="00CD2C17" w:rsidP="00CD2C17">
            <w:pPr>
              <w:rPr>
                <w:lang w:val="en-IN"/>
              </w:rPr>
            </w:pPr>
            <w:r w:rsidRPr="00CD2C17">
              <w:rPr>
                <w:lang w:val="en-IN"/>
              </w:rPr>
              <w:t>SCSS</w:t>
            </w:r>
          </w:p>
        </w:tc>
        <w:tc>
          <w:tcPr>
            <w:tcW w:w="0" w:type="auto"/>
            <w:vAlign w:val="center"/>
            <w:hideMark/>
          </w:tcPr>
          <w:p w14:paraId="7A53BA7D" w14:textId="77777777" w:rsidR="00CD2C17" w:rsidRPr="00CD2C17" w:rsidRDefault="00CD2C17" w:rsidP="00CD2C17">
            <w:pPr>
              <w:rPr>
                <w:lang w:val="en-IN"/>
              </w:rPr>
            </w:pPr>
            <w:r w:rsidRPr="00CD2C17">
              <w:rPr>
                <w:lang w:val="en-IN"/>
              </w:rPr>
              <w:t>~8.2%</w:t>
            </w:r>
          </w:p>
        </w:tc>
        <w:tc>
          <w:tcPr>
            <w:tcW w:w="0" w:type="auto"/>
            <w:vAlign w:val="center"/>
            <w:hideMark/>
          </w:tcPr>
          <w:p w14:paraId="79263555" w14:textId="77777777" w:rsidR="00CD2C17" w:rsidRPr="00CD2C17" w:rsidRDefault="00CD2C17" w:rsidP="00CD2C17">
            <w:pPr>
              <w:rPr>
                <w:lang w:val="en-IN"/>
              </w:rPr>
            </w:pPr>
            <w:r w:rsidRPr="00CD2C17">
              <w:rPr>
                <w:lang w:val="en-IN"/>
              </w:rPr>
              <w:t>Interest taxable</w:t>
            </w:r>
          </w:p>
        </w:tc>
        <w:tc>
          <w:tcPr>
            <w:tcW w:w="0" w:type="auto"/>
            <w:vAlign w:val="center"/>
            <w:hideMark/>
          </w:tcPr>
          <w:p w14:paraId="49D8FBAF" w14:textId="77777777" w:rsidR="00CD2C17" w:rsidRPr="00CD2C17" w:rsidRDefault="00CD2C17" w:rsidP="00CD2C17">
            <w:pPr>
              <w:rPr>
                <w:lang w:val="en-IN"/>
              </w:rPr>
            </w:pPr>
            <w:r w:rsidRPr="00CD2C17">
              <w:rPr>
                <w:lang w:val="en-IN"/>
              </w:rPr>
              <w:t>7.38 / 6.56 / 5.74</w:t>
            </w:r>
          </w:p>
        </w:tc>
      </w:tr>
      <w:tr w:rsidR="00CD2C17" w:rsidRPr="00CD2C17" w14:paraId="532C2642" w14:textId="77777777">
        <w:trPr>
          <w:tblCellSpacing w:w="15" w:type="dxa"/>
        </w:trPr>
        <w:tc>
          <w:tcPr>
            <w:tcW w:w="0" w:type="auto"/>
            <w:vAlign w:val="center"/>
            <w:hideMark/>
          </w:tcPr>
          <w:p w14:paraId="36AA2FBC" w14:textId="77777777" w:rsidR="00CD2C17" w:rsidRPr="00CD2C17" w:rsidRDefault="00CD2C17" w:rsidP="00CD2C17">
            <w:pPr>
              <w:rPr>
                <w:lang w:val="en-IN"/>
              </w:rPr>
            </w:pPr>
            <w:r w:rsidRPr="00CD2C17">
              <w:rPr>
                <w:lang w:val="en-IN"/>
              </w:rPr>
              <w:t>NSC</w:t>
            </w:r>
          </w:p>
        </w:tc>
        <w:tc>
          <w:tcPr>
            <w:tcW w:w="0" w:type="auto"/>
            <w:vAlign w:val="center"/>
            <w:hideMark/>
          </w:tcPr>
          <w:p w14:paraId="39F5FD6A" w14:textId="77777777" w:rsidR="00CD2C17" w:rsidRPr="00CD2C17" w:rsidRDefault="00CD2C17" w:rsidP="00CD2C17">
            <w:pPr>
              <w:rPr>
                <w:lang w:val="en-IN"/>
              </w:rPr>
            </w:pPr>
            <w:r w:rsidRPr="00CD2C17">
              <w:rPr>
                <w:lang w:val="en-IN"/>
              </w:rPr>
              <w:t>~7.7%</w:t>
            </w:r>
          </w:p>
        </w:tc>
        <w:tc>
          <w:tcPr>
            <w:tcW w:w="0" w:type="auto"/>
            <w:vAlign w:val="center"/>
            <w:hideMark/>
          </w:tcPr>
          <w:p w14:paraId="2D07953D" w14:textId="77777777" w:rsidR="00CD2C17" w:rsidRPr="00CD2C17" w:rsidRDefault="00CD2C17" w:rsidP="00CD2C17">
            <w:pPr>
              <w:rPr>
                <w:lang w:val="en-IN"/>
              </w:rPr>
            </w:pPr>
            <w:r w:rsidRPr="00CD2C17">
              <w:rPr>
                <w:lang w:val="en-IN"/>
              </w:rPr>
              <w:t>Interest taxable</w:t>
            </w:r>
          </w:p>
        </w:tc>
        <w:tc>
          <w:tcPr>
            <w:tcW w:w="0" w:type="auto"/>
            <w:vAlign w:val="center"/>
            <w:hideMark/>
          </w:tcPr>
          <w:p w14:paraId="16F514D0" w14:textId="77777777" w:rsidR="00CD2C17" w:rsidRPr="00CD2C17" w:rsidRDefault="00CD2C17" w:rsidP="00CD2C17">
            <w:pPr>
              <w:rPr>
                <w:lang w:val="en-IN"/>
              </w:rPr>
            </w:pPr>
            <w:r w:rsidRPr="00CD2C17">
              <w:rPr>
                <w:lang w:val="en-IN"/>
              </w:rPr>
              <w:t>6.93 / 6.16 / 5.39</w:t>
            </w:r>
          </w:p>
        </w:tc>
      </w:tr>
    </w:tbl>
    <w:p w14:paraId="5FC4A2BE" w14:textId="2A9032EF" w:rsidR="00CD2C17" w:rsidRDefault="00CD2C17" w:rsidP="00061BA1">
      <w:pPr>
        <w:pStyle w:val="Heading3"/>
        <w:rPr>
          <w:lang w:val="en-IN"/>
        </w:rPr>
      </w:pPr>
      <w:r w:rsidRPr="00CD2C17">
        <w:rPr>
          <w:lang w:val="en-IN"/>
        </w:rPr>
        <w:t>NPS (National Pension System)</w:t>
      </w:r>
    </w:p>
    <w:p w14:paraId="6325CFF2" w14:textId="6760DA93" w:rsidR="00061BA1" w:rsidRDefault="00061BA1" w:rsidP="00061BA1">
      <w:pPr>
        <w:rPr>
          <w:lang w:val="en-IN"/>
        </w:rPr>
      </w:pPr>
      <w:r>
        <w:rPr>
          <w:lang w:val="en-IN"/>
        </w:rPr>
        <w:t>NPS can serve the need for both equity as well as fixed income investing</w:t>
      </w:r>
      <w:r w:rsidR="007528FA">
        <w:rPr>
          <w:lang w:val="en-IN"/>
        </w:rPr>
        <w:t xml:space="preserve"> since it follows an age-based allocation system.</w:t>
      </w:r>
    </w:p>
    <w:p w14:paraId="3FBD12A4" w14:textId="17B17DC0" w:rsidR="007528FA" w:rsidRDefault="007528FA" w:rsidP="007528FA">
      <w:pPr>
        <w:rPr>
          <w:lang w:val="en-IN"/>
        </w:rPr>
      </w:pPr>
      <w:r>
        <w:rPr>
          <w:lang w:val="en-IN"/>
        </w:rPr>
        <w:t>Some thumb rules:</w:t>
      </w:r>
    </w:p>
    <w:p w14:paraId="1AFC62F2" w14:textId="77777777" w:rsidR="007528FA" w:rsidRDefault="007528FA" w:rsidP="007528FA">
      <w:pPr>
        <w:rPr>
          <w:lang w:val="en-IN"/>
        </w:rPr>
      </w:pPr>
      <w:r>
        <w:rPr>
          <w:lang w:val="en-IN"/>
        </w:rPr>
        <w:t xml:space="preserve">NPS permits investors to choose a level of equity exposure lower than its recommended exposure for the age, but does not permit a higher exposure. Hence, you could also choose a lower exposure to equity within NPS </w:t>
      </w:r>
      <w:r>
        <w:rPr>
          <w:lang w:val="en-IN"/>
        </w:rPr>
        <w:t>to reach your optimum allocation.</w:t>
      </w:r>
    </w:p>
    <w:p w14:paraId="58793383" w14:textId="02D18B7A" w:rsidR="00CD2C17" w:rsidRPr="00CD2C17" w:rsidRDefault="007528FA" w:rsidP="007528FA">
      <w:pPr>
        <w:rPr>
          <w:lang w:val="en-IN"/>
        </w:rPr>
      </w:pPr>
      <w:r>
        <w:rPr>
          <w:lang w:val="en-IN"/>
        </w:rPr>
        <w:t xml:space="preserve">If NPS allocation to </w:t>
      </w:r>
      <w:r>
        <w:rPr>
          <w:lang w:val="en-IN"/>
        </w:rPr>
        <w:t>debt</w:t>
      </w:r>
      <w:r>
        <w:rPr>
          <w:lang w:val="en-IN"/>
        </w:rPr>
        <w:t xml:space="preserve"> is </w:t>
      </w:r>
      <w:r>
        <w:rPr>
          <w:lang w:val="en-IN"/>
        </w:rPr>
        <w:t>higher</w:t>
      </w:r>
      <w:r>
        <w:rPr>
          <w:lang w:val="en-IN"/>
        </w:rPr>
        <w:t xml:space="preserve"> than your preference, choose equity funds</w:t>
      </w:r>
      <w:r>
        <w:rPr>
          <w:lang w:val="en-IN"/>
        </w:rPr>
        <w:t xml:space="preserve"> outside NPS</w:t>
      </w:r>
      <w:r>
        <w:rPr>
          <w:lang w:val="en-IN"/>
        </w:rPr>
        <w:t xml:space="preserve"> to get a higher exposure than provided by NPS.</w:t>
      </w:r>
    </w:p>
    <w:p w14:paraId="3CBA1CBB" w14:textId="77777777" w:rsidR="00CD2C17" w:rsidRPr="00CD2C17" w:rsidRDefault="00000000" w:rsidP="00CD2C17">
      <w:pPr>
        <w:rPr>
          <w:lang w:val="en-IN"/>
        </w:rPr>
      </w:pPr>
      <w:r>
        <w:rPr>
          <w:lang w:val="en-IN"/>
        </w:rPr>
        <w:pict w14:anchorId="5E158E01">
          <v:rect id="_x0000_i1030" style="width:0;height:1.5pt" o:hralign="center" o:hrstd="t" o:hr="t" fillcolor="#a0a0a0" stroked="f"/>
        </w:pict>
      </w:r>
    </w:p>
    <w:p w14:paraId="59E066AF" w14:textId="14BB9063" w:rsidR="00CD2C17" w:rsidRPr="00CD2C17" w:rsidRDefault="004603A1" w:rsidP="004603A1">
      <w:pPr>
        <w:pStyle w:val="Heading2"/>
        <w:rPr>
          <w:lang w:val="en-IN"/>
        </w:rPr>
      </w:pPr>
      <w:r>
        <w:rPr>
          <w:lang w:val="en-IN"/>
        </w:rPr>
        <w:t xml:space="preserve">Step 6 – </w:t>
      </w:r>
      <w:r w:rsidR="00CD2C17" w:rsidRPr="00CD2C17">
        <w:rPr>
          <w:lang w:val="en-IN"/>
        </w:rPr>
        <w:t>Ongoing</w:t>
      </w:r>
    </w:p>
    <w:p w14:paraId="1A6DC7BB" w14:textId="77777777" w:rsidR="004603A1" w:rsidRDefault="004603A1" w:rsidP="004603A1">
      <w:pPr>
        <w:rPr>
          <w:lang w:val="en-IN"/>
        </w:rPr>
      </w:pPr>
      <w:r>
        <w:rPr>
          <w:lang w:val="en-IN"/>
        </w:rPr>
        <w:t>E</w:t>
      </w:r>
      <w:r w:rsidRPr="004603A1">
        <w:rPr>
          <w:lang w:val="en-IN"/>
        </w:rPr>
        <w:t>nsure that tax implications are factored in</w:t>
      </w:r>
      <w:r>
        <w:rPr>
          <w:lang w:val="en-IN"/>
        </w:rPr>
        <w:t>, at the time of investment, on the income that is generated, and on liquidation or encashment.</w:t>
      </w:r>
    </w:p>
    <w:p w14:paraId="10D02F21" w14:textId="0F94468E" w:rsidR="00CD2C17" w:rsidRDefault="00CD2C17" w:rsidP="00CD2C17">
      <w:pPr>
        <w:rPr>
          <w:lang w:val="en-IN"/>
        </w:rPr>
      </w:pPr>
      <w:r w:rsidRPr="00CD2C17">
        <w:rPr>
          <w:lang w:val="en-IN"/>
        </w:rPr>
        <w:t>Review allocation</w:t>
      </w:r>
      <w:r w:rsidR="004603A1">
        <w:rPr>
          <w:lang w:val="en-IN"/>
        </w:rPr>
        <w:t xml:space="preserve"> and investments periodically, but at least annually, and </w:t>
      </w:r>
      <w:r w:rsidRPr="00CD2C17">
        <w:rPr>
          <w:lang w:val="en-IN"/>
        </w:rPr>
        <w:t>rebalance. Market fluctuations may cause deviations.</w:t>
      </w:r>
    </w:p>
    <w:p w14:paraId="71E73845" w14:textId="227F5ECD" w:rsidR="004603A1" w:rsidRPr="00CD2C17" w:rsidRDefault="004603A1" w:rsidP="00CD2C17">
      <w:pPr>
        <w:rPr>
          <w:lang w:val="en-IN"/>
        </w:rPr>
      </w:pPr>
      <w:r>
        <w:rPr>
          <w:lang w:val="en-IN"/>
        </w:rPr>
        <w:t xml:space="preserve">At any point of time, do not hesitate to reach out to an expert for guidance. </w:t>
      </w:r>
      <w:r w:rsidR="007528FA">
        <w:rPr>
          <w:lang w:val="en-IN"/>
        </w:rPr>
        <w:t xml:space="preserve">You can </w:t>
      </w:r>
      <w:r w:rsidR="007528FA">
        <w:rPr>
          <w:lang w:val="en-IN"/>
        </w:rPr>
        <w:t xml:space="preserve">reach the </w:t>
      </w:r>
      <w:proofErr w:type="spellStart"/>
      <w:r w:rsidR="007528FA">
        <w:rPr>
          <w:lang w:val="en-IN"/>
        </w:rPr>
        <w:t>Dhanopinion</w:t>
      </w:r>
      <w:proofErr w:type="spellEnd"/>
      <w:r w:rsidR="007528FA">
        <w:rPr>
          <w:lang w:val="en-IN"/>
        </w:rPr>
        <w:t xml:space="preserve"> investment advisors at </w:t>
      </w:r>
      <w:r w:rsidR="007528FA">
        <w:rPr>
          <w:lang w:val="en-IN"/>
        </w:rPr>
        <w:t>contact@dhanopinion.com</w:t>
      </w:r>
      <w:r w:rsidR="007528FA">
        <w:rPr>
          <w:lang w:val="en-IN"/>
        </w:rPr>
        <w:t>.</w:t>
      </w:r>
    </w:p>
    <w:p w14:paraId="380DA69A" w14:textId="77777777" w:rsidR="00CD2C17" w:rsidRPr="00CD2C17" w:rsidRDefault="00000000" w:rsidP="00CD2C17">
      <w:pPr>
        <w:rPr>
          <w:lang w:val="en-IN"/>
        </w:rPr>
      </w:pPr>
      <w:r>
        <w:rPr>
          <w:lang w:val="en-IN"/>
        </w:rPr>
        <w:pict w14:anchorId="5E44382E">
          <v:rect id="_x0000_i1033" style="width:0;height:1.5pt" o:hralign="center" o:hrstd="t" o:hr="t" fillcolor="#a0a0a0" stroked="f"/>
        </w:pict>
      </w:r>
    </w:p>
    <w:p w14:paraId="093E7F86" w14:textId="77777777" w:rsidR="00CD2C17" w:rsidRPr="00CD2C17" w:rsidRDefault="00CD2C17">
      <w:pPr>
        <w:rPr>
          <w:lang w:val="en-IN"/>
        </w:rPr>
      </w:pPr>
    </w:p>
    <w:sectPr w:rsidR="00CD2C17" w:rsidRPr="00CD2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2D5"/>
    <w:multiLevelType w:val="multilevel"/>
    <w:tmpl w:val="AF1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E1C"/>
    <w:multiLevelType w:val="hybridMultilevel"/>
    <w:tmpl w:val="AC1052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AD6719E"/>
    <w:multiLevelType w:val="hybridMultilevel"/>
    <w:tmpl w:val="F78093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E1D33C2"/>
    <w:multiLevelType w:val="multilevel"/>
    <w:tmpl w:val="8E1C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0649B"/>
    <w:multiLevelType w:val="multilevel"/>
    <w:tmpl w:val="A07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7514D"/>
    <w:multiLevelType w:val="multilevel"/>
    <w:tmpl w:val="902C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26193"/>
    <w:multiLevelType w:val="multilevel"/>
    <w:tmpl w:val="040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A339A"/>
    <w:multiLevelType w:val="hybridMultilevel"/>
    <w:tmpl w:val="8E2EDC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BB035F8"/>
    <w:multiLevelType w:val="hybridMultilevel"/>
    <w:tmpl w:val="5D8AF87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FDD66BE"/>
    <w:multiLevelType w:val="multilevel"/>
    <w:tmpl w:val="9BE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35B1B"/>
    <w:multiLevelType w:val="multilevel"/>
    <w:tmpl w:val="C58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C6F49"/>
    <w:multiLevelType w:val="hybridMultilevel"/>
    <w:tmpl w:val="12DCC2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471683F"/>
    <w:multiLevelType w:val="multilevel"/>
    <w:tmpl w:val="301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95D6A"/>
    <w:multiLevelType w:val="hybridMultilevel"/>
    <w:tmpl w:val="05A255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6525FDA"/>
    <w:multiLevelType w:val="hybridMultilevel"/>
    <w:tmpl w:val="10D4E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BC17C8"/>
    <w:multiLevelType w:val="multilevel"/>
    <w:tmpl w:val="EEE0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C6B2C"/>
    <w:multiLevelType w:val="multilevel"/>
    <w:tmpl w:val="A7B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42262A"/>
    <w:multiLevelType w:val="multilevel"/>
    <w:tmpl w:val="C2C0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45588">
    <w:abstractNumId w:val="10"/>
  </w:num>
  <w:num w:numId="2" w16cid:durableId="1139542136">
    <w:abstractNumId w:val="4"/>
  </w:num>
  <w:num w:numId="3" w16cid:durableId="1088381094">
    <w:abstractNumId w:val="0"/>
  </w:num>
  <w:num w:numId="4" w16cid:durableId="1581988705">
    <w:abstractNumId w:val="5"/>
  </w:num>
  <w:num w:numId="5" w16cid:durableId="437061598">
    <w:abstractNumId w:val="9"/>
  </w:num>
  <w:num w:numId="6" w16cid:durableId="1735202113">
    <w:abstractNumId w:val="16"/>
  </w:num>
  <w:num w:numId="7" w16cid:durableId="857308849">
    <w:abstractNumId w:val="12"/>
  </w:num>
  <w:num w:numId="8" w16cid:durableId="241452146">
    <w:abstractNumId w:val="6"/>
  </w:num>
  <w:num w:numId="9" w16cid:durableId="1749687599">
    <w:abstractNumId w:val="17"/>
  </w:num>
  <w:num w:numId="10" w16cid:durableId="1149713622">
    <w:abstractNumId w:val="15"/>
  </w:num>
  <w:num w:numId="11" w16cid:durableId="1165125250">
    <w:abstractNumId w:val="3"/>
  </w:num>
  <w:num w:numId="12" w16cid:durableId="761875922">
    <w:abstractNumId w:val="7"/>
  </w:num>
  <w:num w:numId="13" w16cid:durableId="1233151814">
    <w:abstractNumId w:val="8"/>
  </w:num>
  <w:num w:numId="14" w16cid:durableId="1830827184">
    <w:abstractNumId w:val="2"/>
  </w:num>
  <w:num w:numId="15" w16cid:durableId="1407453459">
    <w:abstractNumId w:val="13"/>
  </w:num>
  <w:num w:numId="16" w16cid:durableId="167140783">
    <w:abstractNumId w:val="14"/>
  </w:num>
  <w:num w:numId="17" w16cid:durableId="809131115">
    <w:abstractNumId w:val="11"/>
  </w:num>
  <w:num w:numId="18" w16cid:durableId="502205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17"/>
    <w:rsid w:val="00061BA1"/>
    <w:rsid w:val="00094FE9"/>
    <w:rsid w:val="000F30A1"/>
    <w:rsid w:val="000F688B"/>
    <w:rsid w:val="001F43B5"/>
    <w:rsid w:val="00202F1A"/>
    <w:rsid w:val="002D7EFA"/>
    <w:rsid w:val="003F38ED"/>
    <w:rsid w:val="004030C9"/>
    <w:rsid w:val="00416A92"/>
    <w:rsid w:val="004453D9"/>
    <w:rsid w:val="0045716F"/>
    <w:rsid w:val="004603A1"/>
    <w:rsid w:val="00467E35"/>
    <w:rsid w:val="004A30D6"/>
    <w:rsid w:val="00514CAA"/>
    <w:rsid w:val="00527AD9"/>
    <w:rsid w:val="0056381A"/>
    <w:rsid w:val="0059743B"/>
    <w:rsid w:val="005B5513"/>
    <w:rsid w:val="00602F23"/>
    <w:rsid w:val="006E4BEC"/>
    <w:rsid w:val="00746B53"/>
    <w:rsid w:val="007528FA"/>
    <w:rsid w:val="007769BD"/>
    <w:rsid w:val="007B0384"/>
    <w:rsid w:val="00846F04"/>
    <w:rsid w:val="008B199A"/>
    <w:rsid w:val="008C4356"/>
    <w:rsid w:val="009A4772"/>
    <w:rsid w:val="009A48FB"/>
    <w:rsid w:val="00A16A66"/>
    <w:rsid w:val="00A24432"/>
    <w:rsid w:val="00A323C4"/>
    <w:rsid w:val="00A90FD9"/>
    <w:rsid w:val="00B353A1"/>
    <w:rsid w:val="00B57736"/>
    <w:rsid w:val="00BC7E20"/>
    <w:rsid w:val="00BE4596"/>
    <w:rsid w:val="00BF102D"/>
    <w:rsid w:val="00CD03E5"/>
    <w:rsid w:val="00CD2C17"/>
    <w:rsid w:val="00CE14BA"/>
    <w:rsid w:val="00D801E0"/>
    <w:rsid w:val="00D919DE"/>
    <w:rsid w:val="00E85ACD"/>
    <w:rsid w:val="00ED0BD0"/>
    <w:rsid w:val="00EF5B4D"/>
    <w:rsid w:val="00F07F76"/>
    <w:rsid w:val="00F20DC6"/>
    <w:rsid w:val="00F65771"/>
    <w:rsid w:val="00FA0D8E"/>
    <w:rsid w:val="00FE4D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C104"/>
  <w15:chartTrackingRefBased/>
  <w15:docId w15:val="{E58C9483-DD0F-44BD-9B0C-66FF6CE7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0F688B"/>
    <w:pPr>
      <w:widowControl w:val="0"/>
      <w:autoSpaceDE w:val="0"/>
      <w:autoSpaceDN w:val="0"/>
      <w:spacing w:before="91" w:after="0" w:line="249" w:lineRule="auto"/>
      <w:ind w:right="664"/>
      <w:jc w:val="both"/>
      <w:outlineLvl w:val="0"/>
    </w:pPr>
    <w:rPr>
      <w:rFonts w:ascii="Arial" w:eastAsia="Arial" w:hAnsi="Arial" w:cs="Arial"/>
      <w:b/>
      <w:bCs/>
      <w:kern w:val="0"/>
      <w:sz w:val="32"/>
      <w:szCs w:val="32"/>
      <w:lang w:val="en-AU" w:eastAsia="en-AU" w:bidi="en-AU"/>
      <w14:ligatures w14:val="none"/>
    </w:rPr>
  </w:style>
  <w:style w:type="paragraph" w:styleId="Heading2">
    <w:name w:val="heading 2"/>
    <w:basedOn w:val="Normal"/>
    <w:next w:val="Normal"/>
    <w:link w:val="Heading2Char"/>
    <w:uiPriority w:val="9"/>
    <w:unhideWhenUsed/>
    <w:qFormat/>
    <w:rsid w:val="00CD2C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2C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C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C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88B"/>
    <w:rPr>
      <w:rFonts w:ascii="Arial" w:eastAsia="Arial" w:hAnsi="Arial" w:cs="Arial"/>
      <w:b/>
      <w:bCs/>
      <w:kern w:val="0"/>
      <w:sz w:val="32"/>
      <w:szCs w:val="32"/>
      <w:lang w:val="en-AU" w:eastAsia="en-AU" w:bidi="en-AU"/>
      <w14:ligatures w14:val="none"/>
    </w:rPr>
  </w:style>
  <w:style w:type="character" w:customStyle="1" w:styleId="Heading2Char">
    <w:name w:val="Heading 2 Char"/>
    <w:basedOn w:val="DefaultParagraphFont"/>
    <w:link w:val="Heading2"/>
    <w:uiPriority w:val="9"/>
    <w:rsid w:val="00CD2C17"/>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CD2C17"/>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D2C17"/>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CD2C17"/>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CD2C1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D2C1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D2C1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D2C1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D2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C1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D2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C1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D2C17"/>
    <w:pPr>
      <w:spacing w:before="160"/>
      <w:jc w:val="center"/>
    </w:pPr>
    <w:rPr>
      <w:i/>
      <w:iCs/>
      <w:color w:val="404040" w:themeColor="text1" w:themeTint="BF"/>
    </w:rPr>
  </w:style>
  <w:style w:type="character" w:customStyle="1" w:styleId="QuoteChar">
    <w:name w:val="Quote Char"/>
    <w:basedOn w:val="DefaultParagraphFont"/>
    <w:link w:val="Quote"/>
    <w:uiPriority w:val="29"/>
    <w:rsid w:val="00CD2C17"/>
    <w:rPr>
      <w:i/>
      <w:iCs/>
      <w:color w:val="404040" w:themeColor="text1" w:themeTint="BF"/>
      <w:lang w:val="en-US"/>
    </w:rPr>
  </w:style>
  <w:style w:type="paragraph" w:styleId="ListParagraph">
    <w:name w:val="List Paragraph"/>
    <w:basedOn w:val="Normal"/>
    <w:uiPriority w:val="34"/>
    <w:qFormat/>
    <w:rsid w:val="00CD2C17"/>
    <w:pPr>
      <w:ind w:left="720"/>
      <w:contextualSpacing/>
    </w:pPr>
  </w:style>
  <w:style w:type="character" w:styleId="IntenseEmphasis">
    <w:name w:val="Intense Emphasis"/>
    <w:basedOn w:val="DefaultParagraphFont"/>
    <w:uiPriority w:val="21"/>
    <w:qFormat/>
    <w:rsid w:val="00CD2C17"/>
    <w:rPr>
      <w:i/>
      <w:iCs/>
      <w:color w:val="2F5496" w:themeColor="accent1" w:themeShade="BF"/>
    </w:rPr>
  </w:style>
  <w:style w:type="paragraph" w:styleId="IntenseQuote">
    <w:name w:val="Intense Quote"/>
    <w:basedOn w:val="Normal"/>
    <w:next w:val="Normal"/>
    <w:link w:val="IntenseQuoteChar"/>
    <w:uiPriority w:val="30"/>
    <w:qFormat/>
    <w:rsid w:val="00CD2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C17"/>
    <w:rPr>
      <w:i/>
      <w:iCs/>
      <w:color w:val="2F5496" w:themeColor="accent1" w:themeShade="BF"/>
      <w:lang w:val="en-US"/>
    </w:rPr>
  </w:style>
  <w:style w:type="character" w:styleId="IntenseReference">
    <w:name w:val="Intense Reference"/>
    <w:basedOn w:val="DefaultParagraphFont"/>
    <w:uiPriority w:val="32"/>
    <w:qFormat/>
    <w:rsid w:val="00CD2C17"/>
    <w:rPr>
      <w:b/>
      <w:bCs/>
      <w:smallCaps/>
      <w:color w:val="2F5496" w:themeColor="accent1" w:themeShade="BF"/>
      <w:spacing w:val="5"/>
    </w:rPr>
  </w:style>
  <w:style w:type="character" w:styleId="Hyperlink">
    <w:name w:val="Hyperlink"/>
    <w:basedOn w:val="DefaultParagraphFont"/>
    <w:uiPriority w:val="99"/>
    <w:unhideWhenUsed/>
    <w:rsid w:val="00CD2C17"/>
    <w:rPr>
      <w:color w:val="0563C1" w:themeColor="hyperlink"/>
      <w:u w:val="single"/>
    </w:rPr>
  </w:style>
  <w:style w:type="character" w:styleId="UnresolvedMention">
    <w:name w:val="Unresolved Mention"/>
    <w:basedOn w:val="DefaultParagraphFont"/>
    <w:uiPriority w:val="99"/>
    <w:semiHidden/>
    <w:unhideWhenUsed/>
    <w:rsid w:val="00CD2C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3067</TotalTime>
  <Pages>4</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Mithal</dc:creator>
  <cp:keywords/>
  <dc:description/>
  <cp:lastModifiedBy>Ankur Mithal</cp:lastModifiedBy>
  <cp:revision>23</cp:revision>
  <dcterms:created xsi:type="dcterms:W3CDTF">2026-04-25T08:13:00Z</dcterms:created>
  <dcterms:modified xsi:type="dcterms:W3CDTF">2026-04-27T13:42:00Z</dcterms:modified>
</cp:coreProperties>
</file>