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jc w:val="center"/>
      </w:pPr>
      <w:r>
        <w:rPr>
          <w:rFonts w:ascii="黑体" w:hAnsi="黑体" w:eastAsia="黑体"/>
          <w:b/>
          <w:sz w:val="52"/>
        </w:rPr>
        <w:t>“主观明知”AI辅助分析系统</w:t>
        <w:br/>
        <w:t>实证研究报告</w:t>
      </w:r>
    </w:p>
    <w:p/>
    <w:p>
      <w:pPr>
        <w:jc w:val="center"/>
      </w:pPr>
      <w:r>
        <w:rPr>
          <w:rFonts w:ascii="宋体" w:hAnsi="宋体" w:eastAsia="宋体"/>
          <w:sz w:val="32"/>
        </w:rPr>
        <w:t>——AI辅助分析对司法人员“主观明知”认定一致性影响的回溯性对比实验</w:t>
      </w:r>
    </w:p>
    <w:p/>
    <w:p/>
    <w:p/>
    <w:p/>
    <w:p>
      <w:pPr>
        <w:jc w:val="center"/>
      </w:pPr>
      <w:r>
        <w:rPr>
          <w:rFonts w:ascii="宋体" w:hAnsi="宋体" w:eastAsia="宋体"/>
          <w:sz w:val="28"/>
        </w:rPr>
        <w:t>报告版本：V1.0</w:t>
      </w:r>
    </w:p>
    <w:p>
      <w:pPr>
        <w:jc w:val="center"/>
      </w:pPr>
      <w:r>
        <w:rPr>
          <w:rFonts w:ascii="宋体" w:hAnsi="宋体" w:eastAsia="宋体"/>
          <w:sz w:val="28"/>
        </w:rPr>
        <w:t>编制日期：2026年5月24日</w:t>
      </w:r>
    </w:p>
    <w:p>
      <w:pPr>
        <w:jc w:val="center"/>
      </w:pPr>
      <w:r>
        <w:rPr>
          <w:rFonts w:ascii="宋体" w:hAnsi="宋体" w:eastAsia="宋体"/>
          <w:sz w:val="28"/>
        </w:rPr>
        <w:t>数据来源：25件已审结帮信罪案件 + 20名司法人员实验数据</w:t>
      </w:r>
    </w:p>
    <w:p>
      <w:r>
        <w:br w:type="page"/>
      </w:r>
    </w:p>
    <w:p>
      <w:pPr>
        <w:jc w:val="center"/>
      </w:pPr>
      <w:r>
        <w:rPr>
          <w:rFonts w:ascii="黑体" w:hAnsi="黑体" w:eastAsia="黑体"/>
          <w:b/>
          <w:sz w:val="36"/>
        </w:rPr>
        <w:t>目  录</w:t>
      </w:r>
    </w:p>
    <w:p/>
    <w:p>
      <w:r>
        <w:rPr>
          <w:rFonts w:ascii="宋体" w:hAnsi="宋体" w:eastAsia="宋体"/>
          <w:sz w:val="24"/>
        </w:rPr>
        <w:t>摘要</w:t>
      </w:r>
    </w:p>
    <w:p>
      <w:r>
        <w:rPr>
          <w:rFonts w:ascii="宋体" w:hAnsi="宋体" w:eastAsia="宋体"/>
          <w:sz w:val="24"/>
        </w:rPr>
        <w:t>1 引言</w:t>
      </w:r>
    </w:p>
    <w:p>
      <w:r>
        <w:rPr>
          <w:rFonts w:ascii="宋体" w:hAnsi="宋体" w:eastAsia="宋体"/>
          <w:sz w:val="24"/>
        </w:rPr>
        <w:t xml:space="preserve">  1.1 研究背景与问题提出</w:t>
      </w:r>
    </w:p>
    <w:p>
      <w:r>
        <w:rPr>
          <w:rFonts w:ascii="宋体" w:hAnsi="宋体" w:eastAsia="宋体"/>
          <w:sz w:val="24"/>
        </w:rPr>
        <w:t xml:space="preserve">  1.2 国内外研究现状</w:t>
      </w:r>
    </w:p>
    <w:p>
      <w:r>
        <w:rPr>
          <w:rFonts w:ascii="宋体" w:hAnsi="宋体" w:eastAsia="宋体"/>
          <w:sz w:val="24"/>
        </w:rPr>
        <w:t xml:space="preserve">  1.3 研究意义与创新点</w:t>
      </w:r>
    </w:p>
    <w:p>
      <w:r>
        <w:rPr>
          <w:rFonts w:ascii="宋体" w:hAnsi="宋体" w:eastAsia="宋体"/>
          <w:sz w:val="24"/>
        </w:rPr>
        <w:t>2 研究方法</w:t>
      </w:r>
    </w:p>
    <w:p>
      <w:r>
        <w:rPr>
          <w:rFonts w:ascii="宋体" w:hAnsi="宋体" w:eastAsia="宋体"/>
          <w:sz w:val="24"/>
        </w:rPr>
        <w:t xml:space="preserve">  2.1 实验设计</w:t>
      </w:r>
    </w:p>
    <w:p>
      <w:r>
        <w:rPr>
          <w:rFonts w:ascii="宋体" w:hAnsi="宋体" w:eastAsia="宋体"/>
          <w:sz w:val="24"/>
        </w:rPr>
        <w:t xml:space="preserve">  2.2 参与者</w:t>
      </w:r>
    </w:p>
    <w:p>
      <w:r>
        <w:rPr>
          <w:rFonts w:ascii="宋体" w:hAnsi="宋体" w:eastAsia="宋体"/>
          <w:sz w:val="24"/>
        </w:rPr>
        <w:t xml:space="preserve">  2.3 实验材料与工具</w:t>
      </w:r>
    </w:p>
    <w:p>
      <w:r>
        <w:rPr>
          <w:rFonts w:ascii="宋体" w:hAnsi="宋体" w:eastAsia="宋体"/>
          <w:sz w:val="24"/>
        </w:rPr>
        <w:t xml:space="preserve">  2.4 实验流程</w:t>
      </w:r>
    </w:p>
    <w:p>
      <w:r>
        <w:rPr>
          <w:rFonts w:ascii="宋体" w:hAnsi="宋体" w:eastAsia="宋体"/>
          <w:sz w:val="24"/>
        </w:rPr>
        <w:t xml:space="preserve">  2.5 数据分析方法</w:t>
      </w:r>
    </w:p>
    <w:p>
      <w:r>
        <w:rPr>
          <w:rFonts w:ascii="宋体" w:hAnsi="宋体" w:eastAsia="宋体"/>
          <w:sz w:val="24"/>
        </w:rPr>
        <w:t>3 研究结果</w:t>
      </w:r>
    </w:p>
    <w:p>
      <w:r>
        <w:rPr>
          <w:rFonts w:ascii="宋体" w:hAnsi="宋体" w:eastAsia="宋体"/>
          <w:sz w:val="24"/>
        </w:rPr>
        <w:t xml:space="preserve">  3.1 描述性统计结果</w:t>
      </w:r>
    </w:p>
    <w:p>
      <w:r>
        <w:rPr>
          <w:rFonts w:ascii="宋体" w:hAnsi="宋体" w:eastAsia="宋体"/>
          <w:sz w:val="24"/>
        </w:rPr>
        <w:t xml:space="preserve">  3.2 认定一致性分析</w:t>
      </w:r>
    </w:p>
    <w:p>
      <w:r>
        <w:rPr>
          <w:rFonts w:ascii="宋体" w:hAnsi="宋体" w:eastAsia="宋体"/>
          <w:sz w:val="24"/>
        </w:rPr>
        <w:t xml:space="preserve">  3.3 耗时差异分析</w:t>
      </w:r>
    </w:p>
    <w:p>
      <w:r>
        <w:rPr>
          <w:rFonts w:ascii="宋体" w:hAnsi="宋体" w:eastAsia="宋体"/>
          <w:sz w:val="24"/>
        </w:rPr>
        <w:t xml:space="preserve">  3.4 AI与判决一致率</w:t>
      </w:r>
    </w:p>
    <w:p>
      <w:r>
        <w:rPr>
          <w:rFonts w:ascii="宋体" w:hAnsi="宋体" w:eastAsia="宋体"/>
          <w:sz w:val="24"/>
        </w:rPr>
        <w:t xml:space="preserve">  3.5 不一致案例分析</w:t>
      </w:r>
    </w:p>
    <w:p>
      <w:r>
        <w:rPr>
          <w:rFonts w:ascii="宋体" w:hAnsi="宋体" w:eastAsia="宋体"/>
          <w:sz w:val="24"/>
        </w:rPr>
        <w:t>4 讨论与结论</w:t>
      </w:r>
    </w:p>
    <w:p>
      <w:r>
        <w:rPr>
          <w:rFonts w:ascii="宋体" w:hAnsi="宋体" w:eastAsia="宋体"/>
          <w:sz w:val="24"/>
        </w:rPr>
        <w:t xml:space="preserve">  4.1 结果的理论内涵分析</w:t>
      </w:r>
    </w:p>
    <w:p>
      <w:r>
        <w:rPr>
          <w:rFonts w:ascii="宋体" w:hAnsi="宋体" w:eastAsia="宋体"/>
          <w:sz w:val="24"/>
        </w:rPr>
        <w:t xml:space="preserve">  4.2 理论贡献与实践应用价值</w:t>
      </w:r>
    </w:p>
    <w:p>
      <w:r>
        <w:rPr>
          <w:rFonts w:ascii="宋体" w:hAnsi="宋体" w:eastAsia="宋体"/>
          <w:sz w:val="24"/>
        </w:rPr>
        <w:t xml:space="preserve">  4.3 研究局限性</w:t>
      </w:r>
    </w:p>
    <w:p>
      <w:r>
        <w:rPr>
          <w:rFonts w:ascii="宋体" w:hAnsi="宋体" w:eastAsia="宋体"/>
          <w:sz w:val="24"/>
        </w:rPr>
        <w:t xml:space="preserve">  4.4 未来研究方向</w:t>
      </w:r>
    </w:p>
    <w:p>
      <w:r>
        <w:rPr>
          <w:rFonts w:ascii="宋体" w:hAnsi="宋体" w:eastAsia="宋体"/>
          <w:sz w:val="24"/>
        </w:rPr>
        <w:t>参考文献</w:t>
      </w:r>
    </w:p>
    <w:p>
      <w:r>
        <w:rPr>
          <w:rFonts w:ascii="宋体" w:hAnsi="宋体" w:eastAsia="宋体"/>
          <w:sz w:val="24"/>
        </w:rPr>
        <w:t>附录</w:t>
      </w:r>
    </w:p>
    <w:p>
      <w:r>
        <w:br w:type="page"/>
      </w:r>
    </w:p>
    <w:p>
      <w:pPr>
        <w:pStyle w:val="Heading1"/>
      </w:pPr>
      <w:r>
        <w:rPr>
          <w:rFonts w:ascii="黑体" w:hAnsi="黑体" w:eastAsia="黑体"/>
        </w:rPr>
        <w:t>摘要</w:t>
      </w:r>
    </w:p>
    <w:p>
      <w:pPr>
        <w:spacing w:line="440" w:lineRule="exact"/>
        <w:ind w:firstLine="480"/>
      </w:pPr>
      <w:r>
        <w:rPr>
          <w:rFonts w:ascii="宋体" w:hAnsi="宋体" w:eastAsia="宋体"/>
          <w:sz w:val="24"/>
        </w:rPr>
        <w:t>“主观明知”的认定是帮助信息网络犯罪活动罪司法实践中的核心难题，不同司法人员对同一案件事实的认定结果常存在显著差异，影响司法公信力。</w:t>
      </w:r>
    </w:p>
    <w:p>
      <w:pPr>
        <w:spacing w:line="440" w:lineRule="exact"/>
        <w:ind w:firstLine="480"/>
      </w:pPr>
      <w:r>
        <w:rPr>
          <w:rFonts w:ascii="宋体" w:hAnsi="宋体" w:eastAsia="宋体"/>
          <w:sz w:val="24"/>
        </w:rPr>
        <w:t>本研究基于回溯性对比实验设计，系统评估AI辅助分析系统对司法人员认定“主观明知”的一致性和效率的影响。</w:t>
      </w:r>
    </w:p>
    <w:p>
      <w:pPr>
        <w:spacing w:line="440" w:lineRule="exact"/>
        <w:ind w:firstLine="480"/>
      </w:pPr>
      <w:r>
        <w:rPr>
          <w:rFonts w:ascii="宋体" w:hAnsi="宋体" w:eastAsia="宋体"/>
          <w:sz w:val="24"/>
        </w:rPr>
        <w:t>实验选取25件已审结的帮助信息网络犯罪活动罪案件，招募20名具有2年以上刑事办案经验的司法人员，随机分配至对照组（A组，n=10）和实验组（B组，n=10），分别在不使用和使用AI辅助分析系统的条件下对案件进行{Q("主观明知")}认定判断。</w:t>
      </w:r>
    </w:p>
    <w:p>
      <w:pPr>
        <w:spacing w:line="440" w:lineRule="exact"/>
        <w:ind w:firstLine="480"/>
      </w:pPr>
      <w:r>
        <w:rPr>
          <w:rFonts w:ascii="宋体" w:hAnsi="宋体" w:eastAsia="宋体"/>
          <w:sz w:val="24"/>
        </w:rPr>
        <w:t>研究采用Cohen's Kappa系数评估组内一致性，采用Welch's t检验比较两组耗时差异，并计算AI分析结论与法院生效判决的一致率。</w:t>
      </w:r>
    </w:p>
    <w:p>
      <w:pPr>
        <w:spacing w:line="440" w:lineRule="exact"/>
        <w:ind w:firstLine="480"/>
      </w:pPr>
      <w:r>
        <w:rPr>
          <w:rFonts w:ascii="宋体" w:hAnsi="宋体" w:eastAsia="宋体"/>
          <w:sz w:val="24"/>
        </w:rPr>
        <w:t>结果显示：（1）B组组内Kappa系数为0.54，显著高于A组的0.26（提升111.6%），表明AI辅助分析能有效提升认定一致性；</w:t>
      </w:r>
    </w:p>
    <w:p>
      <w:pPr>
        <w:spacing w:line="440" w:lineRule="exact"/>
        <w:ind w:firstLine="480"/>
      </w:pPr>
      <w:r>
        <w:rPr>
          <w:rFonts w:ascii="宋体" w:hAnsi="宋体" w:eastAsia="宋体"/>
          <w:sz w:val="24"/>
        </w:rPr>
        <w:t>（2）B组平均耗时（9.74±3.71 min）显著低于A组（17.42±5.89 min），t(431.83)=17.45，P&lt;0.001，Cohen's d=1.56，效应量巨大；</w:t>
      </w:r>
    </w:p>
    <w:p>
      <w:pPr>
        <w:spacing w:line="440" w:lineRule="exact"/>
        <w:ind w:firstLine="480"/>
      </w:pPr>
      <w:r>
        <w:rPr>
          <w:rFonts w:ascii="宋体" w:hAnsi="宋体" w:eastAsia="宋体"/>
          <w:sz w:val="24"/>
        </w:rPr>
        <w:t>（3）AI分析结论与法院判决的一致率达88.0%，其中简单案件一致率92.9%，困难案件一致率80.0%。</w:t>
      </w:r>
    </w:p>
    <w:p>
      <w:pPr>
        <w:spacing w:line="440" w:lineRule="exact"/>
        <w:ind w:firstLine="480"/>
      </w:pPr>
      <w:r>
        <w:rPr>
          <w:rFonts w:ascii="宋体" w:hAnsi="宋体" w:eastAsia="宋体"/>
          <w:sz w:val="24"/>
        </w:rPr>
        <w:t>研究表明，AI辅助分析系统能显著提升“主观明知”认定的一致性和效率，具有良好的应用前景。</w:t>
      </w:r>
    </w:p>
    <w:p>
      <w:r>
        <w:rPr>
          <w:rFonts w:ascii="宋体" w:hAnsi="宋体" w:eastAsia="宋体"/>
          <w:b/>
          <w:sz w:val="24"/>
        </w:rPr>
        <w:t>关键词：</w:t>
      </w:r>
      <w:r>
        <w:rPr>
          <w:rFonts w:ascii="宋体" w:hAnsi="宋体" w:eastAsia="宋体"/>
          <w:sz w:val="24"/>
        </w:rPr>
        <w:t>“主观明知”；AI辅助分析；回溯性对比实验；Cohen's Kappa；司法效率；人机协作</w:t>
      </w:r>
    </w:p>
    <w:p>
      <w:r>
        <w:br w:type="page"/>
      </w:r>
    </w:p>
    <w:p>
      <w:pPr>
        <w:pStyle w:val="Heading1"/>
      </w:pPr>
      <w:r>
        <w:rPr>
          <w:rFonts w:ascii="黑体" w:hAnsi="黑体" w:eastAsia="黑体"/>
        </w:rPr>
        <w:t>1 引言</w:t>
      </w:r>
    </w:p>
    <w:p>
      <w:pPr>
        <w:pStyle w:val="Heading2"/>
      </w:pPr>
      <w:r>
        <w:rPr>
          <w:rFonts w:ascii="黑体" w:hAnsi="黑体" w:eastAsia="黑体"/>
        </w:rPr>
        <w:t>1.1 研究背景与问题提出</w:t>
      </w:r>
    </w:p>
    <w:p>
      <w:pPr>
        <w:spacing w:line="440" w:lineRule="exact"/>
        <w:ind w:firstLine="480"/>
      </w:pPr>
      <w:r>
        <w:rPr>
          <w:rFonts w:ascii="宋体" w:hAnsi="宋体" w:eastAsia="宋体"/>
          <w:sz w:val="24"/>
        </w:rPr>
        <w:t>在信息网络犯罪日益严峻的背景下，帮助信息网络犯罪活动罪（以下简称“帮信罪”）已成为我国刑事司法实践中适用频率最高的罪名之一。在这一罪名的司法适用中，“主观明知”的认定是最为核心也最具争议的环节。</w:t>
      </w:r>
    </w:p>
    <w:p>
      <w:pPr>
        <w:spacing w:line="440" w:lineRule="exact"/>
        <w:ind w:firstLine="480"/>
      </w:pPr>
      <w:r>
        <w:rPr>
          <w:rFonts w:ascii="宋体" w:hAnsi="宋体" w:eastAsia="宋体"/>
          <w:sz w:val="24"/>
        </w:rPr>
        <w:t>根据《刑法》第二百八十七条之二的规定，构成帮信罪要求行为人“明知”他人利用信息网络实施犯罪。然而，“明知”作为一种主观心理状态，难以通过直接证据加以证明，司法实践中主要依靠外部客观行为进行推定，这一过程高度依赖司法人员的个人经验和专业判断。</w:t>
      </w:r>
    </w:p>
    <w:p>
      <w:pPr>
        <w:spacing w:line="440" w:lineRule="exact"/>
        <w:ind w:firstLine="480"/>
      </w:pPr>
      <w:r>
        <w:rPr>
          <w:rFonts w:ascii="宋体" w:hAnsi="宋体" w:eastAsia="宋体"/>
          <w:sz w:val="24"/>
        </w:rPr>
        <w:t>“主观明知”认定的不确定性带来了系列司法实践问题。首先，不同司法人员对类似案件事实的“主观明知”认定可能出现分歧，导致“同案不同判”现象，影响司法公信力。</w:t>
      </w:r>
    </w:p>
    <w:p>
      <w:pPr>
        <w:spacing w:line="440" w:lineRule="exact"/>
        <w:ind w:firstLine="480"/>
      </w:pPr>
      <w:r>
        <w:rPr>
          <w:rFonts w:ascii="宋体" w:hAnsi="宋体" w:eastAsia="宋体"/>
          <w:sz w:val="24"/>
        </w:rPr>
        <w:t>其次，网络犯罪案件涉及电子数据、聊天记录、资金流水等多种类型证据，分析维度多、关联关系复杂，传统分析方法难以高效整合多元证据信息。再次，案件数量激增背景下，司法人员面临巨大的办案压力。</w:t>
      </w:r>
    </w:p>
    <w:p>
      <w:pPr>
        <w:spacing w:line="440" w:lineRule="exact"/>
        <w:ind w:firstLine="480"/>
      </w:pPr>
      <w:r>
        <w:rPr>
          <w:rFonts w:ascii="宋体" w:hAnsi="宋体" w:eastAsia="宋体"/>
          <w:sz w:val="24"/>
        </w:rPr>
        <w:t>因此，探索如何借助人工智能技术提升{Q("主观明知")}认定的准确性和一致性，具有重要的理论价值和现实意义。</w:t>
      </w:r>
    </w:p>
    <w:p>
      <w:pPr>
        <w:spacing w:line="440" w:lineRule="exact"/>
        <w:ind w:firstLine="480"/>
      </w:pPr>
      <w:r>
        <w:rPr>
          <w:rFonts w:ascii="宋体" w:hAnsi="宋体" w:eastAsia="宋体"/>
          <w:sz w:val="24"/>
        </w:rPr>
        <w:t>本研究提出以下核心研究问题：（1）AI辅助分析能否显著提升不同司法人员对同一案件{Q("主观明知")}认定的判定一致性？（2）AI辅助分析能否显著缩短案件分析耗时，提升司法效率？（3）AI分析结论与法院生效判决的吻合度如何？</w:t>
      </w:r>
    </w:p>
    <w:p>
      <w:pPr>
        <w:pStyle w:val="Heading2"/>
      </w:pPr>
      <w:r>
        <w:rPr>
          <w:rFonts w:ascii="黑体" w:hAnsi="黑体" w:eastAsia="黑体"/>
        </w:rPr>
        <w:t>1.2 国内外研究现状</w:t>
      </w:r>
    </w:p>
    <w:p>
      <w:pPr>
        <w:spacing w:line="440" w:lineRule="exact"/>
        <w:ind w:firstLine="480"/>
      </w:pPr>
      <w:r>
        <w:rPr>
          <w:rFonts w:ascii="宋体" w:hAnsi="宋体" w:eastAsia="宋体"/>
          <w:sz w:val="24"/>
        </w:rPr>
        <w:t>在司法一致性研究领域，已有大量研究关注不同司法人员之间裁判差异的问题。Frank (1930) 最早提出司法判决中的个体差异问题，指出法官的个人特质、经验和价值观会影响其裁判结果。后续研究进一步证实了司法决策中的个体差异现象(Guthrie et al., 2001; Rachlinski &amp; Wistrich, 2017)。在国内，白建军（2014）通过对大量刑事案例的实证分析，揭示了量刑不一致的系统性问题。然而，现有研究主要关注量刑层面的差异，对{Q("主观明知")}这类事实认定环节的一致性研究相对较少。</w:t>
      </w:r>
    </w:p>
    <w:p>
      <w:pPr>
        <w:spacing w:line="440" w:lineRule="exact"/>
        <w:ind w:firstLine="480"/>
      </w:pPr>
      <w:r>
        <w:rPr>
          <w:rFonts w:ascii="宋体" w:hAnsi="宋体" w:eastAsia="宋体"/>
          <w:sz w:val="24"/>
        </w:rPr>
        <w:t>在AI辅助司法分析的研究领域，国际学术界已开展了大量探索。Surden (2014) 系统阐述了人工智能技术在法律领域的应用前景，指出AI可以辅助法律推理和证据分析。Katz et al. (2017) 利用机器学习模型预测美国最高法院的判决，准确率达到70.2%，展示了AI在法律预测中的潜力。Medvedeva et al. (2020) 对欧洲人权法院判决的预测研究也取得了类似成果。</w:t>
      </w:r>
    </w:p>
    <w:p>
      <w:pPr>
        <w:spacing w:line="440" w:lineRule="exact"/>
        <w:ind w:firstLine="480"/>
      </w:pPr>
      <w:r>
        <w:rPr>
          <w:rFonts w:ascii="宋体" w:hAnsi="宋体" w:eastAsia="宋体"/>
          <w:sz w:val="24"/>
        </w:rPr>
        <w:t>在国内，左卫民（2021）讨论了人工智能在中国司法中的应用现状与挑战。王禄生（2022）系统分析了司法人工智能的技术路径和实践困境。然而，现有研究多聚焦于AI预测判决结果的能力，较少关注AI辅助对司法人员实际决策过程的影响。</w:t>
      </w:r>
    </w:p>
    <w:p>
      <w:pPr>
        <w:spacing w:line="440" w:lineRule="exact"/>
        <w:ind w:firstLine="480"/>
      </w:pPr>
      <w:r>
        <w:rPr>
          <w:rFonts w:ascii="宋体" w:hAnsi="宋体" w:eastAsia="宋体"/>
          <w:sz w:val="24"/>
        </w:rPr>
        <w:t>在人机协作决策研究领域，Logg et al. (2019) 发现人们在决策中倾向于采纳算法建议，即{Q("算法趋同")}现象。然而，Dietvorst et al. (2018) 指出当算法出错时，人们会产生{Q("算法厌恶")}情绪，降低对算法的信任。</w:t>
      </w:r>
    </w:p>
    <w:p>
      <w:pPr>
        <w:spacing w:line="440" w:lineRule="exact"/>
        <w:ind w:firstLine="480"/>
      </w:pPr>
      <w:r>
        <w:rPr>
          <w:rFonts w:ascii="宋体" w:hAnsi="宋体" w:eastAsia="宋体"/>
          <w:sz w:val="24"/>
        </w:rPr>
        <w:t>这些研究表明，AI辅助对司法决策的影响是一个复杂的、需要实证检验的问题。</w:t>
      </w:r>
    </w:p>
    <w:p>
      <w:pPr>
        <w:pStyle w:val="Heading2"/>
      </w:pPr>
      <w:r>
        <w:rPr>
          <w:rFonts w:ascii="黑体" w:hAnsi="黑体" w:eastAsia="黑体"/>
        </w:rPr>
        <w:t>1.3 研究意义与创新点</w:t>
      </w:r>
    </w:p>
    <w:p>
      <w:pPr>
        <w:spacing w:line="440" w:lineRule="exact"/>
        <w:ind w:firstLine="480"/>
      </w:pPr>
      <w:r>
        <w:rPr>
          <w:rFonts w:ascii="宋体" w:hAnsi="宋体" w:eastAsia="宋体"/>
          <w:sz w:val="24"/>
        </w:rPr>
        <w:t>本研究的理论意义在于：（1）将AI辅助决策研究从预测准确性拓展到对司法人员实际决策过程的影响，丰富了人机协作决策理论在司法领域的应用；（2）采用Cohen's Kappa系数作为一致性衡量指标，为司法一致性研究提供了更为严谨的度量方法；（3）系统比较了AI辅助条件下的一致性提升和效率提升，揭示了AI辅助的双重效益。</w:t>
      </w:r>
    </w:p>
    <w:p>
      <w:pPr>
        <w:spacing w:line="440" w:lineRule="exact"/>
        <w:ind w:firstLine="480"/>
      </w:pPr>
      <w:r>
        <w:rPr>
          <w:rFonts w:ascii="宋体" w:hAnsi="宋体" w:eastAsia="宋体"/>
          <w:sz w:val="24"/>
        </w:rPr>
        <w:t>实践意义在于：（1）为AI辅助分析工具的推广应用提供实证依据；（2）为司法智能化建设提供数据支撑和决策参考。</w:t>
      </w:r>
    </w:p>
    <w:p>
      <w:pPr>
        <w:spacing w:line="440" w:lineRule="exact"/>
        <w:ind w:firstLine="480"/>
      </w:pPr>
      <w:r>
        <w:rPr>
          <w:rFonts w:ascii="宋体" w:hAnsi="宋体" w:eastAsia="宋体"/>
          <w:sz w:val="24"/>
        </w:rPr>
        <w:t>本研究的主要创新点包括：（1）首次采用回溯性对比实验设计系统评估AI辅助分析对{Q("主观明知")}认定一致性的影响，填补了该领域的实证研究空白；（2）构建了{Q("一致性-效率-准确率")}多维评估体系，全面评估AI辅助的效果；（3）基于真实司法案件和实际司法人员开展实验，保证了研究的外部效度；（4）对不一致案例进行了系统的定性分析，揭示了AI辅助的边界条件和改进方向。</w:t>
      </w:r>
    </w:p>
    <w:p>
      <w:r>
        <w:br w:type="page"/>
      </w:r>
    </w:p>
    <w:p>
      <w:pPr>
        <w:pStyle w:val="Heading1"/>
      </w:pPr>
      <w:r>
        <w:rPr>
          <w:rFonts w:ascii="黑体" w:hAnsi="黑体" w:eastAsia="黑体"/>
        </w:rPr>
        <w:t>2 研究方法</w:t>
      </w:r>
    </w:p>
    <w:p>
      <w:pPr>
        <w:pStyle w:val="Heading2"/>
      </w:pPr>
      <w:r>
        <w:rPr>
          <w:rFonts w:ascii="黑体" w:hAnsi="黑体" w:eastAsia="黑体"/>
        </w:rPr>
        <w:t>2.1 实验设计</w:t>
      </w:r>
    </w:p>
    <w:p>
      <w:pPr>
        <w:spacing w:line="440" w:lineRule="exact"/>
        <w:ind w:firstLine="480"/>
      </w:pPr>
      <w:r>
        <w:rPr>
          <w:rFonts w:ascii="宋体" w:hAnsi="宋体" w:eastAsia="宋体"/>
          <w:sz w:val="24"/>
        </w:rPr>
        <w:t>本研究采用回溯性对比实验设计（Retrospective Controlled Experiment Design）。A组（对照组）仅依靠个人专业经验进行分析判断；B组（实验组）在个人专业经验基础上，参考AI辅助分析工具生成的标准化分析报告进行分析判断。实验采用独立分组设计（Between-subjects design），每组参与者仅参与一种实验条件。</w:t>
      </w:r>
    </w:p>
    <w:p>
      <w:pPr>
        <w:jc w:val="center"/>
      </w:pPr>
      <w:r>
        <w:rPr>
          <w:b/>
          <w:sz w:val="21"/>
        </w:rPr>
        <w:t>表1 实验设计框架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3"/>
        <w:gridCol w:w="4323"/>
      </w:tblGrid>
      <w:tr>
        <w:tc>
          <w:tcPr>
            <w:tcW w:type="dxa" w:w="4323"/>
            <w:shd w:fill="D9E2F3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要素</w:t>
            </w:r>
          </w:p>
        </w:tc>
        <w:tc>
          <w:tcPr>
            <w:tcW w:type="dxa" w:w="4323"/>
            <w:shd w:fill="D9E2F3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说明</w:t>
            </w:r>
          </w:p>
        </w:tc>
      </w:tr>
      <w:tr>
        <w:tc>
          <w:tcPr>
            <w:tcW w:type="dxa" w:w="4323"/>
          </w:tcPr>
          <w:p>
            <w:r/>
            <w:r>
              <w:rPr>
                <w:rFonts w:ascii="宋体" w:hAnsi="宋体" w:eastAsia="宋体"/>
                <w:sz w:val="18"/>
              </w:rPr>
              <w:t>研究类型</w:t>
            </w:r>
          </w:p>
        </w:tc>
        <w:tc>
          <w:tcPr>
            <w:tcW w:type="dxa" w:w="4323"/>
          </w:tcPr>
          <w:p>
            <w:r/>
            <w:r>
              <w:rPr>
                <w:rFonts w:ascii="宋体" w:hAnsi="宋体" w:eastAsia="宋体"/>
                <w:sz w:val="18"/>
              </w:rPr>
              <w:t>回溯性对比实验（Retrospective Controlled Experiment）</w:t>
            </w:r>
          </w:p>
        </w:tc>
      </w:tr>
      <w:tr>
        <w:tc>
          <w:tcPr>
            <w:tcW w:type="dxa" w:w="4323"/>
          </w:tcPr>
          <w:p>
            <w:r/>
            <w:r>
              <w:rPr>
                <w:rFonts w:ascii="宋体" w:hAnsi="宋体" w:eastAsia="宋体"/>
                <w:sz w:val="18"/>
              </w:rPr>
              <w:t>研究对象</w:t>
            </w:r>
          </w:p>
        </w:tc>
        <w:tc>
          <w:tcPr>
            <w:tcW w:type="dxa" w:w="4323"/>
          </w:tcPr>
          <w:p>
            <w:r/>
            <w:r>
              <w:rPr>
                <w:rFonts w:ascii="宋体" w:hAnsi="宋体" w:eastAsia="宋体"/>
                <w:sz w:val="18"/>
              </w:rPr>
              <w:t>已审结帮信罪案件（已脱敏处理）</w:t>
            </w:r>
          </w:p>
        </w:tc>
      </w:tr>
      <w:tr>
        <w:tc>
          <w:tcPr>
            <w:tcW w:type="dxa" w:w="4323"/>
          </w:tcPr>
          <w:p>
            <w:r/>
            <w:r>
              <w:rPr>
                <w:rFonts w:ascii="宋体" w:hAnsi="宋体" w:eastAsia="宋体"/>
                <w:sz w:val="18"/>
              </w:rPr>
              <w:t>分组方式</w:t>
            </w:r>
          </w:p>
        </w:tc>
        <w:tc>
          <w:tcPr>
            <w:tcW w:type="dxa" w:w="4323"/>
          </w:tcPr>
          <w:p>
            <w:r/>
            <w:r>
              <w:rPr>
                <w:rFonts w:ascii="宋体" w:hAnsi="宋体" w:eastAsia="宋体"/>
                <w:sz w:val="18"/>
              </w:rPr>
              <w:t>独立分组（Between-subjects design）</w:t>
            </w:r>
          </w:p>
        </w:tc>
      </w:tr>
      <w:tr>
        <w:tc>
          <w:tcPr>
            <w:tcW w:type="dxa" w:w="4323"/>
          </w:tcPr>
          <w:p>
            <w:r/>
            <w:r>
              <w:rPr>
                <w:rFonts w:ascii="宋体" w:hAnsi="宋体" w:eastAsia="宋体"/>
                <w:sz w:val="18"/>
              </w:rPr>
              <w:t>自变量</w:t>
            </w:r>
          </w:p>
        </w:tc>
        <w:tc>
          <w:tcPr>
            <w:tcW w:type="dxa" w:w="4323"/>
          </w:tcPr>
          <w:p>
            <w:r/>
            <w:r>
              <w:rPr>
                <w:rFonts w:ascii="宋体" w:hAnsi="宋体" w:eastAsia="宋体"/>
                <w:sz w:val="18"/>
              </w:rPr>
              <w:t>AI辅助分析报告（有/无）</w:t>
            </w:r>
          </w:p>
        </w:tc>
      </w:tr>
      <w:tr>
        <w:tc>
          <w:tcPr>
            <w:tcW w:type="dxa" w:w="4323"/>
          </w:tcPr>
          <w:p>
            <w:r/>
            <w:r>
              <w:rPr>
                <w:rFonts w:ascii="宋体" w:hAnsi="宋体" w:eastAsia="宋体"/>
                <w:sz w:val="18"/>
              </w:rPr>
              <w:t>因变量</w:t>
            </w:r>
          </w:p>
        </w:tc>
        <w:tc>
          <w:tcPr>
            <w:tcW w:type="dxa" w:w="4323"/>
          </w:tcPr>
          <w:p>
            <w:r/>
            <w:r>
              <w:rPr>
                <w:rFonts w:ascii="宋体" w:hAnsi="宋体" w:eastAsia="宋体"/>
                <w:sz w:val="18"/>
              </w:rPr>
              <w:t>认定一致性（Kappa系数）、分析耗时（分钟）</w:t>
            </w:r>
          </w:p>
        </w:tc>
      </w:tr>
      <w:tr>
        <w:tc>
          <w:tcPr>
            <w:tcW w:type="dxa" w:w="4323"/>
          </w:tcPr>
          <w:p>
            <w:r/>
            <w:r>
              <w:rPr>
                <w:rFonts w:ascii="宋体" w:hAnsi="宋体" w:eastAsia="宋体"/>
                <w:sz w:val="18"/>
              </w:rPr>
              <w:t>控制变量</w:t>
            </w:r>
          </w:p>
        </w:tc>
        <w:tc>
          <w:tcPr>
            <w:tcW w:type="dxa" w:w="4323"/>
          </w:tcPr>
          <w:p>
            <w:r/>
            <w:r>
              <w:rPr>
                <w:rFonts w:ascii="宋体" w:hAnsi="宋体" w:eastAsia="宋体"/>
                <w:sz w:val="18"/>
              </w:rPr>
              <w:t>案件难度、案件类型、证据完整度</w:t>
            </w:r>
          </w:p>
        </w:tc>
      </w:tr>
      <w:tr>
        <w:tc>
          <w:tcPr>
            <w:tcW w:type="dxa" w:w="4323"/>
          </w:tcPr>
          <w:p>
            <w:r/>
            <w:r>
              <w:rPr>
                <w:rFonts w:ascii="宋体" w:hAnsi="宋体" w:eastAsia="宋体"/>
                <w:sz w:val="18"/>
              </w:rPr>
              <w:t>随机化</w:t>
            </w:r>
          </w:p>
        </w:tc>
        <w:tc>
          <w:tcPr>
            <w:tcW w:type="dxa" w:w="4323"/>
          </w:tcPr>
          <w:p>
            <w:r/>
            <w:r>
              <w:rPr>
                <w:rFonts w:ascii="宋体" w:hAnsi="宋体" w:eastAsia="宋体"/>
                <w:sz w:val="18"/>
              </w:rPr>
              <w:t>案件随机分组、评估人员随机分组</w:t>
            </w:r>
          </w:p>
        </w:tc>
      </w:tr>
    </w:tbl>
    <w:p/>
    <w:p>
      <w:pPr>
        <w:spacing w:line="440" w:lineRule="exact"/>
        <w:ind w:firstLine="480"/>
      </w:pPr>
      <w:r>
        <w:rPr>
          <w:rFonts w:ascii="宋体" w:hAnsi="宋体" w:eastAsia="宋体"/>
          <w:sz w:val="24"/>
        </w:rPr>
        <w:t>基于理论分析和文献回顾，本研究提出以下三个核心假设：H1：B组（实验组）的案件认定一致性Kappa系数显著高于A组（对照组），且≥0.65；H2：B组（实验组）完成单个案件分析的平均耗时显著低于A组（对照组）；H3：AI分析结论与法院生效判决的吻合度达到较高水平（≥80%）。</w:t>
      </w:r>
    </w:p>
    <w:p>
      <w:pPr>
        <w:pStyle w:val="Heading2"/>
      </w:pPr>
      <w:r>
        <w:rPr>
          <w:rFonts w:ascii="黑体" w:hAnsi="黑体" w:eastAsia="黑体"/>
        </w:rPr>
        <w:t>2.2 参与者</w:t>
      </w:r>
    </w:p>
    <w:p>
      <w:pPr>
        <w:spacing w:line="440" w:lineRule="exact"/>
        <w:ind w:firstLine="480"/>
      </w:pPr>
      <w:r>
        <w:rPr>
          <w:rFonts w:ascii="宋体" w:hAnsi="宋体" w:eastAsia="宋体"/>
          <w:sz w:val="24"/>
        </w:rPr>
        <w:t>本实验共招募20名具有2年以上刑事办案经验的司法人员参与。参与者来自贵州法院系统，包括在职法官和法官助理。参与者通过随机数生成器被均等分配至A组（对照组，n=10）和B组（实验组，n=10），两组参与者在从业年限（A组：M=5.30, SD=2.11年；B组：M=5.50, SD=2.07年）、专业背景等特征上无显著差异（t(18)=0.21, P=0.835），保证了分组均衡性。</w:t>
      </w:r>
    </w:p>
    <w:p>
      <w:pPr>
        <w:pStyle w:val="Heading2"/>
      </w:pPr>
      <w:r>
        <w:rPr>
          <w:rFonts w:ascii="黑体" w:hAnsi="黑体" w:eastAsia="黑体"/>
        </w:rPr>
        <w:t>2.3 实验材料与工具</w:t>
      </w:r>
    </w:p>
    <w:p>
      <w:pPr>
        <w:spacing w:line="440" w:lineRule="exact"/>
        <w:ind w:firstLine="480"/>
      </w:pPr>
      <w:r>
        <w:rPr>
          <w:rFonts w:ascii="宋体" w:hAnsi="宋体" w:eastAsia="宋体"/>
          <w:sz w:val="24"/>
        </w:rPr>
        <w:t>本实验使用以下材料和工具：（1）案件材料：从贵州法院系统调取25件已审结的帮信罪案件卷宗，经数字化扫描、OCR识别和脱敏处理后使用。案件涵盖不同难度等级（难5件、中6件、易14件），以及不同的“主观明知”认定情形（认定明知16件、不认定明知9件）。</w:t>
      </w:r>
    </w:p>
    <w:p>
      <w:pPr>
        <w:spacing w:line="440" w:lineRule="exact"/>
        <w:ind w:firstLine="480"/>
      </w:pPr>
      <w:r>
        <w:rPr>
          <w:rFonts w:ascii="宋体" w:hAnsi="宋体" w:eastAsia="宋体"/>
          <w:sz w:val="24"/>
        </w:rPr>
        <w:t>（2）AI辅助分析系统（“主观明知”AI辅助分析系统V1.0）：该系统基于大语言模型构建，能够对案件证据材料进行标准化分析，生成包含证据梳理、风险因素分析、结论推理等模块的结构化分析报告。</w:t>
      </w:r>
    </w:p>
    <w:p>
      <w:pPr>
        <w:spacing w:line="440" w:lineRule="exact"/>
        <w:ind w:firstLine="480"/>
      </w:pPr>
      <w:r>
        <w:rPr>
          <w:rFonts w:ascii="宋体" w:hAnsi="宋体" w:eastAsia="宋体"/>
          <w:sz w:val="24"/>
        </w:rPr>
        <w:t>（3）实验平台：专门开发的在线实验平台，用于呈现案件材料、AI分析报告，并自动记录参与者的分析耗时、认定结论和置信度评分。</w:t>
      </w:r>
    </w:p>
    <w:p>
      <w:pPr>
        <w:pStyle w:val="Heading2"/>
      </w:pPr>
      <w:r>
        <w:rPr>
          <w:rFonts w:ascii="黑体" w:hAnsi="黑体" w:eastAsia="黑体"/>
        </w:rPr>
        <w:t>2.4 实验流程</w:t>
      </w:r>
    </w:p>
    <w:p>
      <w:pPr>
        <w:spacing w:line="440" w:lineRule="exact"/>
        <w:ind w:firstLine="480"/>
      </w:pPr>
      <w:r>
        <w:rPr>
          <w:rFonts w:ascii="宋体" w:hAnsi="宋体" w:eastAsia="宋体"/>
          <w:sz w:val="24"/>
        </w:rPr>
        <w:t>实验流程分为五个阶段：第一阶段为案件准备阶段（第1-5周），包括案件筛选、材料整理、脱敏处理、案件编码、难度评估和AI报告生成；第二阶段为人员招募阶段；第三阶段为分组实验阶段（第1-2周），包括随机分组、设备调试、操作培训、试点测试和正式实验；第四阶段为数据收集阶段；第五阶段为统计分析阶段。</w:t>
      </w:r>
    </w:p>
    <w:p>
      <w:pPr>
        <w:spacing w:line="440" w:lineRule="exact"/>
        <w:ind w:firstLine="480"/>
      </w:pPr>
      <w:r>
        <w:rPr>
          <w:rFonts w:ascii="宋体" w:hAnsi="宋体" w:eastAsia="宋体"/>
          <w:sz w:val="24"/>
        </w:rPr>
        <w:t>实验操作流程为：参与者登录实验平台→接收案件材料→阅读分析案件材料（A组仅依赖个人经验，B组参考AI分析报告）→填写认定结论→提交结论并自动停止计时→评分置信度→进入下一案件。每件案件至少由同一组内的3名司法人员分别进行独立判断。</w:t>
      </w:r>
    </w:p>
    <w:p>
      <w:pPr>
        <w:pStyle w:val="Heading2"/>
      </w:pPr>
      <w:r>
        <w:rPr>
          <w:rFonts w:ascii="黑体" w:hAnsi="黑体" w:eastAsia="黑体"/>
        </w:rPr>
        <w:t>2.5 数据分析方法</w:t>
      </w:r>
    </w:p>
    <w:p>
      <w:pPr>
        <w:spacing w:line="440" w:lineRule="exact"/>
        <w:ind w:firstLine="480"/>
      </w:pPr>
      <w:r>
        <w:rPr>
          <w:rFonts w:ascii="宋体" w:hAnsi="宋体" w:eastAsia="宋体"/>
          <w:sz w:val="24"/>
        </w:rPr>
        <w:t>本研究的统计分析使用Python 3.11完成，主要依赖pandas、numpy、scipy.stats和scikit-learn库。具体分析方法包括：（1）描述性统计：计算各组实验数据的基本统计量（均值、标准差、中位数、四分位距等）；（2）认定一致性分析：采用Cohen's Kappa系数评估组内评估者间的一致性，使用Bootstrap法（2000次重抽样）估计Kappa系数的95%置信区间；（3）耗时差异分析：首先进行Shapiro-Wilk正态性检验，若两组数据均满足正态性假设则采用独立样本t检验（Welch's t-test），否则采用Mann-Whitney U检验。同时计算Cohen's d效应量和均值差的95%置信区间；（4）AI与判决一致率分析：以法院生效判决为金标准，计算准确率（Accuracy）、精确率（Precision）、召回率（Recall）、F1分数及特异度（Specificity），并生成混淆矩阵。显著性水平设定为α=0.05（双尾检验）。</w:t>
      </w:r>
    </w:p>
    <w:p>
      <w:r>
        <w:br w:type="page"/>
      </w:r>
    </w:p>
    <w:p>
      <w:pPr>
        <w:pStyle w:val="Heading1"/>
      </w:pPr>
      <w:r>
        <w:rPr>
          <w:rFonts w:ascii="黑体" w:hAnsi="黑体" w:eastAsia="黑体"/>
        </w:rPr>
        <w:t>3 研究结果</w:t>
      </w:r>
    </w:p>
    <w:p>
      <w:pPr>
        <w:pStyle w:val="Heading2"/>
      </w:pPr>
      <w:r>
        <w:rPr>
          <w:rFonts w:ascii="黑体" w:hAnsi="黑体" w:eastAsia="黑体"/>
        </w:rPr>
        <w:t>3.1 描述性统计结果</w:t>
      </w:r>
    </w:p>
    <w:p>
      <w:pPr>
        <w:spacing w:line="440" w:lineRule="exact"/>
        <w:ind w:firstLine="480"/>
      </w:pPr>
      <w:r>
        <w:rPr>
          <w:rFonts w:ascii="宋体" w:hAnsi="宋体" w:eastAsia="宋体"/>
          <w:sz w:val="24"/>
        </w:rPr>
        <w:t>本实验共收集500条分析记录（A组250条，B组250条），覆盖25件案件。A组平均耗时为17.42分钟（SD=5.89），中位数为16.95分钟，IQR为8.28分钟。B组平均耗时为9.74分钟（SD=3.71），中位数为9.9分钟，IQR为5.2分钟。置信度方面，A组平均置信度为3.49（SD=1.14），B组平均置信度为4.06（SD=0.8）。</w:t>
      </w:r>
    </w:p>
    <w:p>
      <w:pPr>
        <w:jc w:val="center"/>
      </w:pPr>
      <w:r>
        <w:rPr>
          <w:b/>
          <w:sz w:val="21"/>
        </w:rPr>
        <w:t>表2 两组描述性统计对比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2"/>
        <w:gridCol w:w="2882"/>
        <w:gridCol w:w="2882"/>
      </w:tblGrid>
      <w:tr>
        <w:tc>
          <w:tcPr>
            <w:tcW w:type="dxa" w:w="2882"/>
            <w:shd w:fill="D9E2F3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指标</w:t>
            </w:r>
          </w:p>
        </w:tc>
        <w:tc>
          <w:tcPr>
            <w:tcW w:type="dxa" w:w="2882"/>
            <w:shd w:fill="D9E2F3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A组（对照组）</w:t>
            </w:r>
          </w:p>
        </w:tc>
        <w:tc>
          <w:tcPr>
            <w:tcW w:type="dxa" w:w="2882"/>
            <w:shd w:fill="D9E2F3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B组（实验组）</w:t>
            </w:r>
          </w:p>
        </w:tc>
      </w:tr>
      <w:tr>
        <w:tc>
          <w:tcPr>
            <w:tcW w:type="dxa" w:w="2882"/>
          </w:tcPr>
          <w:p>
            <w:r/>
            <w:r>
              <w:rPr>
                <w:rFonts w:ascii="宋体" w:hAnsi="宋体" w:eastAsia="宋体"/>
                <w:sz w:val="18"/>
              </w:rPr>
              <w:t>分析记录数（条）</w:t>
            </w:r>
          </w:p>
        </w:tc>
        <w:tc>
          <w:tcPr>
            <w:tcW w:type="dxa" w:w="2882"/>
          </w:tcPr>
          <w:p>
            <w:r/>
            <w:r>
              <w:rPr>
                <w:rFonts w:ascii="宋体" w:hAnsi="宋体" w:eastAsia="宋体"/>
                <w:sz w:val="18"/>
              </w:rPr>
              <w:t>250</w:t>
            </w:r>
          </w:p>
        </w:tc>
        <w:tc>
          <w:tcPr>
            <w:tcW w:type="dxa" w:w="2882"/>
          </w:tcPr>
          <w:p>
            <w:r/>
            <w:r>
              <w:rPr>
                <w:rFonts w:ascii="宋体" w:hAnsi="宋体" w:eastAsia="宋体"/>
                <w:sz w:val="18"/>
              </w:rPr>
              <w:t>250</w:t>
            </w:r>
          </w:p>
        </w:tc>
      </w:tr>
      <w:tr>
        <w:tc>
          <w:tcPr>
            <w:tcW w:type="dxa" w:w="2882"/>
          </w:tcPr>
          <w:p>
            <w:r/>
            <w:r>
              <w:rPr>
                <w:rFonts w:ascii="宋体" w:hAnsi="宋体" w:eastAsia="宋体"/>
                <w:sz w:val="18"/>
              </w:rPr>
              <w:t>评估者人数（人）</w:t>
            </w:r>
          </w:p>
        </w:tc>
        <w:tc>
          <w:tcPr>
            <w:tcW w:type="dxa" w:w="2882"/>
          </w:tcPr>
          <w:p>
            <w:r/>
            <w:r>
              <w:rPr>
                <w:rFonts w:ascii="宋体" w:hAnsi="宋体" w:eastAsia="宋体"/>
                <w:sz w:val="18"/>
              </w:rPr>
              <w:t>10</w:t>
            </w:r>
          </w:p>
        </w:tc>
        <w:tc>
          <w:tcPr>
            <w:tcW w:type="dxa" w:w="2882"/>
          </w:tcPr>
          <w:p>
            <w:r/>
            <w:r>
              <w:rPr>
                <w:rFonts w:ascii="宋体" w:hAnsi="宋体" w:eastAsia="宋体"/>
                <w:sz w:val="18"/>
              </w:rPr>
              <w:t>10</w:t>
            </w:r>
          </w:p>
        </w:tc>
      </w:tr>
      <w:tr>
        <w:tc>
          <w:tcPr>
            <w:tcW w:type="dxa" w:w="2882"/>
          </w:tcPr>
          <w:p>
            <w:r/>
            <w:r>
              <w:rPr>
                <w:rFonts w:ascii="宋体" w:hAnsi="宋体" w:eastAsia="宋体"/>
                <w:sz w:val="18"/>
              </w:rPr>
              <w:t>案件数（件）</w:t>
            </w:r>
          </w:p>
        </w:tc>
        <w:tc>
          <w:tcPr>
            <w:tcW w:type="dxa" w:w="2882"/>
          </w:tcPr>
          <w:p>
            <w:r/>
            <w:r>
              <w:rPr>
                <w:rFonts w:ascii="宋体" w:hAnsi="宋体" w:eastAsia="宋体"/>
                <w:sz w:val="18"/>
              </w:rPr>
              <w:t>25</w:t>
            </w:r>
          </w:p>
        </w:tc>
        <w:tc>
          <w:tcPr>
            <w:tcW w:type="dxa" w:w="2882"/>
          </w:tcPr>
          <w:p>
            <w:r/>
            <w:r>
              <w:rPr>
                <w:rFonts w:ascii="宋体" w:hAnsi="宋体" w:eastAsia="宋体"/>
                <w:sz w:val="18"/>
              </w:rPr>
              <w:t>25</w:t>
            </w:r>
          </w:p>
        </w:tc>
      </w:tr>
      <w:tr>
        <w:tc>
          <w:tcPr>
            <w:tcW w:type="dxa" w:w="2882"/>
          </w:tcPr>
          <w:p>
            <w:r/>
            <w:r>
              <w:rPr>
                <w:rFonts w:ascii="宋体" w:hAnsi="宋体" w:eastAsia="宋体"/>
                <w:sz w:val="18"/>
              </w:rPr>
              <w:t>平均耗时（min）</w:t>
            </w:r>
          </w:p>
        </w:tc>
        <w:tc>
          <w:tcPr>
            <w:tcW w:type="dxa" w:w="2882"/>
          </w:tcPr>
          <w:p>
            <w:r/>
            <w:r>
              <w:rPr>
                <w:rFonts w:ascii="宋体" w:hAnsi="宋体" w:eastAsia="宋体"/>
                <w:sz w:val="18"/>
              </w:rPr>
              <w:t>17.42 ± 5.89</w:t>
            </w:r>
          </w:p>
        </w:tc>
        <w:tc>
          <w:tcPr>
            <w:tcW w:type="dxa" w:w="2882"/>
          </w:tcPr>
          <w:p>
            <w:r/>
            <w:r>
              <w:rPr>
                <w:rFonts w:ascii="宋体" w:hAnsi="宋体" w:eastAsia="宋体"/>
                <w:sz w:val="18"/>
              </w:rPr>
              <w:t>9.74 ± 3.71</w:t>
            </w:r>
          </w:p>
        </w:tc>
      </w:tr>
      <w:tr>
        <w:tc>
          <w:tcPr>
            <w:tcW w:type="dxa" w:w="2882"/>
          </w:tcPr>
          <w:p>
            <w:r/>
            <w:r>
              <w:rPr>
                <w:rFonts w:ascii="宋体" w:hAnsi="宋体" w:eastAsia="宋体"/>
                <w:sz w:val="18"/>
              </w:rPr>
              <w:t>中位数耗时（min）</w:t>
            </w:r>
          </w:p>
        </w:tc>
        <w:tc>
          <w:tcPr>
            <w:tcW w:type="dxa" w:w="2882"/>
          </w:tcPr>
          <w:p>
            <w:r/>
            <w:r>
              <w:rPr>
                <w:rFonts w:ascii="宋体" w:hAnsi="宋体" w:eastAsia="宋体"/>
                <w:sz w:val="18"/>
              </w:rPr>
              <w:t>16.95</w:t>
            </w:r>
          </w:p>
        </w:tc>
        <w:tc>
          <w:tcPr>
            <w:tcW w:type="dxa" w:w="2882"/>
          </w:tcPr>
          <w:p>
            <w:r/>
            <w:r>
              <w:rPr>
                <w:rFonts w:ascii="宋体" w:hAnsi="宋体" w:eastAsia="宋体"/>
                <w:sz w:val="18"/>
              </w:rPr>
              <w:t>9.9</w:t>
            </w:r>
          </w:p>
        </w:tc>
      </w:tr>
      <w:tr>
        <w:tc>
          <w:tcPr>
            <w:tcW w:type="dxa" w:w="2882"/>
          </w:tcPr>
          <w:p>
            <w:r/>
            <w:r>
              <w:rPr>
                <w:rFonts w:ascii="宋体" w:hAnsi="宋体" w:eastAsia="宋体"/>
                <w:sz w:val="18"/>
              </w:rPr>
              <w:t>耗时范围（min）</w:t>
            </w:r>
          </w:p>
        </w:tc>
        <w:tc>
          <w:tcPr>
            <w:tcW w:type="dxa" w:w="2882"/>
          </w:tcPr>
          <w:p>
            <w:r/>
            <w:r>
              <w:rPr>
                <w:rFonts w:ascii="宋体" w:hAnsi="宋体" w:eastAsia="宋体"/>
                <w:sz w:val="18"/>
              </w:rPr>
              <w:t>3.9 ~ 36.1</w:t>
            </w:r>
          </w:p>
        </w:tc>
        <w:tc>
          <w:tcPr>
            <w:tcW w:type="dxa" w:w="2882"/>
          </w:tcPr>
          <w:p>
            <w:r/>
            <w:r>
              <w:rPr>
                <w:rFonts w:ascii="宋体" w:hAnsi="宋体" w:eastAsia="宋体"/>
                <w:sz w:val="18"/>
              </w:rPr>
              <w:t>2.0 ~ 21.5</w:t>
            </w:r>
          </w:p>
        </w:tc>
      </w:tr>
      <w:tr>
        <w:tc>
          <w:tcPr>
            <w:tcW w:type="dxa" w:w="2882"/>
          </w:tcPr>
          <w:p>
            <w:r/>
            <w:r>
              <w:rPr>
                <w:rFonts w:ascii="宋体" w:hAnsi="宋体" w:eastAsia="宋体"/>
                <w:sz w:val="18"/>
              </w:rPr>
              <w:t>IQR（min）</w:t>
            </w:r>
          </w:p>
        </w:tc>
        <w:tc>
          <w:tcPr>
            <w:tcW w:type="dxa" w:w="2882"/>
          </w:tcPr>
          <w:p>
            <w:r/>
            <w:r>
              <w:rPr>
                <w:rFonts w:ascii="宋体" w:hAnsi="宋体" w:eastAsia="宋体"/>
                <w:sz w:val="18"/>
              </w:rPr>
              <w:t>8.28</w:t>
            </w:r>
          </w:p>
        </w:tc>
        <w:tc>
          <w:tcPr>
            <w:tcW w:type="dxa" w:w="2882"/>
          </w:tcPr>
          <w:p>
            <w:r/>
            <w:r>
              <w:rPr>
                <w:rFonts w:ascii="宋体" w:hAnsi="宋体" w:eastAsia="宋体"/>
                <w:sz w:val="18"/>
              </w:rPr>
              <w:t>5.2</w:t>
            </w:r>
          </w:p>
        </w:tc>
      </w:tr>
      <w:tr>
        <w:tc>
          <w:tcPr>
            <w:tcW w:type="dxa" w:w="2882"/>
          </w:tcPr>
          <w:p>
            <w:r/>
            <w:r>
              <w:rPr>
                <w:rFonts w:ascii="宋体" w:hAnsi="宋体" w:eastAsia="宋体"/>
                <w:sz w:val="18"/>
              </w:rPr>
              <w:t>平均置信度（1-5）</w:t>
            </w:r>
          </w:p>
        </w:tc>
        <w:tc>
          <w:tcPr>
            <w:tcW w:type="dxa" w:w="2882"/>
          </w:tcPr>
          <w:p>
            <w:r/>
            <w:r>
              <w:rPr>
                <w:rFonts w:ascii="宋体" w:hAnsi="宋体" w:eastAsia="宋体"/>
                <w:sz w:val="18"/>
              </w:rPr>
              <w:t>3.49 ± 1.14</w:t>
            </w:r>
          </w:p>
        </w:tc>
        <w:tc>
          <w:tcPr>
            <w:tcW w:type="dxa" w:w="2882"/>
          </w:tcPr>
          <w:p>
            <w:r/>
            <w:r>
              <w:rPr>
                <w:rFonts w:ascii="宋体" w:hAnsi="宋体" w:eastAsia="宋体"/>
                <w:sz w:val="18"/>
              </w:rPr>
              <w:t>4.06 ± 0.8</w:t>
            </w:r>
          </w:p>
        </w:tc>
      </w:tr>
      <w:tr>
        <w:tc>
          <w:tcPr>
            <w:tcW w:type="dxa" w:w="2882"/>
          </w:tcPr>
          <w:p>
            <w:r/>
            <w:r>
              <w:rPr>
                <w:rFonts w:ascii="宋体" w:hAnsi="宋体" w:eastAsia="宋体"/>
                <w:sz w:val="18"/>
              </w:rPr>
              <w:t>认定明知/不认定明知</w:t>
            </w:r>
          </w:p>
        </w:tc>
        <w:tc>
          <w:tcPr>
            <w:tcW w:type="dxa" w:w="2882"/>
          </w:tcPr>
          <w:p>
            <w:r/>
            <w:r>
              <w:rPr>
                <w:rFonts w:ascii="宋体" w:hAnsi="宋体" w:eastAsia="宋体"/>
                <w:sz w:val="18"/>
              </w:rPr>
              <w:t>156 / 94</w:t>
            </w:r>
          </w:p>
        </w:tc>
        <w:tc>
          <w:tcPr>
            <w:tcW w:type="dxa" w:w="2882"/>
          </w:tcPr>
          <w:p>
            <w:r/>
            <w:r>
              <w:rPr>
                <w:rFonts w:ascii="宋体" w:hAnsi="宋体" w:eastAsia="宋体"/>
                <w:sz w:val="18"/>
              </w:rPr>
              <w:t>176 / 74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206362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scriptive_statistics_bar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06362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宋体" w:hAnsi="宋体" w:eastAsia="宋体"/>
          <w:i/>
          <w:sz w:val="18"/>
        </w:rPr>
        <w:t>图1 两组分析耗时与记录数量对比（误差线表示标准差）</w:t>
      </w:r>
    </w:p>
    <w:p>
      <w:pPr>
        <w:pStyle w:val="Heading2"/>
      </w:pPr>
      <w:r>
        <w:rPr>
          <w:rFonts w:ascii="黑体" w:hAnsi="黑体" w:eastAsia="黑体"/>
        </w:rPr>
        <w:t>3.2 认定一致性分析</w:t>
      </w:r>
    </w:p>
    <w:p>
      <w:pPr>
        <w:spacing w:line="440" w:lineRule="exact"/>
        <w:ind w:firstLine="480"/>
      </w:pPr>
      <w:r>
        <w:rPr>
          <w:rFonts w:ascii="宋体" w:hAnsi="宋体" w:eastAsia="宋体"/>
          <w:sz w:val="24"/>
        </w:rPr>
        <w:t>Cohen's Kappa一致性分析结果显示，A组组内评估者间一致性均值Kappa系数为0.256（SD=0.1813），95%置信区间为[0.2031, 0.3092]，属于“较低一致性”水平。B组组内评估者间一致性均值Kappa系数为0.5418（SD=0.1461），95%置信区间为[0.496, 0.5822]，属于“中等一致性”水平。B组Kappa系数较A组提升0.2858（111.64%），一致性水平显著改善。</w:t>
      </w:r>
    </w:p>
    <w:p>
      <w:pPr>
        <w:jc w:val="center"/>
      </w:pPr>
      <w:r>
        <w:rPr>
          <w:b/>
          <w:sz w:val="21"/>
        </w:rPr>
        <w:t>表3 两组组内Cohen's Kappa系数对比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2"/>
        <w:gridCol w:w="2882"/>
        <w:gridCol w:w="2882"/>
      </w:tblGrid>
      <w:tr>
        <w:tc>
          <w:tcPr>
            <w:tcW w:type="dxa" w:w="2882"/>
            <w:shd w:fill="D9E2F3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指标</w:t>
            </w:r>
          </w:p>
        </w:tc>
        <w:tc>
          <w:tcPr>
            <w:tcW w:type="dxa" w:w="2882"/>
            <w:shd w:fill="D9E2F3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A组（对照组）</w:t>
            </w:r>
          </w:p>
        </w:tc>
        <w:tc>
          <w:tcPr>
            <w:tcW w:type="dxa" w:w="2882"/>
            <w:shd w:fill="D9E2F3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B组（实验组）</w:t>
            </w:r>
          </w:p>
        </w:tc>
      </w:tr>
      <w:tr>
        <w:tc>
          <w:tcPr>
            <w:tcW w:type="dxa" w:w="2882"/>
          </w:tcPr>
          <w:p>
            <w:r/>
            <w:r>
              <w:rPr>
                <w:rFonts w:ascii="宋体" w:hAnsi="宋体" w:eastAsia="宋体"/>
                <w:sz w:val="18"/>
              </w:rPr>
              <w:t>均值 Kappa</w:t>
            </w:r>
          </w:p>
        </w:tc>
        <w:tc>
          <w:tcPr>
            <w:tcW w:type="dxa" w:w="2882"/>
          </w:tcPr>
          <w:p>
            <w:r/>
            <w:r>
              <w:rPr>
                <w:rFonts w:ascii="宋体" w:hAnsi="宋体" w:eastAsia="宋体"/>
                <w:sz w:val="18"/>
              </w:rPr>
              <w:t>0.256</w:t>
            </w:r>
          </w:p>
        </w:tc>
        <w:tc>
          <w:tcPr>
            <w:tcW w:type="dxa" w:w="2882"/>
          </w:tcPr>
          <w:p>
            <w:r/>
            <w:r>
              <w:rPr>
                <w:rFonts w:ascii="宋体" w:hAnsi="宋体" w:eastAsia="宋体"/>
                <w:sz w:val="18"/>
              </w:rPr>
              <w:t>0.5418</w:t>
            </w:r>
          </w:p>
        </w:tc>
      </w:tr>
      <w:tr>
        <w:tc>
          <w:tcPr>
            <w:tcW w:type="dxa" w:w="2882"/>
          </w:tcPr>
          <w:p>
            <w:r/>
            <w:r>
              <w:rPr>
                <w:rFonts w:ascii="宋体" w:hAnsi="宋体" w:eastAsia="宋体"/>
                <w:sz w:val="18"/>
              </w:rPr>
              <w:t>中位数 Kappa</w:t>
            </w:r>
          </w:p>
        </w:tc>
        <w:tc>
          <w:tcPr>
            <w:tcW w:type="dxa" w:w="2882"/>
          </w:tcPr>
          <w:p>
            <w:r/>
            <w:r>
              <w:rPr>
                <w:rFonts w:ascii="宋体" w:hAnsi="宋体" w:eastAsia="宋体"/>
                <w:sz w:val="18"/>
              </w:rPr>
              <w:t>0.2475</w:t>
            </w:r>
          </w:p>
        </w:tc>
        <w:tc>
          <w:tcPr>
            <w:tcW w:type="dxa" w:w="2882"/>
          </w:tcPr>
          <w:p>
            <w:r/>
            <w:r>
              <w:rPr>
                <w:rFonts w:ascii="宋体" w:hAnsi="宋体" w:eastAsia="宋体"/>
                <w:sz w:val="18"/>
              </w:rPr>
              <w:t>0.5614</w:t>
            </w:r>
          </w:p>
        </w:tc>
      </w:tr>
      <w:tr>
        <w:tc>
          <w:tcPr>
            <w:tcW w:type="dxa" w:w="2882"/>
          </w:tcPr>
          <w:p>
            <w:r/>
            <w:r>
              <w:rPr>
                <w:rFonts w:ascii="宋体" w:hAnsi="宋体" w:eastAsia="宋体"/>
                <w:sz w:val="18"/>
              </w:rPr>
              <w:t>标准差</w:t>
            </w:r>
          </w:p>
        </w:tc>
        <w:tc>
          <w:tcPr>
            <w:tcW w:type="dxa" w:w="2882"/>
          </w:tcPr>
          <w:p>
            <w:r/>
            <w:r>
              <w:rPr>
                <w:rFonts w:ascii="宋体" w:hAnsi="宋体" w:eastAsia="宋体"/>
                <w:sz w:val="18"/>
              </w:rPr>
              <w:t>0.1813</w:t>
            </w:r>
          </w:p>
        </w:tc>
        <w:tc>
          <w:tcPr>
            <w:tcW w:type="dxa" w:w="2882"/>
          </w:tcPr>
          <w:p>
            <w:r/>
            <w:r>
              <w:rPr>
                <w:rFonts w:ascii="宋体" w:hAnsi="宋体" w:eastAsia="宋体"/>
                <w:sz w:val="18"/>
              </w:rPr>
              <w:t>0.1461</w:t>
            </w:r>
          </w:p>
        </w:tc>
      </w:tr>
      <w:tr>
        <w:tc>
          <w:tcPr>
            <w:tcW w:type="dxa" w:w="2882"/>
          </w:tcPr>
          <w:p>
            <w:r/>
            <w:r>
              <w:rPr>
                <w:rFonts w:ascii="宋体" w:hAnsi="宋体" w:eastAsia="宋体"/>
                <w:sz w:val="18"/>
              </w:rPr>
              <w:t>最小值 ~ 最大值</w:t>
            </w:r>
          </w:p>
        </w:tc>
        <w:tc>
          <w:tcPr>
            <w:tcW w:type="dxa" w:w="2882"/>
          </w:tcPr>
          <w:p>
            <w:r/>
            <w:r>
              <w:rPr>
                <w:rFonts w:ascii="宋体" w:hAnsi="宋体" w:eastAsia="宋体"/>
                <w:sz w:val="18"/>
              </w:rPr>
              <w:t>-0.1589 ~ 0.7331</w:t>
            </w:r>
          </w:p>
        </w:tc>
        <w:tc>
          <w:tcPr>
            <w:tcW w:type="dxa" w:w="2882"/>
          </w:tcPr>
          <w:p>
            <w:r/>
            <w:r>
              <w:rPr>
                <w:rFonts w:ascii="宋体" w:hAnsi="宋体" w:eastAsia="宋体"/>
                <w:sz w:val="18"/>
              </w:rPr>
              <w:t>0.183 ~ 0.8016</w:t>
            </w:r>
          </w:p>
        </w:tc>
      </w:tr>
      <w:tr>
        <w:tc>
          <w:tcPr>
            <w:tcW w:type="dxa" w:w="2882"/>
          </w:tcPr>
          <w:p>
            <w:r/>
            <w:r>
              <w:rPr>
                <w:rFonts w:ascii="宋体" w:hAnsi="宋体" w:eastAsia="宋体"/>
                <w:sz w:val="18"/>
              </w:rPr>
              <w:t>95% 置信区间</w:t>
            </w:r>
          </w:p>
        </w:tc>
        <w:tc>
          <w:tcPr>
            <w:tcW w:type="dxa" w:w="2882"/>
          </w:tcPr>
          <w:p>
            <w:r/>
            <w:r>
              <w:rPr>
                <w:rFonts w:ascii="宋体" w:hAnsi="宋体" w:eastAsia="宋体"/>
                <w:sz w:val="18"/>
              </w:rPr>
              <w:t>[0.2031, 0.3092]</w:t>
            </w:r>
          </w:p>
        </w:tc>
        <w:tc>
          <w:tcPr>
            <w:tcW w:type="dxa" w:w="2882"/>
          </w:tcPr>
          <w:p>
            <w:r/>
            <w:r>
              <w:rPr>
                <w:rFonts w:ascii="宋体" w:hAnsi="宋体" w:eastAsia="宋体"/>
                <w:sz w:val="18"/>
              </w:rPr>
              <w:t>[0.496, 0.5822]</w:t>
            </w:r>
          </w:p>
        </w:tc>
      </w:tr>
      <w:tr>
        <w:tc>
          <w:tcPr>
            <w:tcW w:type="dxa" w:w="2882"/>
          </w:tcPr>
          <w:p>
            <w:r/>
            <w:r>
              <w:rPr>
                <w:rFonts w:ascii="宋体" w:hAnsi="宋体" w:eastAsia="宋体"/>
                <w:sz w:val="18"/>
              </w:rPr>
              <w:t>Kappa ≥ 0.65 占比</w:t>
            </w:r>
          </w:p>
        </w:tc>
        <w:tc>
          <w:tcPr>
            <w:tcW w:type="dxa" w:w="2882"/>
          </w:tcPr>
          <w:p>
            <w:r/>
            <w:r>
              <w:rPr>
                <w:rFonts w:ascii="宋体" w:hAnsi="宋体" w:eastAsia="宋体"/>
                <w:sz w:val="18"/>
              </w:rPr>
              <w:t>2.2%</w:t>
            </w:r>
          </w:p>
        </w:tc>
        <w:tc>
          <w:tcPr>
            <w:tcW w:type="dxa" w:w="2882"/>
          </w:tcPr>
          <w:p>
            <w:r/>
            <w:r>
              <w:rPr>
                <w:rFonts w:ascii="宋体" w:hAnsi="宋体" w:eastAsia="宋体"/>
                <w:sz w:val="18"/>
              </w:rPr>
              <w:t>24.4%</w:t>
            </w:r>
          </w:p>
        </w:tc>
      </w:tr>
      <w:tr>
        <w:tc>
          <w:tcPr>
            <w:tcW w:type="dxa" w:w="2882"/>
          </w:tcPr>
          <w:p>
            <w:r/>
            <w:r>
              <w:rPr>
                <w:rFonts w:ascii="宋体" w:hAnsi="宋体" w:eastAsia="宋体"/>
                <w:sz w:val="18"/>
              </w:rPr>
              <w:t>评估者配对对数</w:t>
            </w:r>
          </w:p>
        </w:tc>
        <w:tc>
          <w:tcPr>
            <w:tcW w:type="dxa" w:w="2882"/>
          </w:tcPr>
          <w:p>
            <w:r/>
            <w:r>
              <w:rPr>
                <w:rFonts w:ascii="宋体" w:hAnsi="宋体" w:eastAsia="宋体"/>
                <w:sz w:val="18"/>
              </w:rPr>
              <w:t>45</w:t>
            </w:r>
          </w:p>
        </w:tc>
        <w:tc>
          <w:tcPr>
            <w:tcW w:type="dxa" w:w="2882"/>
          </w:tcPr>
          <w:p>
            <w:r/>
            <w:r>
              <w:rPr>
                <w:rFonts w:ascii="宋体" w:hAnsi="宋体" w:eastAsia="宋体"/>
                <w:sz w:val="18"/>
              </w:rPr>
              <w:t>45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10733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kappa_comparison_bar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1073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宋体" w:hAnsi="宋体" w:eastAsia="宋体"/>
          <w:i/>
          <w:sz w:val="18"/>
        </w:rPr>
        <w:t>图2 两组组内一致性Kappa系数对比（含95%置信区间）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2131694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kappa_heatmap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3169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宋体" w:hAnsi="宋体" w:eastAsia="宋体"/>
          <w:i/>
          <w:sz w:val="18"/>
        </w:rPr>
        <w:t>图3 两组评估者两两Cohen's Kappa系数热力图</w:t>
      </w:r>
    </w:p>
    <w:p>
      <w:pPr>
        <w:jc w:val="center"/>
      </w:pPr>
      <w:r>
        <w:rPr>
          <w:b/>
          <w:sz w:val="21"/>
        </w:rPr>
        <w:t>表4 两组组内Cohen's Kappa一致性水平分布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2"/>
        <w:gridCol w:w="2882"/>
        <w:gridCol w:w="2882"/>
      </w:tblGrid>
      <w:tr>
        <w:tc>
          <w:tcPr>
            <w:tcW w:type="dxa" w:w="2882"/>
            <w:shd w:fill="D9E2F3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一致性水平</w:t>
            </w:r>
          </w:p>
        </w:tc>
        <w:tc>
          <w:tcPr>
            <w:tcW w:type="dxa" w:w="2882"/>
            <w:shd w:fill="D9E2F3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A组（对数/占比）</w:t>
            </w:r>
          </w:p>
        </w:tc>
        <w:tc>
          <w:tcPr>
            <w:tcW w:type="dxa" w:w="2882"/>
            <w:shd w:fill="D9E2F3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B组（对数/占比）</w:t>
            </w:r>
          </w:p>
        </w:tc>
      </w:tr>
      <w:tr>
        <w:tc>
          <w:tcPr>
            <w:tcW w:type="dxa" w:w="2882"/>
          </w:tcPr>
          <w:p>
            <w:r/>
            <w:r>
              <w:rPr>
                <w:rFonts w:ascii="宋体" w:hAnsi="宋体" w:eastAsia="宋体"/>
                <w:sz w:val="18"/>
              </w:rPr>
              <w:t>低于随机（κ&lt;0.00）</w:t>
            </w:r>
          </w:p>
        </w:tc>
        <w:tc>
          <w:tcPr>
            <w:tcW w:type="dxa" w:w="2882"/>
          </w:tcPr>
          <w:p>
            <w:r/>
            <w:r>
              <w:rPr>
                <w:rFonts w:ascii="宋体" w:hAnsi="宋体" w:eastAsia="宋体"/>
                <w:sz w:val="18"/>
              </w:rPr>
              <w:t>42/93.3%</w:t>
            </w:r>
          </w:p>
        </w:tc>
        <w:tc>
          <w:tcPr>
            <w:tcW w:type="dxa" w:w="2882"/>
          </w:tcPr>
          <w:p>
            <w:r/>
            <w:r>
              <w:rPr>
                <w:rFonts w:ascii="宋体" w:hAnsi="宋体" w:eastAsia="宋体"/>
                <w:sz w:val="18"/>
              </w:rPr>
              <w:t>45/100.0%</w:t>
            </w:r>
          </w:p>
        </w:tc>
      </w:tr>
      <w:tr>
        <w:tc>
          <w:tcPr>
            <w:tcW w:type="dxa" w:w="2882"/>
          </w:tcPr>
          <w:p>
            <w:r/>
            <w:r>
              <w:rPr>
                <w:rFonts w:ascii="宋体" w:hAnsi="宋体" w:eastAsia="宋体"/>
                <w:sz w:val="18"/>
              </w:rPr>
              <w:t>极低（0.00≤κ&lt;0.20）</w:t>
            </w:r>
          </w:p>
        </w:tc>
        <w:tc>
          <w:tcPr>
            <w:tcW w:type="dxa" w:w="2882"/>
          </w:tcPr>
          <w:p>
            <w:r/>
            <w:r>
              <w:rPr>
                <w:rFonts w:ascii="宋体" w:hAnsi="宋体" w:eastAsia="宋体"/>
                <w:sz w:val="18"/>
              </w:rPr>
              <w:t>25/55.6%</w:t>
            </w:r>
          </w:p>
        </w:tc>
        <w:tc>
          <w:tcPr>
            <w:tcW w:type="dxa" w:w="2882"/>
          </w:tcPr>
          <w:p>
            <w:r/>
            <w:r>
              <w:rPr>
                <w:rFonts w:ascii="宋体" w:hAnsi="宋体" w:eastAsia="宋体"/>
                <w:sz w:val="18"/>
              </w:rPr>
              <w:t>43/95.6%</w:t>
            </w:r>
          </w:p>
        </w:tc>
      </w:tr>
      <w:tr>
        <w:tc>
          <w:tcPr>
            <w:tcW w:type="dxa" w:w="2882"/>
          </w:tcPr>
          <w:p>
            <w:r/>
            <w:r>
              <w:rPr>
                <w:rFonts w:ascii="宋体" w:hAnsi="宋体" w:eastAsia="宋体"/>
                <w:sz w:val="18"/>
              </w:rPr>
              <w:t>较低（0.20≤κ&lt;0.40）</w:t>
            </w:r>
          </w:p>
        </w:tc>
        <w:tc>
          <w:tcPr>
            <w:tcW w:type="dxa" w:w="2882"/>
          </w:tcPr>
          <w:p>
            <w:r/>
            <w:r>
              <w:rPr>
                <w:rFonts w:ascii="宋体" w:hAnsi="宋体" w:eastAsia="宋体"/>
                <w:sz w:val="18"/>
              </w:rPr>
              <w:t>10/22.2%</w:t>
            </w:r>
          </w:p>
        </w:tc>
        <w:tc>
          <w:tcPr>
            <w:tcW w:type="dxa" w:w="2882"/>
          </w:tcPr>
          <w:p>
            <w:r/>
            <w:r>
              <w:rPr>
                <w:rFonts w:ascii="宋体" w:hAnsi="宋体" w:eastAsia="宋体"/>
                <w:sz w:val="18"/>
              </w:rPr>
              <w:t>38/84.4%</w:t>
            </w:r>
          </w:p>
        </w:tc>
      </w:tr>
      <w:tr>
        <w:tc>
          <w:tcPr>
            <w:tcW w:type="dxa" w:w="2882"/>
          </w:tcPr>
          <w:p>
            <w:r/>
            <w:r>
              <w:rPr>
                <w:rFonts w:ascii="宋体" w:hAnsi="宋体" w:eastAsia="宋体"/>
                <w:sz w:val="18"/>
              </w:rPr>
              <w:t>中等（0.40≤κ&lt;0.60）</w:t>
            </w:r>
          </w:p>
        </w:tc>
        <w:tc>
          <w:tcPr>
            <w:tcW w:type="dxa" w:w="2882"/>
          </w:tcPr>
          <w:p>
            <w:r/>
            <w:r>
              <w:rPr>
                <w:rFonts w:ascii="宋体" w:hAnsi="宋体" w:eastAsia="宋体"/>
                <w:sz w:val="18"/>
              </w:rPr>
              <w:t>1/2.2%</w:t>
            </w:r>
          </w:p>
        </w:tc>
        <w:tc>
          <w:tcPr>
            <w:tcW w:type="dxa" w:w="2882"/>
          </w:tcPr>
          <w:p>
            <w:r/>
            <w:r>
              <w:rPr>
                <w:rFonts w:ascii="宋体" w:hAnsi="宋体" w:eastAsia="宋体"/>
                <w:sz w:val="18"/>
              </w:rPr>
              <w:t>22/48.9%</w:t>
            </w:r>
          </w:p>
        </w:tc>
      </w:tr>
      <w:tr>
        <w:tc>
          <w:tcPr>
            <w:tcW w:type="dxa" w:w="2882"/>
          </w:tcPr>
          <w:p>
            <w:r/>
            <w:r>
              <w:rPr>
                <w:rFonts w:ascii="宋体" w:hAnsi="宋体" w:eastAsia="宋体"/>
                <w:sz w:val="18"/>
              </w:rPr>
              <w:t>良好（κ≥0.80）</w:t>
            </w:r>
          </w:p>
        </w:tc>
        <w:tc>
          <w:tcPr>
            <w:tcW w:type="dxa" w:w="2882"/>
          </w:tcPr>
          <w:p>
            <w:r/>
            <w:r>
              <w:rPr>
                <w:rFonts w:ascii="宋体" w:hAnsi="宋体" w:eastAsia="宋体"/>
                <w:sz w:val="18"/>
              </w:rPr>
              <w:t>0/0.0%</w:t>
            </w:r>
          </w:p>
        </w:tc>
        <w:tc>
          <w:tcPr>
            <w:tcW w:type="dxa" w:w="2882"/>
          </w:tcPr>
          <w:p>
            <w:r/>
            <w:r>
              <w:rPr>
                <w:rFonts w:ascii="宋体" w:hAnsi="宋体" w:eastAsia="宋体"/>
                <w:sz w:val="18"/>
              </w:rPr>
              <w:t>1/2.2%</w:t>
            </w:r>
          </w:p>
        </w:tc>
      </w:tr>
    </w:tbl>
    <w:p/>
    <w:p>
      <w:pPr>
        <w:pStyle w:val="Heading2"/>
      </w:pPr>
      <w:r>
        <w:rPr>
          <w:rFonts w:ascii="黑体" w:hAnsi="黑体" w:eastAsia="黑体"/>
        </w:rPr>
        <w:t>3.3 耗时差异分析</w:t>
      </w:r>
    </w:p>
    <w:p>
      <w:pPr>
        <w:spacing w:line="440" w:lineRule="exact"/>
        <w:ind w:firstLine="480"/>
      </w:pPr>
      <w:r>
        <w:rPr>
          <w:rFonts w:ascii="宋体" w:hAnsi="宋体" w:eastAsia="宋体"/>
          <w:sz w:val="24"/>
        </w:rPr>
        <w:t>耗时差异分析采用Welch's t检验。Shapiro-Wilk正态性检验结果显示，A组数据（W=0.9912, P=0.13552）和B组数据（W=0.9918, P=0.18123）均满足正态性假设（P&gt;0.05），故采用参数检验。</w:t>
      </w:r>
    </w:p>
    <w:p>
      <w:pPr>
        <w:spacing w:line="440" w:lineRule="exact"/>
        <w:ind w:firstLine="480"/>
      </w:pPr>
      <w:r>
        <w:rPr>
          <w:rFonts w:ascii="宋体" w:hAnsi="宋体" w:eastAsia="宋体"/>
          <w:sz w:val="24"/>
        </w:rPr>
        <w:t>检验结果显示，B组平均耗时（9.74 ± 3.71 min）显著低于A组（17.42 ± 5.89 min），t(431.83)=17.4491，P&lt;0.001。均值差为7.68分钟（44.1%），95%置信区间为[6.82, 8.54]。Cohen's d效应量为1.5607，属于大效应 (large)。</w:t>
      </w:r>
    </w:p>
    <w:p>
      <w:pPr>
        <w:jc w:val="center"/>
      </w:pPr>
      <w:r>
        <w:rPr>
          <w:b/>
          <w:sz w:val="21"/>
        </w:rPr>
        <w:t>表5 两组耗时差异统计检验结果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3"/>
        <w:gridCol w:w="4323"/>
      </w:tblGrid>
      <w:tr>
        <w:tc>
          <w:tcPr>
            <w:tcW w:type="dxa" w:w="4323"/>
            <w:shd w:fill="D9E2F3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指标</w:t>
            </w:r>
          </w:p>
        </w:tc>
        <w:tc>
          <w:tcPr>
            <w:tcW w:type="dxa" w:w="4323"/>
            <w:shd w:fill="D9E2F3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数值</w:t>
            </w:r>
          </w:p>
        </w:tc>
      </w:tr>
      <w:tr>
        <w:tc>
          <w:tcPr>
            <w:tcW w:type="dxa" w:w="4323"/>
          </w:tcPr>
          <w:p>
            <w:r/>
            <w:r>
              <w:rPr>
                <w:rFonts w:ascii="宋体" w:hAnsi="宋体" w:eastAsia="宋体"/>
                <w:sz w:val="18"/>
              </w:rPr>
              <w:t>检验方法</w:t>
            </w:r>
          </w:p>
        </w:tc>
        <w:tc>
          <w:tcPr>
            <w:tcW w:type="dxa" w:w="4323"/>
          </w:tcPr>
          <w:p>
            <w:r/>
            <w:r>
              <w:rPr>
                <w:rFonts w:ascii="宋体" w:hAnsi="宋体" w:eastAsia="宋体"/>
                <w:sz w:val="18"/>
              </w:rPr>
              <w:t>Welch's t-test (独立样本)</w:t>
            </w:r>
          </w:p>
        </w:tc>
      </w:tr>
      <w:tr>
        <w:tc>
          <w:tcPr>
            <w:tcW w:type="dxa" w:w="4323"/>
          </w:tcPr>
          <w:p>
            <w:r/>
            <w:r>
              <w:rPr>
                <w:rFonts w:ascii="宋体" w:hAnsi="宋体" w:eastAsia="宋体"/>
                <w:sz w:val="18"/>
              </w:rPr>
              <w:t>A组平均耗时（min）</w:t>
            </w:r>
          </w:p>
        </w:tc>
        <w:tc>
          <w:tcPr>
            <w:tcW w:type="dxa" w:w="4323"/>
          </w:tcPr>
          <w:p>
            <w:r/>
            <w:r>
              <w:rPr>
                <w:rFonts w:ascii="宋体" w:hAnsi="宋体" w:eastAsia="宋体"/>
                <w:sz w:val="18"/>
              </w:rPr>
              <w:t>17.42 ± 5.89</w:t>
            </w:r>
          </w:p>
        </w:tc>
      </w:tr>
      <w:tr>
        <w:tc>
          <w:tcPr>
            <w:tcW w:type="dxa" w:w="4323"/>
          </w:tcPr>
          <w:p>
            <w:r/>
            <w:r>
              <w:rPr>
                <w:rFonts w:ascii="宋体" w:hAnsi="宋体" w:eastAsia="宋体"/>
                <w:sz w:val="18"/>
              </w:rPr>
              <w:t>B组平均耗时（min）</w:t>
            </w:r>
          </w:p>
        </w:tc>
        <w:tc>
          <w:tcPr>
            <w:tcW w:type="dxa" w:w="4323"/>
          </w:tcPr>
          <w:p>
            <w:r/>
            <w:r>
              <w:rPr>
                <w:rFonts w:ascii="宋体" w:hAnsi="宋体" w:eastAsia="宋体"/>
                <w:sz w:val="18"/>
              </w:rPr>
              <w:t>9.74 ± 3.71</w:t>
            </w:r>
          </w:p>
        </w:tc>
      </w:tr>
      <w:tr>
        <w:tc>
          <w:tcPr>
            <w:tcW w:type="dxa" w:w="4323"/>
          </w:tcPr>
          <w:p>
            <w:r/>
            <w:r>
              <w:rPr>
                <w:rFonts w:ascii="宋体" w:hAnsi="宋体" w:eastAsia="宋体"/>
                <w:sz w:val="18"/>
              </w:rPr>
              <w:t>均值差（A - B, min）</w:t>
            </w:r>
          </w:p>
        </w:tc>
        <w:tc>
          <w:tcPr>
            <w:tcW w:type="dxa" w:w="4323"/>
          </w:tcPr>
          <w:p>
            <w:r/>
            <w:r>
              <w:rPr>
                <w:rFonts w:ascii="宋体" w:hAnsi="宋体" w:eastAsia="宋体"/>
                <w:sz w:val="18"/>
              </w:rPr>
              <w:t>7.68</w:t>
            </w:r>
          </w:p>
        </w:tc>
      </w:tr>
      <w:tr>
        <w:tc>
          <w:tcPr>
            <w:tcW w:type="dxa" w:w="4323"/>
          </w:tcPr>
          <w:p>
            <w:r/>
            <w:r>
              <w:rPr>
                <w:rFonts w:ascii="宋体" w:hAnsi="宋体" w:eastAsia="宋体"/>
                <w:sz w:val="18"/>
              </w:rPr>
              <w:t>均值差 95% CI</w:t>
            </w:r>
          </w:p>
        </w:tc>
        <w:tc>
          <w:tcPr>
            <w:tcW w:type="dxa" w:w="4323"/>
          </w:tcPr>
          <w:p>
            <w:r/>
            <w:r>
              <w:rPr>
                <w:rFonts w:ascii="宋体" w:hAnsi="宋体" w:eastAsia="宋体"/>
                <w:sz w:val="18"/>
              </w:rPr>
              <w:t>[6.82, 8.54]</w:t>
            </w:r>
          </w:p>
        </w:tc>
      </w:tr>
      <w:tr>
        <w:tc>
          <w:tcPr>
            <w:tcW w:type="dxa" w:w="4323"/>
          </w:tcPr>
          <w:p>
            <w:r/>
            <w:r>
              <w:rPr>
                <w:rFonts w:ascii="宋体" w:hAnsi="宋体" w:eastAsia="宋体"/>
                <w:sz w:val="18"/>
              </w:rPr>
              <w:t>Welch's t</w:t>
            </w:r>
          </w:p>
        </w:tc>
        <w:tc>
          <w:tcPr>
            <w:tcW w:type="dxa" w:w="4323"/>
          </w:tcPr>
          <w:p>
            <w:r/>
            <w:r>
              <w:rPr>
                <w:rFonts w:ascii="宋体" w:hAnsi="宋体" w:eastAsia="宋体"/>
                <w:sz w:val="18"/>
              </w:rPr>
              <w:t>17.4491</w:t>
            </w:r>
          </w:p>
        </w:tc>
      </w:tr>
      <w:tr>
        <w:tc>
          <w:tcPr>
            <w:tcW w:type="dxa" w:w="4323"/>
          </w:tcPr>
          <w:p>
            <w:r/>
            <w:r>
              <w:rPr>
                <w:rFonts w:ascii="宋体" w:hAnsi="宋体" w:eastAsia="宋体"/>
                <w:sz w:val="18"/>
              </w:rPr>
              <w:t>P 值</w:t>
            </w:r>
          </w:p>
        </w:tc>
        <w:tc>
          <w:tcPr>
            <w:tcW w:type="dxa" w:w="4323"/>
          </w:tcPr>
          <w:p>
            <w:r/>
            <w:r>
              <w:rPr>
                <w:rFonts w:ascii="宋体" w:hAnsi="宋体" w:eastAsia="宋体"/>
                <w:sz w:val="18"/>
              </w:rPr>
              <w:t>&lt;0.001***</w:t>
            </w:r>
          </w:p>
        </w:tc>
      </w:tr>
      <w:tr>
        <w:tc>
          <w:tcPr>
            <w:tcW w:type="dxa" w:w="4323"/>
          </w:tcPr>
          <w:p>
            <w:r/>
            <w:r>
              <w:rPr>
                <w:rFonts w:ascii="宋体" w:hAnsi="宋体" w:eastAsia="宋体"/>
                <w:sz w:val="18"/>
              </w:rPr>
              <w:t>统计显著性</w:t>
            </w:r>
          </w:p>
        </w:tc>
        <w:tc>
          <w:tcPr>
            <w:tcW w:type="dxa" w:w="4323"/>
          </w:tcPr>
          <w:p>
            <w:r/>
            <w:r>
              <w:rPr>
                <w:rFonts w:ascii="宋体" w:hAnsi="宋体" w:eastAsia="宋体"/>
                <w:sz w:val="18"/>
              </w:rPr>
              <w:t>极显著（P&lt;0.001）</w:t>
            </w:r>
          </w:p>
        </w:tc>
      </w:tr>
      <w:tr>
        <w:tc>
          <w:tcPr>
            <w:tcW w:type="dxa" w:w="4323"/>
          </w:tcPr>
          <w:p>
            <w:r/>
            <w:r>
              <w:rPr>
                <w:rFonts w:ascii="宋体" w:hAnsi="宋体" w:eastAsia="宋体"/>
                <w:sz w:val="18"/>
              </w:rPr>
              <w:t>Cohen's d</w:t>
            </w:r>
          </w:p>
        </w:tc>
        <w:tc>
          <w:tcPr>
            <w:tcW w:type="dxa" w:w="4323"/>
          </w:tcPr>
          <w:p>
            <w:r/>
            <w:r>
              <w:rPr>
                <w:rFonts w:ascii="宋体" w:hAnsi="宋体" w:eastAsia="宋体"/>
                <w:sz w:val="18"/>
              </w:rPr>
              <w:t>1.5607（大效应 (large)）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298561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ime_cost_boxplot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9856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宋体" w:hAnsi="宋体" w:eastAsia="宋体"/>
          <w:i/>
          <w:sz w:val="18"/>
        </w:rPr>
        <w:t>图4 两组分析耗时分布箱线图（含个体数据点与统计标注）</w:t>
      </w:r>
    </w:p>
    <w:p>
      <w:pPr>
        <w:pStyle w:val="Heading2"/>
      </w:pPr>
      <w:r>
        <w:rPr>
          <w:rFonts w:ascii="黑体" w:hAnsi="黑体" w:eastAsia="黑体"/>
        </w:rPr>
        <w:t>3.4 AI与判决一致率</w:t>
      </w:r>
    </w:p>
    <w:p>
      <w:pPr>
        <w:spacing w:line="440" w:lineRule="exact"/>
        <w:ind w:firstLine="480"/>
      </w:pPr>
      <w:r>
        <w:rPr>
          <w:rFonts w:ascii="宋体" w:hAnsi="宋体" w:eastAsia="宋体"/>
          <w:sz w:val="24"/>
        </w:rPr>
        <w:t>以法院生效判决为金标准，AI分析结论与判决的一致率为88.0%（22/25）。分类性能指标为：Precision=0.9474，Recall=0.9000，F1=0.9231，Specificity=0.9000，Accuracy=0.8800。</w:t>
      </w:r>
    </w:p>
    <w:p>
      <w:pPr>
        <w:jc w:val="center"/>
      </w:pPr>
      <w:r>
        <w:rPr>
          <w:b/>
          <w:sz w:val="21"/>
        </w:rPr>
        <w:t>表6 AI分析结论与实际判决一致性评估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3"/>
        <w:gridCol w:w="4323"/>
      </w:tblGrid>
      <w:tr>
        <w:tc>
          <w:tcPr>
            <w:tcW w:type="dxa" w:w="4323"/>
            <w:shd w:fill="D9E2F3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指标</w:t>
            </w:r>
          </w:p>
        </w:tc>
        <w:tc>
          <w:tcPr>
            <w:tcW w:type="dxa" w:w="4323"/>
            <w:shd w:fill="D9E2F3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数值</w:t>
            </w:r>
          </w:p>
        </w:tc>
      </w:tr>
      <w:tr>
        <w:tc>
          <w:tcPr>
            <w:tcW w:type="dxa" w:w="4323"/>
          </w:tcPr>
          <w:p>
            <w:r/>
            <w:r>
              <w:rPr>
                <w:rFonts w:ascii="宋体" w:hAnsi="宋体" w:eastAsia="宋体"/>
                <w:sz w:val="18"/>
              </w:rPr>
              <w:t>总案例数</w:t>
            </w:r>
          </w:p>
        </w:tc>
        <w:tc>
          <w:tcPr>
            <w:tcW w:type="dxa" w:w="4323"/>
          </w:tcPr>
          <w:p>
            <w:r/>
            <w:r>
              <w:rPr>
                <w:rFonts w:ascii="宋体" w:hAnsi="宋体" w:eastAsia="宋体"/>
                <w:sz w:val="18"/>
              </w:rPr>
              <w:t>25</w:t>
            </w:r>
          </w:p>
        </w:tc>
      </w:tr>
      <w:tr>
        <w:tc>
          <w:tcPr>
            <w:tcW w:type="dxa" w:w="4323"/>
          </w:tcPr>
          <w:p>
            <w:r/>
            <w:r>
              <w:rPr>
                <w:rFonts w:ascii="宋体" w:hAnsi="宋体" w:eastAsia="宋体"/>
                <w:sz w:val="18"/>
              </w:rPr>
              <w:t>一致案例数</w:t>
            </w:r>
          </w:p>
        </w:tc>
        <w:tc>
          <w:tcPr>
            <w:tcW w:type="dxa" w:w="4323"/>
          </w:tcPr>
          <w:p>
            <w:r/>
            <w:r>
              <w:rPr>
                <w:rFonts w:ascii="宋体" w:hAnsi="宋体" w:eastAsia="宋体"/>
                <w:sz w:val="18"/>
              </w:rPr>
              <w:t>22</w:t>
            </w:r>
          </w:p>
        </w:tc>
      </w:tr>
      <w:tr>
        <w:tc>
          <w:tcPr>
            <w:tcW w:type="dxa" w:w="4323"/>
          </w:tcPr>
          <w:p>
            <w:r/>
            <w:r>
              <w:rPr>
                <w:rFonts w:ascii="宋体" w:hAnsi="宋体" w:eastAsia="宋体"/>
                <w:sz w:val="18"/>
              </w:rPr>
              <w:t>不一致案例数</w:t>
            </w:r>
          </w:p>
        </w:tc>
        <w:tc>
          <w:tcPr>
            <w:tcW w:type="dxa" w:w="4323"/>
          </w:tcPr>
          <w:p>
            <w:r/>
            <w:r>
              <w:rPr>
                <w:rFonts w:ascii="宋体" w:hAnsi="宋体" w:eastAsia="宋体"/>
                <w:sz w:val="18"/>
              </w:rPr>
              <w:t>3</w:t>
            </w:r>
          </w:p>
        </w:tc>
      </w:tr>
      <w:tr>
        <w:tc>
          <w:tcPr>
            <w:tcW w:type="dxa" w:w="4323"/>
          </w:tcPr>
          <w:p>
            <w:r/>
            <w:r>
              <w:rPr>
                <w:rFonts w:ascii="宋体" w:hAnsi="宋体" w:eastAsia="宋体"/>
                <w:sz w:val="18"/>
              </w:rPr>
              <w:t>一致率</w:t>
            </w:r>
          </w:p>
        </w:tc>
        <w:tc>
          <w:tcPr>
            <w:tcW w:type="dxa" w:w="4323"/>
          </w:tcPr>
          <w:p>
            <w:r/>
            <w:r>
              <w:rPr>
                <w:rFonts w:ascii="宋体" w:hAnsi="宋体" w:eastAsia="宋体"/>
                <w:sz w:val="18"/>
              </w:rPr>
              <w:t>88.0%</w:t>
            </w:r>
          </w:p>
        </w:tc>
      </w:tr>
      <w:tr>
        <w:tc>
          <w:tcPr>
            <w:tcW w:type="dxa" w:w="4323"/>
          </w:tcPr>
          <w:p>
            <w:r/>
            <w:r>
              <w:rPr>
                <w:rFonts w:ascii="宋体" w:hAnsi="宋体" w:eastAsia="宋体"/>
                <w:sz w:val="18"/>
              </w:rPr>
              <w:t>Precision</w:t>
            </w:r>
          </w:p>
        </w:tc>
        <w:tc>
          <w:tcPr>
            <w:tcW w:type="dxa" w:w="4323"/>
          </w:tcPr>
          <w:p>
            <w:r/>
            <w:r>
              <w:rPr>
                <w:rFonts w:ascii="宋体" w:hAnsi="宋体" w:eastAsia="宋体"/>
                <w:sz w:val="18"/>
              </w:rPr>
              <w:t>0.9474</w:t>
            </w:r>
          </w:p>
        </w:tc>
      </w:tr>
      <w:tr>
        <w:tc>
          <w:tcPr>
            <w:tcW w:type="dxa" w:w="4323"/>
          </w:tcPr>
          <w:p>
            <w:r/>
            <w:r>
              <w:rPr>
                <w:rFonts w:ascii="宋体" w:hAnsi="宋体" w:eastAsia="宋体"/>
                <w:sz w:val="18"/>
              </w:rPr>
              <w:t>Recall</w:t>
            </w:r>
          </w:p>
        </w:tc>
        <w:tc>
          <w:tcPr>
            <w:tcW w:type="dxa" w:w="4323"/>
          </w:tcPr>
          <w:p>
            <w:r/>
            <w:r>
              <w:rPr>
                <w:rFonts w:ascii="宋体" w:hAnsi="宋体" w:eastAsia="宋体"/>
                <w:sz w:val="18"/>
              </w:rPr>
              <w:t>0.9000</w:t>
            </w:r>
          </w:p>
        </w:tc>
      </w:tr>
      <w:tr>
        <w:tc>
          <w:tcPr>
            <w:tcW w:type="dxa" w:w="4323"/>
          </w:tcPr>
          <w:p>
            <w:r/>
            <w:r>
              <w:rPr>
                <w:rFonts w:ascii="宋体" w:hAnsi="宋体" w:eastAsia="宋体"/>
                <w:sz w:val="18"/>
              </w:rPr>
              <w:t>F1 Score</w:t>
            </w:r>
          </w:p>
        </w:tc>
        <w:tc>
          <w:tcPr>
            <w:tcW w:type="dxa" w:w="4323"/>
          </w:tcPr>
          <w:p>
            <w:r/>
            <w:r>
              <w:rPr>
                <w:rFonts w:ascii="宋体" w:hAnsi="宋体" w:eastAsia="宋体"/>
                <w:sz w:val="18"/>
              </w:rPr>
              <w:t>0.9231</w:t>
            </w:r>
          </w:p>
        </w:tc>
      </w:tr>
      <w:tr>
        <w:tc>
          <w:tcPr>
            <w:tcW w:type="dxa" w:w="4323"/>
          </w:tcPr>
          <w:p>
            <w:r/>
            <w:r>
              <w:rPr>
                <w:rFonts w:ascii="宋体" w:hAnsi="宋体" w:eastAsia="宋体"/>
                <w:sz w:val="18"/>
              </w:rPr>
              <w:t>Specificity</w:t>
            </w:r>
          </w:p>
        </w:tc>
        <w:tc>
          <w:tcPr>
            <w:tcW w:type="dxa" w:w="4323"/>
          </w:tcPr>
          <w:p>
            <w:r/>
            <w:r>
              <w:rPr>
                <w:rFonts w:ascii="宋体" w:hAnsi="宋体" w:eastAsia="宋体"/>
                <w:sz w:val="18"/>
              </w:rPr>
              <w:t>0.9000</w:t>
            </w:r>
          </w:p>
        </w:tc>
      </w:tr>
      <w:tr>
        <w:tc>
          <w:tcPr>
            <w:tcW w:type="dxa" w:w="4323"/>
          </w:tcPr>
          <w:p>
            <w:r/>
            <w:r>
              <w:rPr>
                <w:rFonts w:ascii="宋体" w:hAnsi="宋体" w:eastAsia="宋体"/>
                <w:sz w:val="18"/>
              </w:rPr>
              <w:t>Accuracy</w:t>
            </w:r>
          </w:p>
        </w:tc>
        <w:tc>
          <w:tcPr>
            <w:tcW w:type="dxa" w:w="4323"/>
          </w:tcPr>
          <w:p>
            <w:r/>
            <w:r>
              <w:rPr>
                <w:rFonts w:ascii="宋体" w:hAnsi="宋体" w:eastAsia="宋体"/>
                <w:sz w:val="18"/>
              </w:rPr>
              <w:t>0.8800</w:t>
            </w:r>
          </w:p>
        </w:tc>
      </w:tr>
    </w:tbl>
    <w:p/>
    <w:p>
      <w:pPr>
        <w:jc w:val="center"/>
      </w:pPr>
      <w:r>
        <w:rPr>
          <w:b/>
          <w:sz w:val="21"/>
        </w:rPr>
        <w:t>表7 按案件难度分层的AI一致率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9"/>
        <w:gridCol w:w="1729"/>
        <w:gridCol w:w="1729"/>
        <w:gridCol w:w="1729"/>
        <w:gridCol w:w="1729"/>
      </w:tblGrid>
      <w:tr>
        <w:tc>
          <w:tcPr>
            <w:tcW w:type="dxa" w:w="1729"/>
            <w:shd w:fill="D9E2F3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案件难度</w:t>
            </w:r>
          </w:p>
        </w:tc>
        <w:tc>
          <w:tcPr>
            <w:tcW w:type="dxa" w:w="1729"/>
            <w:shd w:fill="D9E2F3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总案例数</w:t>
            </w:r>
          </w:p>
        </w:tc>
        <w:tc>
          <w:tcPr>
            <w:tcW w:type="dxa" w:w="1729"/>
            <w:shd w:fill="D9E2F3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一致数</w:t>
            </w:r>
          </w:p>
        </w:tc>
        <w:tc>
          <w:tcPr>
            <w:tcW w:type="dxa" w:w="1729"/>
            <w:shd w:fill="D9E2F3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不一致数</w:t>
            </w:r>
          </w:p>
        </w:tc>
        <w:tc>
          <w:tcPr>
            <w:tcW w:type="dxa" w:w="1729"/>
            <w:shd w:fill="D9E2F3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一致率</w:t>
            </w:r>
          </w:p>
        </w:tc>
      </w:tr>
      <w:tr>
        <w:tc>
          <w:tcPr>
            <w:tcW w:type="dxa" w:w="1729"/>
          </w:tcPr>
          <w:p>
            <w:r/>
            <w:r>
              <w:rPr>
                <w:rFonts w:ascii="宋体" w:hAnsi="宋体" w:eastAsia="宋体"/>
                <w:sz w:val="18"/>
              </w:rPr>
              <w:t>难</w:t>
            </w:r>
          </w:p>
        </w:tc>
        <w:tc>
          <w:tcPr>
            <w:tcW w:type="dxa" w:w="1729"/>
          </w:tcPr>
          <w:p>
            <w:r/>
            <w:r>
              <w:rPr>
                <w:rFonts w:ascii="宋体" w:hAnsi="宋体" w:eastAsia="宋体"/>
                <w:sz w:val="18"/>
              </w:rPr>
              <w:t>5</w:t>
            </w:r>
          </w:p>
        </w:tc>
        <w:tc>
          <w:tcPr>
            <w:tcW w:type="dxa" w:w="1729"/>
          </w:tcPr>
          <w:p>
            <w:r/>
            <w:r>
              <w:rPr>
                <w:rFonts w:ascii="宋体" w:hAnsi="宋体" w:eastAsia="宋体"/>
                <w:sz w:val="18"/>
              </w:rPr>
              <w:t>4</w:t>
            </w:r>
          </w:p>
        </w:tc>
        <w:tc>
          <w:tcPr>
            <w:tcW w:type="dxa" w:w="1729"/>
          </w:tcPr>
          <w:p>
            <w:r/>
            <w:r>
              <w:rPr>
                <w:rFonts w:ascii="宋体" w:hAnsi="宋体" w:eastAsia="宋体"/>
                <w:sz w:val="18"/>
              </w:rPr>
              <w:t>1</w:t>
            </w:r>
          </w:p>
        </w:tc>
        <w:tc>
          <w:tcPr>
            <w:tcW w:type="dxa" w:w="1729"/>
          </w:tcPr>
          <w:p>
            <w:r/>
            <w:r>
              <w:rPr>
                <w:rFonts w:ascii="宋体" w:hAnsi="宋体" w:eastAsia="宋体"/>
                <w:sz w:val="18"/>
              </w:rPr>
              <w:t>80.0%</w:t>
            </w:r>
          </w:p>
        </w:tc>
      </w:tr>
      <w:tr>
        <w:tc>
          <w:tcPr>
            <w:tcW w:type="dxa" w:w="1729"/>
          </w:tcPr>
          <w:p>
            <w:r/>
            <w:r>
              <w:rPr>
                <w:rFonts w:ascii="宋体" w:hAnsi="宋体" w:eastAsia="宋体"/>
                <w:sz w:val="18"/>
              </w:rPr>
              <w:t>中</w:t>
            </w:r>
          </w:p>
        </w:tc>
        <w:tc>
          <w:tcPr>
            <w:tcW w:type="dxa" w:w="1729"/>
          </w:tcPr>
          <w:p>
            <w:r/>
            <w:r>
              <w:rPr>
                <w:rFonts w:ascii="宋体" w:hAnsi="宋体" w:eastAsia="宋体"/>
                <w:sz w:val="18"/>
              </w:rPr>
              <w:t>6</w:t>
            </w:r>
          </w:p>
        </w:tc>
        <w:tc>
          <w:tcPr>
            <w:tcW w:type="dxa" w:w="1729"/>
          </w:tcPr>
          <w:p>
            <w:r/>
            <w:r>
              <w:rPr>
                <w:rFonts w:ascii="宋体" w:hAnsi="宋体" w:eastAsia="宋体"/>
                <w:sz w:val="18"/>
              </w:rPr>
              <w:t>5</w:t>
            </w:r>
          </w:p>
        </w:tc>
        <w:tc>
          <w:tcPr>
            <w:tcW w:type="dxa" w:w="1729"/>
          </w:tcPr>
          <w:p>
            <w:r/>
            <w:r>
              <w:rPr>
                <w:rFonts w:ascii="宋体" w:hAnsi="宋体" w:eastAsia="宋体"/>
                <w:sz w:val="18"/>
              </w:rPr>
              <w:t>1</w:t>
            </w:r>
          </w:p>
        </w:tc>
        <w:tc>
          <w:tcPr>
            <w:tcW w:type="dxa" w:w="1729"/>
          </w:tcPr>
          <w:p>
            <w:r/>
            <w:r>
              <w:rPr>
                <w:rFonts w:ascii="宋体" w:hAnsi="宋体" w:eastAsia="宋体"/>
                <w:sz w:val="18"/>
              </w:rPr>
              <w:t>83.3%</w:t>
            </w:r>
          </w:p>
        </w:tc>
      </w:tr>
      <w:tr>
        <w:tc>
          <w:tcPr>
            <w:tcW w:type="dxa" w:w="1729"/>
          </w:tcPr>
          <w:p>
            <w:r/>
            <w:r>
              <w:rPr>
                <w:rFonts w:ascii="宋体" w:hAnsi="宋体" w:eastAsia="宋体"/>
                <w:sz w:val="18"/>
              </w:rPr>
              <w:t>易</w:t>
            </w:r>
          </w:p>
        </w:tc>
        <w:tc>
          <w:tcPr>
            <w:tcW w:type="dxa" w:w="1729"/>
          </w:tcPr>
          <w:p>
            <w:r/>
            <w:r>
              <w:rPr>
                <w:rFonts w:ascii="宋体" w:hAnsi="宋体" w:eastAsia="宋体"/>
                <w:sz w:val="18"/>
              </w:rPr>
              <w:t>14</w:t>
            </w:r>
          </w:p>
        </w:tc>
        <w:tc>
          <w:tcPr>
            <w:tcW w:type="dxa" w:w="1729"/>
          </w:tcPr>
          <w:p>
            <w:r/>
            <w:r>
              <w:rPr>
                <w:rFonts w:ascii="宋体" w:hAnsi="宋体" w:eastAsia="宋体"/>
                <w:sz w:val="18"/>
              </w:rPr>
              <w:t>13</w:t>
            </w:r>
          </w:p>
        </w:tc>
        <w:tc>
          <w:tcPr>
            <w:tcW w:type="dxa" w:w="1729"/>
          </w:tcPr>
          <w:p>
            <w:r/>
            <w:r>
              <w:rPr>
                <w:rFonts w:ascii="宋体" w:hAnsi="宋体" w:eastAsia="宋体"/>
                <w:sz w:val="18"/>
              </w:rPr>
              <w:t>1</w:t>
            </w:r>
          </w:p>
        </w:tc>
        <w:tc>
          <w:tcPr>
            <w:tcW w:type="dxa" w:w="1729"/>
          </w:tcPr>
          <w:p>
            <w:r/>
            <w:r>
              <w:rPr>
                <w:rFonts w:ascii="宋体" w:hAnsi="宋体" w:eastAsia="宋体"/>
                <w:sz w:val="18"/>
              </w:rPr>
              <w:t>92.9%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4375379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nfusion_matrix_heatmap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437537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宋体" w:hAnsi="宋体" w:eastAsia="宋体"/>
          <w:i/>
          <w:sz w:val="18"/>
        </w:rPr>
        <w:t>图5 AI结论与法院判决混淆矩阵（含分类性能指标）</w:t>
      </w:r>
    </w:p>
    <w:p>
      <w:pPr>
        <w:pStyle w:val="Heading2"/>
      </w:pPr>
      <w:r>
        <w:rPr>
          <w:rFonts w:ascii="黑体" w:hAnsi="黑体" w:eastAsia="黑体"/>
        </w:rPr>
        <w:t>3.5 不一致案例分析</w:t>
      </w:r>
    </w:p>
    <w:p>
      <w:pPr>
        <w:spacing w:line="440" w:lineRule="exact"/>
        <w:ind w:firstLine="480"/>
      </w:pPr>
      <w:r>
        <w:rPr>
          <w:rFonts w:ascii="宋体" w:hAnsi="宋体" w:eastAsia="宋体"/>
          <w:sz w:val="24"/>
        </w:rPr>
        <w:t>在25件案件中，AI分析结论与法院判决不一致的案例共3件（占12.0%）。其中，假阳性案例1件（33.3%），假阴性案例2件（66.7%）。</w:t>
      </w:r>
    </w:p>
    <w:p>
      <w:pPr>
        <w:jc w:val="center"/>
      </w:pPr>
      <w:r>
        <w:rPr>
          <w:b/>
          <w:sz w:val="21"/>
        </w:rPr>
        <w:t>表8 AI-判决不一致案例分类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9"/>
        <w:gridCol w:w="1729"/>
        <w:gridCol w:w="1729"/>
        <w:gridCol w:w="1729"/>
        <w:gridCol w:w="1729"/>
      </w:tblGrid>
      <w:tr>
        <w:tc>
          <w:tcPr>
            <w:tcW w:type="dxa" w:w="1729"/>
            <w:shd w:fill="D9E2F3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不一致类型</w:t>
            </w:r>
          </w:p>
        </w:tc>
        <w:tc>
          <w:tcPr>
            <w:tcW w:type="dxa" w:w="1729"/>
            <w:shd w:fill="D9E2F3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案例数</w:t>
            </w:r>
          </w:p>
        </w:tc>
        <w:tc>
          <w:tcPr>
            <w:tcW w:type="dxa" w:w="1729"/>
            <w:shd w:fill="D9E2F3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占比</w:t>
            </w:r>
          </w:p>
        </w:tc>
        <w:tc>
          <w:tcPr>
            <w:tcW w:type="dxa" w:w="1729"/>
            <w:shd w:fill="D9E2F3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案例编号</w:t>
            </w:r>
          </w:p>
        </w:tc>
        <w:tc>
          <w:tcPr>
            <w:tcW w:type="dxa" w:w="1729"/>
            <w:shd w:fill="D9E2F3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特征描述</w:t>
            </w:r>
          </w:p>
        </w:tc>
      </w:tr>
      <w:tr>
        <w:tc>
          <w:tcPr>
            <w:tcW w:type="dxa" w:w="1729"/>
          </w:tcPr>
          <w:p>
            <w:r/>
            <w:r>
              <w:rPr>
                <w:rFonts w:ascii="宋体" w:hAnsi="宋体" w:eastAsia="宋体"/>
                <w:sz w:val="18"/>
              </w:rPr>
              <w:t>假阳性（AI高估明知）</w:t>
            </w:r>
          </w:p>
        </w:tc>
        <w:tc>
          <w:tcPr>
            <w:tcW w:type="dxa" w:w="1729"/>
          </w:tcPr>
          <w:p>
            <w:r/>
            <w:r>
              <w:rPr>
                <w:rFonts w:ascii="宋体" w:hAnsi="宋体" w:eastAsia="宋体"/>
                <w:sz w:val="18"/>
              </w:rPr>
              <w:t>1</w:t>
            </w:r>
          </w:p>
        </w:tc>
        <w:tc>
          <w:tcPr>
            <w:tcW w:type="dxa" w:w="1729"/>
          </w:tcPr>
          <w:p>
            <w:r/>
            <w:r>
              <w:rPr>
                <w:rFonts w:ascii="宋体" w:hAnsi="宋体" w:eastAsia="宋体"/>
                <w:sz w:val="18"/>
              </w:rPr>
              <w:t>33.3%</w:t>
            </w:r>
          </w:p>
        </w:tc>
        <w:tc>
          <w:tcPr>
            <w:tcW w:type="dxa" w:w="1729"/>
          </w:tcPr>
          <w:p>
            <w:r/>
            <w:r>
              <w:rPr>
                <w:rFonts w:ascii="宋体" w:hAnsi="宋体" w:eastAsia="宋体"/>
                <w:sz w:val="18"/>
              </w:rPr>
              <w:t>GZ2023BX022</w:t>
            </w:r>
          </w:p>
        </w:tc>
        <w:tc>
          <w:tcPr>
            <w:tcW w:type="dxa" w:w="1729"/>
          </w:tcPr>
          <w:p>
            <w:r/>
            <w:r>
              <w:rPr>
                <w:rFonts w:ascii="宋体" w:hAnsi="宋体" w:eastAsia="宋体"/>
                <w:sz w:val="18"/>
              </w:rPr>
              <w:t>AI判定为“认定明知”，但法院实际判决为“不认定明知”</w:t>
            </w:r>
          </w:p>
        </w:tc>
      </w:tr>
      <w:tr>
        <w:tc>
          <w:tcPr>
            <w:tcW w:type="dxa" w:w="1729"/>
          </w:tcPr>
          <w:p>
            <w:r/>
            <w:r>
              <w:rPr>
                <w:rFonts w:ascii="宋体" w:hAnsi="宋体" w:eastAsia="宋体"/>
                <w:sz w:val="18"/>
              </w:rPr>
              <w:t>假阴性（AI低估明知）</w:t>
            </w:r>
          </w:p>
        </w:tc>
        <w:tc>
          <w:tcPr>
            <w:tcW w:type="dxa" w:w="1729"/>
          </w:tcPr>
          <w:p>
            <w:r/>
            <w:r>
              <w:rPr>
                <w:rFonts w:ascii="宋体" w:hAnsi="宋体" w:eastAsia="宋体"/>
                <w:sz w:val="18"/>
              </w:rPr>
              <w:t>2</w:t>
            </w:r>
          </w:p>
        </w:tc>
        <w:tc>
          <w:tcPr>
            <w:tcW w:type="dxa" w:w="1729"/>
          </w:tcPr>
          <w:p>
            <w:r/>
            <w:r>
              <w:rPr>
                <w:rFonts w:ascii="宋体" w:hAnsi="宋体" w:eastAsia="宋体"/>
                <w:sz w:val="18"/>
              </w:rPr>
              <w:t>66.7%</w:t>
            </w:r>
          </w:p>
        </w:tc>
        <w:tc>
          <w:tcPr>
            <w:tcW w:type="dxa" w:w="1729"/>
          </w:tcPr>
          <w:p>
            <w:r/>
            <w:r>
              <w:rPr>
                <w:rFonts w:ascii="宋体" w:hAnsi="宋体" w:eastAsia="宋体"/>
                <w:sz w:val="18"/>
              </w:rPr>
              <w:t>GZ2023BX014, GZ2023BX016</w:t>
            </w:r>
          </w:p>
        </w:tc>
        <w:tc>
          <w:tcPr>
            <w:tcW w:type="dxa" w:w="1729"/>
          </w:tcPr>
          <w:p>
            <w:r/>
            <w:r>
              <w:rPr>
                <w:rFonts w:ascii="宋体" w:hAnsi="宋体" w:eastAsia="宋体"/>
                <w:sz w:val="18"/>
              </w:rPr>
              <w:t>AI判定为“不认定明知”，但法院实际判决为“认定明知”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2328725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consistent_cases_pi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287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宋体" w:hAnsi="宋体" w:eastAsia="宋体"/>
          <w:i/>
          <w:sz w:val="18"/>
        </w:rPr>
        <w:t>图6 AI-判决不一致案例分类及按难度分布饼图</w:t>
      </w:r>
    </w:p>
    <w:p>
      <w:pPr>
        <w:spacing w:line="440" w:lineRule="exact"/>
        <w:ind w:firstLine="480"/>
      </w:pPr>
      <w:r>
        <w:rPr>
          <w:rFonts w:ascii="宋体" w:hAnsi="宋体" w:eastAsia="宋体"/>
          <w:sz w:val="24"/>
        </w:rPr>
        <w:t>通过对不一致案例的深入定性分析，AI与判决不一致的可能原因包括：（1）AI对间接证据的权重判断与司法实践存在偏差，特别是在推定明知的条件判断上；（2）AI对辩解合理性的评估与法官裁量不一致，部分案件中行为人的辩解理由在AI看来缺乏说服力，但法官基于廷审表现等综合因素认为辩解合理；（3）AI对特殊情境（如胁迫、被欺骗等）的识别能力有限。这些发现为AI分析工具的优化提供了明确的方向。</w:t>
      </w:r>
    </w:p>
    <w:p>
      <w:r>
        <w:br w:type="page"/>
      </w:r>
    </w:p>
    <w:p>
      <w:pPr>
        <w:pStyle w:val="Heading1"/>
      </w:pPr>
      <w:r>
        <w:rPr>
          <w:rFonts w:ascii="黑体" w:hAnsi="黑体" w:eastAsia="黑体"/>
        </w:rPr>
        <w:t>4 讨论与结论</w:t>
      </w:r>
    </w:p>
    <w:p>
      <w:pPr>
        <w:pStyle w:val="Heading2"/>
      </w:pPr>
      <w:r>
        <w:rPr>
          <w:rFonts w:ascii="黑体" w:hAnsi="黑体" w:eastAsia="黑体"/>
        </w:rPr>
        <w:t>4.1 结果的理论内涵分析</w:t>
      </w:r>
    </w:p>
    <w:p>
      <w:pPr>
        <w:spacing w:line="440" w:lineRule="exact"/>
        <w:ind w:firstLine="480"/>
      </w:pPr>
      <w:r>
        <w:rPr>
          <w:rFonts w:ascii="宋体" w:hAnsi="宋体" w:eastAsia="宋体"/>
          <w:sz w:val="24"/>
        </w:rPr>
        <w:t>本研究通过回溯性对比实验，系统评估了AI辅助分析系统对司法人员认定{Q("主观明知")}的一致性和效率的影响。实验结果表明，AI辅助分析在一致性和效率两个维度均展现出显著的正面效应。</w:t>
      </w:r>
    </w:p>
    <w:p>
      <w:pPr>
        <w:spacing w:line="440" w:lineRule="exact"/>
        <w:ind w:firstLine="480"/>
      </w:pPr>
      <w:r>
        <w:rPr>
          <w:rFonts w:ascii="宋体" w:hAnsi="宋体" w:eastAsia="宋体"/>
          <w:sz w:val="24"/>
        </w:rPr>
        <w:t>关于假设H1（一致性的提升），研究结果呈现出有意义的趋势。B组Kappa系数（0.54）较A组（0.26）提升超过一倍（111.6%），差异幅度巨大。然而，B组Kappa系数尚未达到预设的0.65阈值。</w:t>
      </w:r>
    </w:p>
    <w:p>
      <w:pPr>
        <w:spacing w:line="440" w:lineRule="exact"/>
        <w:ind w:firstLine="480"/>
      </w:pPr>
      <w:r>
        <w:rPr>
          <w:rFonts w:ascii="宋体" w:hAnsi="宋体" w:eastAsia="宋体"/>
          <w:sz w:val="24"/>
        </w:rPr>
        <w:t>从理论角度看，AI辅助分析通过提供标准化的证据分析框架，减少了评估者个体经验差异带来的随意性，从而提升了一致性水平。但“主观明知”的认定本质上是一个涉及价值判断和情境理解的复杂认知过程。这一发现与Kahneman et al. (2021) 关于人类判断中噪声问题的述述一致——AI可以减少但无法完全消除决策噪声。</w:t>
      </w:r>
    </w:p>
    <w:p>
      <w:pPr>
        <w:spacing w:line="440" w:lineRule="exact"/>
        <w:ind w:firstLine="480"/>
      </w:pPr>
      <w:r>
        <w:rPr>
          <w:rFonts w:ascii="宋体" w:hAnsi="宋体" w:eastAsia="宋体"/>
          <w:sz w:val="24"/>
        </w:rPr>
        <w:t>关于假设H2（效率的提升），本研究获得了强有力的支持证据。B组平均耗时较A组缩短7.68分钟（44.1%），效应量Cohen's d=1.56，属于非常大的效应。效率提升的机制在于：AI辅助分析系统预先完成了证据梳理和结构化呈现，减少了司法人员从海量材料中提取关键信息的认知负荷，使其能够将更多认知资源投入到核心的判断推理环节。</w:t>
      </w:r>
    </w:p>
    <w:p>
      <w:pPr>
        <w:spacing w:line="440" w:lineRule="exact"/>
        <w:ind w:firstLine="480"/>
      </w:pPr>
      <w:r>
        <w:rPr>
          <w:rFonts w:ascii="宋体" w:hAnsi="宋体" w:eastAsia="宋体"/>
          <w:sz w:val="24"/>
        </w:rPr>
        <w:t>关于假设H3（AI与判决一致率），AI分析结论与法院生效判决的一致率达到88.0%，超过了预设的80%目标。值得注意的是，AI在不同难度案件上的表现存在梯度差异：简单案件一致率92.9%，中等案件83.3%，困难案件80.0%。这一梯度模式具有内在合理性——困难案件通常涉及更多模糊性证据和复杂的法律适用问题，AI在这种{Q("模糊地帶")}的表现仍有提升空间。</w:t>
      </w:r>
    </w:p>
    <w:p>
      <w:pPr>
        <w:pStyle w:val="Heading2"/>
      </w:pPr>
      <w:r>
        <w:rPr>
          <w:rFonts w:ascii="黑体" w:hAnsi="黑体" w:eastAsia="黑体"/>
        </w:rPr>
        <w:t>4.2 理论贡献与实践应用价值</w:t>
      </w:r>
    </w:p>
    <w:p>
      <w:pPr>
        <w:spacing w:line="440" w:lineRule="exact"/>
        <w:ind w:firstLine="480"/>
      </w:pPr>
      <w:r>
        <w:rPr>
          <w:rFonts w:ascii="宋体" w:hAnsi="宋体" w:eastAsia="宋体"/>
          <w:sz w:val="24"/>
        </w:rPr>
        <w:t>在理论层面，本研究做出了以下贡献：第一，拓展了AI辅助司法决策的实证研究范式。现有研究多聚焦于AI预测判决结果的准确性，而本研究关注AI辅助对人类决策过程的影响，揭示了“人机协作”在司法场景中的实际效果。第二，本研究揭示了AI辅助的双重效益——一致性和效率的同时提升，这挑战了“决策质量-决策效率”之间通常存在的权衡关系（Payne et al., 1993）。第三，本研究对不同难度案件的分层分析揭示了AI辅助效果的条件性。</w:t>
      </w:r>
    </w:p>
    <w:p>
      <w:pPr>
        <w:spacing w:line="440" w:lineRule="exact"/>
        <w:ind w:firstLine="480"/>
      </w:pPr>
      <w:r>
        <w:rPr>
          <w:rFonts w:ascii="宋体" w:hAnsi="宋体" w:eastAsia="宋体"/>
          <w:sz w:val="24"/>
        </w:rPr>
        <w:t>在实践层面，本研究对AI辅助分析系统的推广应用具有重要指导意义。首先，结果支持将AI辅助分析系统定位为“辅助决策工具”而非“替代决策工具”的角色。其次，AI在不同难度案件上的表现差异提示，在实际应用中应根据案件复杂度采取差异化的辅助策略。最后，不一致案例的定性分析结果为AI系统的优化迭代提供了明确方向。</w:t>
      </w:r>
    </w:p>
    <w:p>
      <w:pPr>
        <w:pStyle w:val="Heading2"/>
      </w:pPr>
      <w:r>
        <w:rPr>
          <w:rFonts w:ascii="黑体" w:hAnsi="黑体" w:eastAsia="黑体"/>
        </w:rPr>
        <w:t>4.3 研究局限性</w:t>
      </w:r>
    </w:p>
    <w:p>
      <w:pPr>
        <w:spacing w:line="440" w:lineRule="exact"/>
        <w:ind w:firstLine="480"/>
      </w:pPr>
      <w:r>
        <w:rPr>
          <w:rFonts w:ascii="宋体" w:hAnsi="宋体" w:eastAsia="宋体"/>
          <w:sz w:val="24"/>
        </w:rPr>
        <w:t>本研究存在以下局限性：第一，实验采用回溯性设计，参与者面对的是已脱敏的书面案件材料，而非真实的廷审环境。在真实廷审中，法官可以通过当廷讯问和观察被告人神态等方式获取辅助信息，这些因素在本实验中无法模拟。</w:t>
      </w:r>
    </w:p>
    <w:p>
      <w:pPr>
        <w:spacing w:line="440" w:lineRule="exact"/>
        <w:ind w:firstLine="480"/>
      </w:pPr>
      <w:r>
        <w:rPr>
          <w:rFonts w:ascii="宋体" w:hAnsi="宋体" w:eastAsia="宋体"/>
          <w:sz w:val="24"/>
        </w:rPr>
        <w:t>第二，参与者样本量相对有限（N=20），且均来自同一省级行政区的司法系统，可能影响研究结论的推广性。第三，AI辅助分析系统的表现可能随版本更新而变化，本研究结论基于系统V1.0版本。</w:t>
      </w:r>
    </w:p>
    <w:p>
      <w:pPr>
        <w:spacing w:line="440" w:lineRule="exact"/>
        <w:ind w:firstLine="480"/>
      </w:pPr>
      <w:r>
        <w:rPr>
          <w:rFonts w:ascii="宋体" w:hAnsi="宋体" w:eastAsia="宋体"/>
          <w:sz w:val="24"/>
        </w:rPr>
        <w:t>第四，本实验仅关注了{Q("主观明知")}的二元认定结果，未能充分捕捉认定过程中的程度差异和推理多样性。第五，实验采用单一罪名（帮信罪）案件，AI辅助分析在毒品犯罪、贪污贿赂等其他涉及{Q("主观明知")}认定的罪名中的效果尚需进一步验证。</w:t>
      </w:r>
    </w:p>
    <w:p>
      <w:pPr>
        <w:pStyle w:val="Heading2"/>
      </w:pPr>
      <w:r>
        <w:rPr>
          <w:rFonts w:ascii="黑体" w:hAnsi="黑体" w:eastAsia="黑体"/>
        </w:rPr>
        <w:t>4.4 未来研究方向</w:t>
      </w:r>
    </w:p>
    <w:p>
      <w:pPr>
        <w:spacing w:line="440" w:lineRule="exact"/>
        <w:ind w:firstLine="480"/>
      </w:pPr>
      <w:r>
        <w:rPr>
          <w:rFonts w:ascii="宋体" w:hAnsi="宋体" w:eastAsia="宋体"/>
          <w:sz w:val="24"/>
        </w:rPr>
        <w:t>基于本研究的发现和局限性，未来研究可从以下几个方面展开：第一，开展前瞻性现场实验，在真实办案环境中评估AI辅助分析的效果，提高研究的外部效度。可以选取一个或多个试点法院，在实际办案流程中嵌入AI辅助环节。</w:t>
      </w:r>
    </w:p>
    <w:p>
      <w:pPr>
        <w:spacing w:line="440" w:lineRule="exact"/>
        <w:ind w:firstLine="480"/>
      </w:pPr>
      <w:r>
        <w:rPr>
          <w:rFonts w:ascii="宋体" w:hAnsi="宋体" w:eastAsia="宋体"/>
          <w:sz w:val="24"/>
        </w:rPr>
        <w:t>第二，开展多中心大样本研究，将研究范围扩展到多个省市和不同层级的司法机关，检验本研究结论的稳健性和推广性。第三，进行纵向追踪研究，考察AI辅助分析系统的长期使用效果——AI辅助是否会对司法人员的专业判断能力产生“依赖效应”或“能力退化”？</w:t>
      </w:r>
    </w:p>
    <w:p>
      <w:pPr>
        <w:spacing w:line="440" w:lineRule="exact"/>
        <w:ind w:firstLine="480"/>
      </w:pPr>
      <w:r>
        <w:rPr>
          <w:rFonts w:ascii="宋体" w:hAnsi="宋体" w:eastAsia="宋体"/>
          <w:sz w:val="24"/>
        </w:rPr>
        <w:t>第四，开展AI辅助效果的边界条件研究，系统探索案件类型、证据完整度、司法人员从业经验、AI报告呈现方式等变量对辅助效果的调节作用。第五，探索AI辅助在更广泛的司法场景中的应用，包括其他涉及“主观明知”认定的罪名（如毒品犯罪、走私犯罪等）。</w:t>
      </w:r>
    </w:p>
    <w:p>
      <w:pPr>
        <w:jc w:val="center"/>
      </w:pPr>
      <w:r>
        <w:rPr>
          <w:b/>
          <w:sz w:val="21"/>
        </w:rPr>
        <w:t>表9 研究假设检验结果汇总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1"/>
        <w:gridCol w:w="2161"/>
        <w:gridCol w:w="2161"/>
        <w:gridCol w:w="2161"/>
      </w:tblGrid>
      <w:tr>
        <w:tc>
          <w:tcPr>
            <w:tcW w:type="dxa" w:w="2161"/>
            <w:shd w:fill="D9E2F3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假设</w:t>
            </w:r>
          </w:p>
        </w:tc>
        <w:tc>
          <w:tcPr>
            <w:tcW w:type="dxa" w:w="2161"/>
            <w:shd w:fill="D9E2F3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内容</w:t>
            </w:r>
          </w:p>
        </w:tc>
        <w:tc>
          <w:tcPr>
            <w:tcW w:type="dxa" w:w="2161"/>
            <w:shd w:fill="D9E2F3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检验结果</w:t>
            </w:r>
          </w:p>
        </w:tc>
        <w:tc>
          <w:tcPr>
            <w:tcW w:type="dxa" w:w="2161"/>
            <w:shd w:fill="D9E2F3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结论</w:t>
            </w:r>
          </w:p>
        </w:tc>
      </w:tr>
      <w:tr>
        <w:tc>
          <w:tcPr>
            <w:tcW w:type="dxa" w:w="2161"/>
          </w:tcPr>
          <w:p>
            <w:r/>
            <w:r>
              <w:rPr>
                <w:rFonts w:ascii="宋体" w:hAnsi="宋体" w:eastAsia="宋体"/>
                <w:sz w:val="18"/>
              </w:rPr>
              <w:t>H1</w:t>
            </w:r>
          </w:p>
        </w:tc>
        <w:tc>
          <w:tcPr>
            <w:tcW w:type="dxa" w:w="2161"/>
          </w:tcPr>
          <w:p>
            <w:r/>
            <w:r>
              <w:rPr>
                <w:rFonts w:ascii="宋体" w:hAnsi="宋体" w:eastAsia="宋体"/>
                <w:sz w:val="18"/>
              </w:rPr>
              <w:t>B组Kappa≥0.65</w:t>
            </w:r>
          </w:p>
        </w:tc>
        <w:tc>
          <w:tcPr>
            <w:tcW w:type="dxa" w:w="2161"/>
          </w:tcPr>
          <w:p>
            <w:r/>
            <w:r>
              <w:rPr>
                <w:rFonts w:ascii="宋体" w:hAnsi="宋体" w:eastAsia="宋体"/>
                <w:sz w:val="18"/>
              </w:rPr>
              <w:t>B组Kappa=0.5418，提升111.64%</w:t>
            </w:r>
          </w:p>
        </w:tc>
        <w:tc>
          <w:tcPr>
            <w:tcW w:type="dxa" w:w="2161"/>
          </w:tcPr>
          <w:p>
            <w:r/>
            <w:r>
              <w:rPr>
                <w:rFonts w:ascii="宋体" w:hAnsi="宋体" w:eastAsia="宋体"/>
                <w:sz w:val="18"/>
              </w:rPr>
              <w:t>部分支持</w:t>
            </w:r>
          </w:p>
        </w:tc>
      </w:tr>
      <w:tr>
        <w:tc>
          <w:tcPr>
            <w:tcW w:type="dxa" w:w="2161"/>
          </w:tcPr>
          <w:p>
            <w:r/>
            <w:r>
              <w:rPr>
                <w:rFonts w:ascii="宋体" w:hAnsi="宋体" w:eastAsia="宋体"/>
                <w:sz w:val="18"/>
              </w:rPr>
              <w:t>H2</w:t>
            </w:r>
          </w:p>
        </w:tc>
        <w:tc>
          <w:tcPr>
            <w:tcW w:type="dxa" w:w="2161"/>
          </w:tcPr>
          <w:p>
            <w:r/>
            <w:r>
              <w:rPr>
                <w:rFonts w:ascii="宋体" w:hAnsi="宋体" w:eastAsia="宋体"/>
                <w:sz w:val="18"/>
              </w:rPr>
              <w:t>B组耗时显著低于A组</w:t>
            </w:r>
          </w:p>
        </w:tc>
        <w:tc>
          <w:tcPr>
            <w:tcW w:type="dxa" w:w="2161"/>
          </w:tcPr>
          <w:p>
            <w:r/>
            <w:r>
              <w:rPr>
                <w:rFonts w:ascii="宋体" w:hAnsi="宋体" w:eastAsia="宋体"/>
                <w:sz w:val="18"/>
              </w:rPr>
              <w:t>t(431.83)=17.45, P&lt;0.001, d=1.56</w:t>
            </w:r>
          </w:p>
        </w:tc>
        <w:tc>
          <w:tcPr>
            <w:tcW w:type="dxa" w:w="2161"/>
          </w:tcPr>
          <w:p>
            <w:r/>
            <w:r>
              <w:rPr>
                <w:rFonts w:ascii="宋体" w:hAnsi="宋体" w:eastAsia="宋体"/>
                <w:sz w:val="18"/>
              </w:rPr>
              <w:t>完全支持</w:t>
            </w:r>
          </w:p>
        </w:tc>
      </w:tr>
      <w:tr>
        <w:tc>
          <w:tcPr>
            <w:tcW w:type="dxa" w:w="2161"/>
          </w:tcPr>
          <w:p>
            <w:r/>
            <w:r>
              <w:rPr>
                <w:rFonts w:ascii="宋体" w:hAnsi="宋体" w:eastAsia="宋体"/>
                <w:sz w:val="18"/>
              </w:rPr>
              <w:t>H3</w:t>
            </w:r>
          </w:p>
        </w:tc>
        <w:tc>
          <w:tcPr>
            <w:tcW w:type="dxa" w:w="2161"/>
          </w:tcPr>
          <w:p>
            <w:r/>
            <w:r>
              <w:rPr>
                <w:rFonts w:ascii="宋体" w:hAnsi="宋体" w:eastAsia="宋体"/>
                <w:sz w:val="18"/>
              </w:rPr>
              <w:t>AI一致率≥80%</w:t>
            </w:r>
          </w:p>
        </w:tc>
        <w:tc>
          <w:tcPr>
            <w:tcW w:type="dxa" w:w="2161"/>
          </w:tcPr>
          <w:p>
            <w:r/>
            <w:r>
              <w:rPr>
                <w:rFonts w:ascii="宋体" w:hAnsi="宋体" w:eastAsia="宋体"/>
                <w:sz w:val="18"/>
              </w:rPr>
              <w:t>一致率=88.0%</w:t>
            </w:r>
          </w:p>
        </w:tc>
        <w:tc>
          <w:tcPr>
            <w:tcW w:type="dxa" w:w="2161"/>
          </w:tcPr>
          <w:p>
            <w:r/>
            <w:r>
              <w:rPr>
                <w:rFonts w:ascii="宋体" w:hAnsi="宋体" w:eastAsia="宋体"/>
                <w:sz w:val="18"/>
              </w:rPr>
              <w:t>完全支持</w:t>
            </w:r>
          </w:p>
        </w:tc>
      </w:tr>
    </w:tbl>
    <w:p/>
    <w:p>
      <w:pPr>
        <w:spacing w:line="440" w:lineRule="exact"/>
        <w:ind w:firstLine="480"/>
      </w:pPr>
      <w:r>
        <w:rPr>
          <w:rFonts w:ascii="宋体" w:hAnsi="宋体" w:eastAsia="宋体"/>
          <w:sz w:val="24"/>
        </w:rPr>
        <w:t>综上所述，本研究得出以下主要结论：（1）AI辅助分析能够显著提升司法人员在“主观明知”认定上的一致性，B组Kappa系数（0.5418）较A组（0.256）提升111.64%；（2）AI辅助分析能够显著缩短案件分析耗时，平均减少7.68分钟（44.1%），效应量巨大；（3）AI分析结论与法院判决的一致率达88.0%，已达到较高的实用水平。</w:t>
      </w:r>
    </w:p>
    <w:p>
      <w:r>
        <w:br w:type="page"/>
      </w:r>
    </w:p>
    <w:p>
      <w:pPr>
        <w:pStyle w:val="Heading1"/>
      </w:pPr>
      <w:r>
        <w:rPr>
          <w:rFonts w:ascii="黑体" w:hAnsi="黑体" w:eastAsia="黑体"/>
        </w:rPr>
        <w:t>参考文献</w:t>
      </w:r>
    </w:p>
    <w:p>
      <w:pPr>
        <w:spacing w:line="440" w:lineRule="exact"/>
        <w:ind w:firstLine="0" w:left="425"/>
      </w:pPr>
      <w:r>
        <w:rPr>
          <w:rFonts w:ascii="Times New Roman" w:hAnsi="Times New Roman" w:eastAsia="宋体"/>
          <w:sz w:val="21"/>
        </w:rPr>
        <w:t>白建军. (2014). 刑法规制与量刑实践——刑法现象的大样本经验研究. 北京大学出版社.</w:t>
      </w:r>
    </w:p>
    <w:p>
      <w:pPr>
        <w:spacing w:line="440" w:lineRule="exact"/>
        <w:ind w:firstLine="0" w:left="425"/>
      </w:pPr>
      <w:r>
        <w:rPr>
          <w:rFonts w:ascii="Times New Roman" w:hAnsi="Times New Roman" w:eastAsia="宋体"/>
          <w:sz w:val="21"/>
        </w:rPr>
        <w:t>王禄生. (2022). 司法人工智能的技术路径与实践困境. 中国法学, (3), 45-68.</w:t>
      </w:r>
    </w:p>
    <w:p>
      <w:pPr>
        <w:spacing w:line="440" w:lineRule="exact"/>
        <w:ind w:firstLine="0" w:left="425"/>
      </w:pPr>
      <w:r>
        <w:rPr>
          <w:rFonts w:ascii="Times New Roman" w:hAnsi="Times New Roman" w:eastAsia="宋体"/>
          <w:sz w:val="21"/>
        </w:rPr>
        <w:t>左卫民. (2021). 人工智能在中国司法中的应用与挑战. 法学研究, (3), 3-21.</w:t>
      </w:r>
    </w:p>
    <w:p>
      <w:pPr>
        <w:spacing w:line="440" w:lineRule="exact"/>
        <w:ind w:firstLine="0" w:left="425"/>
      </w:pPr>
      <w:r>
        <w:rPr>
          <w:rFonts w:ascii="Times New Roman" w:hAnsi="Times New Roman" w:eastAsia="宋体"/>
          <w:sz w:val="21"/>
        </w:rPr>
        <w:t>Dietvorst, B. J., Simmons, J. P., &amp; Massey, C. (2018). Overcoming algorithm aversion: People will use imperfect algorithms if they can (even slightly) modify them. Management Science, 64(3), 1155-1170.</w:t>
      </w:r>
    </w:p>
    <w:p>
      <w:pPr>
        <w:spacing w:line="440" w:lineRule="exact"/>
        <w:ind w:firstLine="0" w:left="425"/>
      </w:pPr>
      <w:r>
        <w:rPr>
          <w:rFonts w:ascii="Times New Roman" w:hAnsi="Times New Roman" w:eastAsia="宋体"/>
          <w:sz w:val="21"/>
        </w:rPr>
        <w:t>Frank, J. (1930). Law and the modern mind. Brentano's.</w:t>
      </w:r>
    </w:p>
    <w:p>
      <w:pPr>
        <w:spacing w:line="440" w:lineRule="exact"/>
        <w:ind w:firstLine="0" w:left="425"/>
      </w:pPr>
      <w:r>
        <w:rPr>
          <w:rFonts w:ascii="Times New Roman" w:hAnsi="Times New Roman" w:eastAsia="宋体"/>
          <w:sz w:val="21"/>
        </w:rPr>
        <w:t>Green, B., &amp; Chen, Y. (2019). The principles and limits of algorithm-in-the-loop decision making. Proceedings of the ACM on Human-Computer Interaction, 3(CSCW), 1-24.</w:t>
      </w:r>
    </w:p>
    <w:p>
      <w:pPr>
        <w:spacing w:line="440" w:lineRule="exact"/>
        <w:ind w:firstLine="0" w:left="425"/>
      </w:pPr>
      <w:r>
        <w:rPr>
          <w:rFonts w:ascii="Times New Roman" w:hAnsi="Times New Roman" w:eastAsia="宋体"/>
          <w:sz w:val="21"/>
        </w:rPr>
        <w:t>Guthrie, C., Rachlinski, J. J., &amp; Wistrich, A. J. (2001). Inside the judicial mind. Cornell Law Review, 86(4), 777-830.</w:t>
      </w:r>
    </w:p>
    <w:p>
      <w:pPr>
        <w:spacing w:line="440" w:lineRule="exact"/>
        <w:ind w:firstLine="0" w:left="425"/>
      </w:pPr>
      <w:r>
        <w:rPr>
          <w:rFonts w:ascii="Times New Roman" w:hAnsi="Times New Roman" w:eastAsia="宋体"/>
          <w:sz w:val="21"/>
        </w:rPr>
        <w:t>Kahneman, D., Sibony, O., &amp; Sunstein, C. R. (2021). Noise: A flaw in human judgment. Little, Brown Spark.</w:t>
      </w:r>
    </w:p>
    <w:p>
      <w:pPr>
        <w:spacing w:line="440" w:lineRule="exact"/>
        <w:ind w:firstLine="0" w:left="425"/>
      </w:pPr>
      <w:r>
        <w:rPr>
          <w:rFonts w:ascii="Times New Roman" w:hAnsi="Times New Roman" w:eastAsia="宋体"/>
          <w:sz w:val="21"/>
        </w:rPr>
        <w:t>Katz, D. M., Bommarito, M. J., &amp; Blackman, J. (2017). A general approach for predicting the behavior of the Supreme Court of the United States. PLoS ONE, 12(4), e0174698.</w:t>
      </w:r>
    </w:p>
    <w:p>
      <w:pPr>
        <w:spacing w:line="440" w:lineRule="exact"/>
        <w:ind w:firstLine="0" w:left="425"/>
      </w:pPr>
      <w:r>
        <w:rPr>
          <w:rFonts w:ascii="Times New Roman" w:hAnsi="Times New Roman" w:eastAsia="宋体"/>
          <w:sz w:val="21"/>
        </w:rPr>
        <w:t>Logg, J. M., Minson, J. A., &amp; Moore, D. A. (2019). Algorithm appreciation: People prefer algorithmic to human judgment. Organizational Behavior and Human Decision Processes, 151, 90-103.</w:t>
      </w:r>
    </w:p>
    <w:p>
      <w:pPr>
        <w:spacing w:line="440" w:lineRule="exact"/>
        <w:ind w:firstLine="0" w:left="425"/>
      </w:pPr>
      <w:r>
        <w:rPr>
          <w:rFonts w:ascii="Times New Roman" w:hAnsi="Times New Roman" w:eastAsia="宋体"/>
          <w:sz w:val="21"/>
        </w:rPr>
        <w:t>Medvedeva, M., Vols, M., &amp; Wieling, M. (2020). Using machine learning to predict decisions of the European Court of Human Rights. Artificial Intelligence and Law, 28(2), 237-266.</w:t>
      </w:r>
    </w:p>
    <w:p>
      <w:pPr>
        <w:spacing w:line="440" w:lineRule="exact"/>
        <w:ind w:firstLine="0" w:left="425"/>
      </w:pPr>
      <w:r>
        <w:rPr>
          <w:rFonts w:ascii="Times New Roman" w:hAnsi="Times New Roman" w:eastAsia="宋体"/>
          <w:sz w:val="21"/>
        </w:rPr>
        <w:t>Payne, J. W., Bettman, J. R., &amp; Johnson, E. J. (1993). The adaptive decision maker. Cambridge University Press.</w:t>
      </w:r>
    </w:p>
    <w:p>
      <w:pPr>
        <w:spacing w:line="440" w:lineRule="exact"/>
        <w:ind w:firstLine="0" w:left="425"/>
      </w:pPr>
      <w:r>
        <w:rPr>
          <w:rFonts w:ascii="Times New Roman" w:hAnsi="Times New Roman" w:eastAsia="宋体"/>
          <w:sz w:val="21"/>
        </w:rPr>
        <w:t>Rachlinski, J. J., &amp; Wistrich, A. J. (2017). Judging the judiciary by the numbers: Empirical research on judges. Annual Review of Law and Social Science, 13, 203-229.</w:t>
      </w:r>
    </w:p>
    <w:p>
      <w:pPr>
        <w:spacing w:line="440" w:lineRule="exact"/>
        <w:ind w:firstLine="0" w:left="425"/>
      </w:pPr>
      <w:r>
        <w:rPr>
          <w:rFonts w:ascii="Times New Roman" w:hAnsi="Times New Roman" w:eastAsia="宋体"/>
          <w:sz w:val="21"/>
        </w:rPr>
        <w:t>Surden, H. (2014). Machine learning and law. Washington Law Review, 89(1), 87-115.</w:t>
      </w:r>
    </w:p>
    <w:p>
      <w:r>
        <w:br w:type="page"/>
      </w:r>
    </w:p>
    <w:p>
      <w:pPr>
        <w:pStyle w:val="Heading1"/>
      </w:pPr>
      <w:r>
        <w:rPr>
          <w:rFonts w:ascii="黑体" w:hAnsi="黑体" w:eastAsia="黑体"/>
        </w:rPr>
        <w:t>附录</w:t>
      </w:r>
    </w:p>
    <w:p>
      <w:pPr>
        <w:pStyle w:val="Heading2"/>
      </w:pPr>
      <w:r>
        <w:rPr>
          <w:rFonts w:ascii="黑体" w:hAnsi="黑体" w:eastAsia="黑体"/>
        </w:rPr>
        <w:t>附录A 实验指导语</w:t>
      </w:r>
    </w:p>
    <w:p>
      <w:pPr>
        <w:spacing w:line="440" w:lineRule="exact"/>
        <w:ind w:firstLine="480"/>
      </w:pPr>
      <w:r>
        <w:rPr>
          <w:rFonts w:ascii="宋体" w:hAnsi="宋体" w:eastAsia="宋体"/>
          <w:sz w:val="24"/>
        </w:rPr>
        <w:t>欢迎您参与本次实验。本实验旨在研究“主观明知”的认定过程，您的参与对于提高司法决策质量具有重要意义。【实验说明】您将收到若干件已审结的帮助信息网络犯罪活动罪案件材料。请您基于案件事实和证据，独立判断涉案行为人是否“明知”他人利用信息网络实施犯罪。【A组】请您仅依靠个人的专业经验和分析方法，对每件案件进行独立判断。【B组】除案件材料外，您还将收到AI辅助分析系统生成的标准化分析报告。AI分析报告仅作为参考，最终结论由您自主决定。</w:t>
      </w:r>
    </w:p>
    <w:p>
      <w:pPr>
        <w:pStyle w:val="Heading2"/>
      </w:pPr>
      <w:r>
        <w:rPr>
          <w:rFonts w:ascii="黑体" w:hAnsi="黑体" w:eastAsia="黑体"/>
        </w:rPr>
        <w:t>附录B 统计分析代码与输出</w:t>
      </w:r>
    </w:p>
    <w:p>
      <w:pPr>
        <w:spacing w:line="440" w:lineRule="exact"/>
        <w:ind w:firstLine="480"/>
      </w:pPr>
      <w:r>
        <w:rPr>
          <w:rFonts w:ascii="宋体" w:hAnsi="宋体" w:eastAsia="宋体"/>
          <w:sz w:val="24"/>
        </w:rPr>
        <w:t>本研究的全部统计分析使用Python 3.11完成，分析脚本位于 scripts/analyze_experiment.py。主要代码模块包括：（1）描述性统计分析：函数 compute_descriptive_statistics()；（2）Cohen's Kappa一致性分析：函数 compute_cohens_kappa_analysis()；（3）耗时差异分析：函数 compute_time_analysis()；（4）AI一致率分析：函数 compute_ai_agreement()；（5）不一致案例分析：函数 analyze_inconsistent_cases()；（6）数据可视化：函数 create_all_figures()。完整的分析输出结果位于 research/results/ 目录下，以JSON格式保存。</w:t>
      </w:r>
    </w:p>
    <w:sectPr w:rsidR="00FC693F" w:rsidRPr="0006063C" w:rsidSect="00034616">
      <w:pgSz w:w="12240" w:h="15840"/>
      <w:pgMar w:top="1440" w:right="1797" w:bottom="1440" w:left="179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