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灵境制造 AI-CAM 一体化软件 V1.0</w:t>
        <w:br/>
        <w:t>用户手册</w:t>
      </w:r>
    </w:p>
    <w:p>
      <w:pPr>
        <w:jc w:val="center"/>
      </w:pPr>
      <w:r>
        <w:rPr>
          <w:sz w:val="24"/>
        </w:rPr>
        <w:t>（软件著作权登记申请材料）</w:t>
      </w:r>
    </w:p>
    <w:p/>
    <w:p>
      <w:r>
        <w:t>著作权人：［申请人姓名］</w:t>
      </w:r>
    </w:p>
    <w:p>
      <w:r>
        <w:t>软件版本：V1.0</w:t>
      </w:r>
    </w:p>
    <w:p>
      <w:r>
        <w:t>开发完成日期：2026 年 6 月</w:t>
      </w:r>
    </w:p>
    <w:p>
      <w:r>
        <w:t>首次发表日期：未发表</w:t>
      </w:r>
    </w:p>
    <w:p>
      <w:r>
        <w:t>文档版本：V1.0</w:t>
      </w:r>
    </w:p>
    <w:p>
      <w:r>
        <w:t>编制说明：本手册描述软件的功能、运行环境与操作方法，供软件著作权登记及后续使用参考。手册中的截图占位请在实际使用环境中截取对应界面后替换。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1. 第一章 软件概述</w:t>
      </w:r>
    </w:p>
    <w:p>
      <w:r>
        <w:t>2. 第二章 运行环境</w:t>
      </w:r>
    </w:p>
    <w:p>
      <w:r>
        <w:t>3. 第三章 安装与部署</w:t>
      </w:r>
    </w:p>
    <w:p>
      <w:r>
        <w:t>4. 第四章 启动与登录</w:t>
      </w:r>
    </w:p>
    <w:p>
      <w:r>
        <w:t>5. 第五章 主界面与通用操作</w:t>
      </w:r>
    </w:p>
    <w:p>
      <w:r>
        <w:t>6. 第六章 核心功能操作说明</w:t>
      </w:r>
    </w:p>
    <w:p>
      <w:r>
        <w:t>7. 第七章 技术架构</w:t>
      </w:r>
    </w:p>
    <w:p>
      <w:r>
        <w:t>8. 第八章 常见问题与维护</w:t>
      </w:r>
    </w:p>
    <w:p>
      <w:r>
        <w:t>9. 第九章 版权与免责声明</w:t>
      </w:r>
    </w:p>
    <w:p>
      <w:r>
        <w:t>10. 附录 A 术语表</w:t>
      </w:r>
    </w:p>
    <w:p>
      <w:r>
        <w:t>11. 附录 B 主要接口示例</w:t>
      </w:r>
    </w:p>
    <w:p>
      <w:r>
        <w:br w:type="page"/>
      </w:r>
    </w:p>
    <w:p>
      <w:pPr>
        <w:pStyle w:val="Heading1"/>
      </w:pPr>
      <w:r>
        <w:t>第一章 软件概述</w:t>
      </w:r>
    </w:p>
    <w:p>
      <w:pPr>
        <w:pStyle w:val="Heading2"/>
      </w:pPr>
      <w:r>
        <w:t>1.1 软件背景</w:t>
      </w:r>
    </w:p>
    <w:p>
      <w:r>
        <w:t>制造业正面临数控机床编程（CAM）高度依赖人工经验、工艺知识难以沉淀、国产工业软件长期被国外厂商垄断等痛点。本软件面向机械加工与智能制造场景，提供从工程图纸到可加工数控（NC）代码的一体化智能生成能力，融合液态神经网络（LNN/LTC）颤振预测、自然语言建模（NL2CAD）、检索增强工艺知识库（RAG）等人工智能技术，旨在降低 CAM 编程门槛、提升工艺可靠性，服务于国产工业软件自主创新与新质生产力建设。</w:t>
      </w:r>
    </w:p>
    <w:p>
      <w:pPr>
        <w:pStyle w:val="Heading2"/>
      </w:pPr>
      <w:r>
        <w:t>1.2 设计目标</w:t>
      </w:r>
    </w:p>
    <w:p>
      <w:pPr>
        <w:pStyle w:val="ListBullet"/>
      </w:pPr>
      <w:r>
        <w:t>降低门槛：让非专业 CAM 工程师也能完成从图纸到 NC 的转化。</w:t>
      </w:r>
    </w:p>
    <w:p>
      <w:pPr>
        <w:pStyle w:val="ListBullet"/>
      </w:pPr>
      <w:r>
        <w:t>沉淀工艺：将专家经验以可检索、可复用的形式沉淀为知识库。</w:t>
      </w:r>
    </w:p>
    <w:p>
      <w:pPr>
        <w:pStyle w:val="ListBullet"/>
      </w:pPr>
      <w:r>
        <w:t>提升可靠：以 AI 预测规避颤振、断刀等高风险工况。</w:t>
      </w:r>
    </w:p>
    <w:p>
      <w:pPr>
        <w:pStyle w:val="ListBullet"/>
      </w:pPr>
      <w:r>
        <w:t>自主可控：核心算法自研，适配国产数控系统与国产工业软件生态。</w:t>
      </w:r>
    </w:p>
    <w:p>
      <w:pPr>
        <w:pStyle w:val="Heading2"/>
      </w:pPr>
      <w:r>
        <w:t>1.3 主要功能</w:t>
      </w:r>
    </w:p>
    <w:p>
      <w:pPr>
        <w:pStyle w:val="ListBullet"/>
      </w:pPr>
      <w:r>
        <w:t>图纸解析：支持 DXF、STEP 等常见工程图纸与三维模型导入与解析。</w:t>
      </w:r>
    </w:p>
    <w:p>
      <w:pPr>
        <w:pStyle w:val="ListBullet"/>
      </w:pPr>
      <w:r>
        <w:t>三维建模与 NL2CAD：支持通过自然语言描述生成或调整 CAD 几何模型。</w:t>
      </w:r>
    </w:p>
    <w:p>
      <w:pPr>
        <w:pStyle w:val="ListBullet"/>
      </w:pPr>
      <w:r>
        <w:t>工艺规划：基于零件特征自动生成加工工艺路线与切削参数建议。</w:t>
      </w:r>
    </w:p>
    <w:p>
      <w:pPr>
        <w:pStyle w:val="ListBullet"/>
      </w:pPr>
      <w:r>
        <w:t>NC 代码生成：生成标准数控加工程序，并内置 11 种主流数控系统后处理器。</w:t>
      </w:r>
    </w:p>
    <w:p>
      <w:pPr>
        <w:pStyle w:val="ListBullet"/>
      </w:pPr>
      <w:r>
        <w:t>颤振预测：基于液体神经网络（LNN）对数控铣削过程中的颤振风险进行在线预测。</w:t>
      </w:r>
    </w:p>
    <w:p>
      <w:pPr>
        <w:pStyle w:val="ListBullet"/>
      </w:pPr>
      <w:r>
        <w:t>刀具磨损预测：依据加工工况预测刀具磨损趋势，辅助换刀决策。</w:t>
      </w:r>
    </w:p>
    <w:p>
      <w:pPr>
        <w:pStyle w:val="ListBullet"/>
      </w:pPr>
      <w:r>
        <w:t>工艺知识库（RAG）：以检索增强方式提供工艺规范、切削用量等决策支持。</w:t>
      </w:r>
    </w:p>
    <w:p>
      <w:pPr>
        <w:pStyle w:val="ListBullet"/>
      </w:pPr>
      <w:r>
        <w:t>焊缝射线评片：依据 NB/T 47013 标准对焊缝射线影像进行智能评定。</w:t>
      </w:r>
    </w:p>
    <w:p>
      <w:pPr>
        <w:pStyle w:val="Heading2"/>
      </w:pPr>
      <w:r>
        <w:t>1.4 软件特点</w:t>
      </w:r>
    </w:p>
    <w:p>
      <w:pPr>
        <w:pStyle w:val="ListBullet"/>
      </w:pPr>
      <w:r>
        <w:t>全流程贯通：图纸→三维→工艺→NC 代码一气呵成，避免多软件切换。</w:t>
      </w:r>
    </w:p>
    <w:p>
      <w:pPr>
        <w:pStyle w:val="ListBullet"/>
      </w:pPr>
      <w:r>
        <w:t>AI 深度融合：颤振预测、自然语言建模、知识库均为自研模型，非简单规则拼接。</w:t>
      </w:r>
    </w:p>
    <w:p>
      <w:pPr>
        <w:pStyle w:val="ListBullet"/>
      </w:pPr>
      <w:r>
        <w:t>国产适配：内置多种国产及国际主流数控系统后处理，支持国产工业软件替代。</w:t>
      </w:r>
    </w:p>
    <w:p>
      <w:pPr>
        <w:pStyle w:val="ListBullet"/>
      </w:pPr>
      <w:r>
        <w:t>可部署：提供桌面端与后端服务两种形态，可本地或私有云部署。</w:t>
      </w:r>
    </w:p>
    <w:p>
      <w:r>
        <w:rPr>
          <w:b/>
          <w:color w:val="C0392B"/>
        </w:rPr>
        <w:t>【截图占位：软件启动后主界面全景，展示图纸区、三维视图区、工艺面板、NC 输出区】</w:t>
      </w:r>
    </w:p>
    <w:p>
      <w:pPr>
        <w:pStyle w:val="Heading1"/>
      </w:pPr>
      <w:r>
        <w:t>第二章 运行环境</w:t>
      </w:r>
    </w:p>
    <w:p>
      <w:pPr>
        <w:pStyle w:val="Heading2"/>
      </w:pPr>
      <w:r>
        <w:t>2.1 硬件环境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最低配置</w:t>
            </w:r>
          </w:p>
        </w:tc>
        <w:tc>
          <w:tcPr>
            <w:tcW w:type="dxa" w:w="2880"/>
          </w:tcPr>
          <w:p>
            <w:r>
              <w:t>推荐配置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四核 x86-64</w:t>
            </w:r>
          </w:p>
        </w:tc>
        <w:tc>
          <w:tcPr>
            <w:tcW w:type="dxa" w:w="2880"/>
          </w:tcPr>
          <w:p>
            <w:r>
              <w:t>八核及以上</w:t>
            </w:r>
          </w:p>
        </w:tc>
      </w:tr>
      <w:tr>
        <w:tc>
          <w:tcPr>
            <w:tcW w:type="dxa" w:w="2880"/>
          </w:tcPr>
          <w:p>
            <w:r>
              <w:t>内存</w:t>
            </w:r>
          </w:p>
        </w:tc>
        <w:tc>
          <w:tcPr>
            <w:tcW w:type="dxa" w:w="2880"/>
          </w:tcPr>
          <w:p>
            <w:r>
              <w:t>16 GB</w:t>
            </w:r>
          </w:p>
        </w:tc>
        <w:tc>
          <w:tcPr>
            <w:tcW w:type="dxa" w:w="2880"/>
          </w:tcPr>
          <w:p>
            <w:r>
              <w:t>32 GB（含 AI 推理）</w:t>
            </w:r>
          </w:p>
        </w:tc>
      </w:tr>
      <w:tr>
        <w:tc>
          <w:tcPr>
            <w:tcW w:type="dxa" w:w="2880"/>
          </w:tcPr>
          <w:p>
            <w:r>
              <w:t>磁盘</w:t>
            </w:r>
          </w:p>
        </w:tc>
        <w:tc>
          <w:tcPr>
            <w:tcW w:type="dxa" w:w="2880"/>
          </w:tcPr>
          <w:p>
            <w:r>
              <w:t>10 GB 可用</w:t>
            </w:r>
          </w:p>
        </w:tc>
        <w:tc>
          <w:tcPr>
            <w:tcW w:type="dxa" w:w="2880"/>
          </w:tcPr>
          <w:p>
            <w:r>
              <w:t>20 GB 可用（含模型权重）</w:t>
            </w:r>
          </w:p>
        </w:tc>
      </w:tr>
      <w:tr>
        <w:tc>
          <w:tcPr>
            <w:tcW w:type="dxa" w:w="2880"/>
          </w:tcPr>
          <w:p>
            <w:r>
              <w:t>GPU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  <w:tc>
          <w:tcPr>
            <w:tcW w:type="dxa" w:w="2880"/>
          </w:tcPr>
          <w:p>
            <w:r>
              <w:t>NVIDIA CUDA（加速推理）</w:t>
            </w:r>
          </w:p>
        </w:tc>
      </w:tr>
    </w:tbl>
    <w:p>
      <w:pPr>
        <w:pStyle w:val="Heading2"/>
      </w:pPr>
      <w:r>
        <w:t>2.2 软件环境</w:t>
      </w:r>
    </w:p>
    <w:p>
      <w:pPr>
        <w:pStyle w:val="ListBullet"/>
      </w:pPr>
      <w:r>
        <w:t>操作系统：Windows 10/11 64 位；亦支持 Linux 发行版。</w:t>
      </w:r>
    </w:p>
    <w:p>
      <w:pPr>
        <w:pStyle w:val="ListBullet"/>
      </w:pPr>
      <w:r>
        <w:t>后端：Python 3.12 及以上，FastAPI 运行环境。</w:t>
      </w:r>
    </w:p>
    <w:p>
      <w:pPr>
        <w:pStyle w:val="ListBullet"/>
      </w:pPr>
      <w:r>
        <w:t>桌面端：基于 Tauri（Rust + WebView2）封装，随安装包自带运行环境。</w:t>
      </w:r>
    </w:p>
    <w:p>
      <w:pPr>
        <w:pStyle w:val="ListBullet"/>
      </w:pPr>
      <w:r>
        <w:t>AI 框架：PyTorch（CPU 推理）；可选 CUDA 版本以加速。</w:t>
      </w:r>
    </w:p>
    <w:p>
      <w:pPr>
        <w:pStyle w:val="ListBullet"/>
      </w:pPr>
      <w:r>
        <w:t>数据库：内置 SQLite（单机）/ 可选 PostgreSQL（团队部署）。</w:t>
      </w:r>
    </w:p>
    <w:p>
      <w:pPr>
        <w:pStyle w:val="Heading2"/>
      </w:pPr>
      <w:r>
        <w:t>2.3 网络与依赖</w:t>
      </w:r>
    </w:p>
    <w:p>
      <w:r>
        <w:t>软件默认本地运行，无需外网；RAG 工艺知识库可离线使用内置语料。如需云端协作可配置内网服务地址，不在公网暴露数据。</w:t>
      </w:r>
    </w:p>
    <w:p>
      <w:pPr>
        <w:pStyle w:val="Heading1"/>
      </w:pPr>
      <w:r>
        <w:t>第三章 安装与部署</w:t>
      </w:r>
    </w:p>
    <w:p>
      <w:pPr>
        <w:pStyle w:val="Heading2"/>
      </w:pPr>
      <w:r>
        <w:t>3.1 桌面端安装（推荐）</w:t>
      </w:r>
    </w:p>
    <w:p>
      <w:r>
        <w:t>1. 获取安装包：运行发行版中的安装程序（如 lingjing-setup.exe / NSIS 安装包）。</w:t>
      </w:r>
    </w:p>
    <w:p>
      <w:r>
        <w:t>2. 按向导提示选择安装目录，完成安装。</w:t>
      </w:r>
    </w:p>
    <w:p>
      <w:r>
        <w:t>3. 首次启动会从安装目录加载内置 Python 运行时与站点包，无需另行配置环境。</w:t>
      </w:r>
    </w:p>
    <w:p>
      <w:r>
        <w:t>注意事项：安装路径建议不含中文与空格，避免个别依赖加载异常。</w:t>
      </w:r>
    </w:p>
    <w:p>
      <w:r>
        <w:rPr>
          <w:b/>
          <w:color w:val="C0392B"/>
        </w:rPr>
        <w:t>【截图占位：桌面端安装向导界面】</w:t>
      </w:r>
    </w:p>
    <w:p>
      <w:pPr>
        <w:pStyle w:val="Heading2"/>
      </w:pPr>
      <w:r>
        <w:t>3.2 服务端部署（高级 / 团队）</w:t>
      </w:r>
    </w:p>
    <w:p>
      <w:r>
        <w:t>1. 准备 Python 3.12 环境，安装后端依赖。</w:t>
      </w:r>
    </w:p>
    <w:p>
      <w:r>
        <w:t>2. 初始化数据库（内置 init_db 脚本）。</w:t>
      </w:r>
    </w:p>
    <w:p>
      <w:r>
        <w:t>3. 启动后端服务（FastAPI / uvicorn），默认监听本地 8765 端口。</w:t>
      </w:r>
    </w:p>
    <w:p>
      <w:r>
        <w:t>4. 通过浏览器或桌面端连接服务地址。</w:t>
      </w:r>
    </w:p>
    <w:p>
      <w:r>
        <w:t>注意事项：生产部署应配置反向代理与访问鉴权，避免未授权访问。</w:t>
      </w:r>
    </w:p>
    <w:p>
      <w:r>
        <w:rPr>
          <w:b/>
          <w:color w:val="C0392B"/>
        </w:rPr>
        <w:t>【截图占位：服务端启动日志或 health 检查返回 ok】</w:t>
      </w:r>
    </w:p>
    <w:p>
      <w:pPr>
        <w:pStyle w:val="Heading2"/>
      </w:pPr>
      <w:r>
        <w:t>3.3 环境与配置</w:t>
      </w:r>
    </w:p>
    <w:p>
      <w:r>
        <w:t>软件通过 .env 配置文件读取运行参数（如 JWT 密钥、数据库连接、缓存方式）。单机模式下可留空由系统自动以内存缓存运行；团队部署需显式配置数据库与密钥。</w:t>
      </w:r>
    </w:p>
    <w:p>
      <w:pPr>
        <w:pStyle w:val="Heading1"/>
      </w:pPr>
      <w:r>
        <w:t>第四章 启动与登录</w:t>
      </w:r>
    </w:p>
    <w:p>
      <w:pPr>
        <w:pStyle w:val="Heading2"/>
      </w:pPr>
      <w:r>
        <w:t>4.1 启动方式</w:t>
      </w:r>
    </w:p>
    <w:p>
      <w:pPr>
        <w:pStyle w:val="ListBullet"/>
      </w:pPr>
      <w:r>
        <w:t>桌面端：双击桌面快捷方式或从开始菜单启动。</w:t>
      </w:r>
    </w:p>
    <w:p>
      <w:pPr>
        <w:pStyle w:val="ListBullet"/>
      </w:pPr>
      <w:r>
        <w:t>服务端：执行启动命令后，访问 http://127.0.0.1:8765 健康检查接口。</w:t>
      </w:r>
    </w:p>
    <w:p>
      <w:pPr>
        <w:pStyle w:val="Heading2"/>
      </w:pPr>
      <w:r>
        <w:t>4.2 登录与账户</w:t>
      </w:r>
    </w:p>
    <w:p>
      <w:r>
        <w:t>1. 打开软件后进入登录界面。</w:t>
      </w:r>
    </w:p>
    <w:p>
      <w:r>
        <w:t>2. 输入已注册的账号与密码；首次使用可注册新账户。</w:t>
      </w:r>
    </w:p>
    <w:p>
      <w:r>
        <w:t>3. 登录成功后进入主工作台。</w:t>
      </w:r>
    </w:p>
    <w:p>
      <w:r>
        <w:rPr>
          <w:b/>
          <w:color w:val="C0392B"/>
        </w:rPr>
        <w:t>【截图占位：登录界面】</w:t>
      </w:r>
    </w:p>
    <w:p>
      <w:r>
        <w:rPr>
          <w:b/>
          <w:color w:val="C0392B"/>
        </w:rPr>
        <w:t>【截图占位：登录成功后的工作台】</w:t>
      </w:r>
    </w:p>
    <w:p>
      <w:pPr>
        <w:pStyle w:val="Heading1"/>
      </w:pPr>
      <w:r>
        <w:t>第五章 主界面与通用操作</w:t>
      </w:r>
    </w:p>
    <w:p>
      <w:pPr>
        <w:pStyle w:val="Heading2"/>
      </w:pPr>
      <w:r>
        <w:t>5.1 界面分区</w:t>
      </w:r>
    </w:p>
    <w:p>
      <w:pPr>
        <w:pStyle w:val="ListBullet"/>
      </w:pPr>
      <w:r>
        <w:t>左侧：项目 / 文件导航与图纸树。</w:t>
      </w:r>
    </w:p>
    <w:p>
      <w:pPr>
        <w:pStyle w:val="ListBullet"/>
      </w:pPr>
      <w:r>
        <w:t>中部：二维图纸视图与三维模型视图切换。</w:t>
      </w:r>
    </w:p>
    <w:p>
      <w:pPr>
        <w:pStyle w:val="ListBullet"/>
      </w:pPr>
      <w:r>
        <w:t>右侧：工艺参数面板、AI 预测结果、NC 输出。</w:t>
      </w:r>
    </w:p>
    <w:p>
      <w:pPr>
        <w:pStyle w:val="ListBullet"/>
      </w:pPr>
      <w:r>
        <w:t>顶部：功能菜单与运行控制。</w:t>
      </w:r>
    </w:p>
    <w:p>
      <w:pPr>
        <w:pStyle w:val="Heading2"/>
      </w:pPr>
      <w:r>
        <w:t>5.2 通用操作</w:t>
      </w:r>
    </w:p>
    <w:p>
      <w:pPr>
        <w:pStyle w:val="ListBullet"/>
      </w:pPr>
      <w:r>
        <w:t>新建 / 打开项目：从顶部菜单或快捷键新建工程。</w:t>
      </w:r>
    </w:p>
    <w:p>
      <w:pPr>
        <w:pStyle w:val="ListBullet"/>
      </w:pPr>
      <w:r>
        <w:t>导入图纸：支持拖拽 DXF/STEP 文件至工作区。</w:t>
      </w:r>
    </w:p>
    <w:p>
      <w:pPr>
        <w:pStyle w:val="ListBullet"/>
      </w:pPr>
      <w:r>
        <w:t>保存与导出：随时保存工程，导出结果支持多种格式。</w:t>
      </w:r>
    </w:p>
    <w:p>
      <w:pPr>
        <w:pStyle w:val="ListBullet"/>
      </w:pPr>
      <w:r>
        <w:t>视图控制：支持旋转、缩放、剖切等三维查看操作。</w:t>
      </w:r>
    </w:p>
    <w:p>
      <w:r>
        <w:rPr>
          <w:b/>
          <w:color w:val="C0392B"/>
        </w:rPr>
        <w:t>【截图占位：主界面分区标注图】</w:t>
      </w:r>
    </w:p>
    <w:p>
      <w:pPr>
        <w:pStyle w:val="Heading1"/>
      </w:pPr>
      <w:r>
        <w:t>第六章 核心功能操作说明</w:t>
      </w:r>
    </w:p>
    <w:p>
      <w:pPr>
        <w:pStyle w:val="Heading2"/>
      </w:pPr>
      <w:r>
        <w:t>6.1 图纸导入（DXF / STEP）</w:t>
      </w:r>
    </w:p>
    <w:p>
      <w:r>
        <w:t>本功能是加工的起点，负责把外部工程图纸或三维模型纳入软件工作区。系统自动识别图层、几何实体与关键尺寸，为后续建模与工艺规划提供数据基础。</w:t>
      </w:r>
    </w:p>
    <w:p>
      <w:r>
        <w:t>1. 在主界面点击「导入图纸」，选择本地 DXF 或 STEP 文件。</w:t>
      </w:r>
    </w:p>
    <w:p>
      <w:r>
        <w:t>2. 系统解析图纸几何与图层信息，在中部视图呈现。</w:t>
      </w:r>
    </w:p>
    <w:p>
      <w:r>
        <w:t>3. 可对图层进行显隐、缩放、测量等预处理。</w:t>
      </w:r>
    </w:p>
    <w:p>
      <w:r>
        <w:t>4. 确认后进入建模 / 工艺阶段。</w:t>
      </w:r>
    </w:p>
    <w:p>
      <w:r>
        <w:t>关键参数：导入容差（影响小特征的保留）、单位（mm/inch，需与图纸一致）。</w:t>
      </w:r>
    </w:p>
    <w:p>
      <w:r>
        <w:t>输出物：结构化几何对象，供 NL2CAD 与工艺规划模块消费。</w:t>
      </w:r>
    </w:p>
    <w:p>
      <w:r>
        <w:t>注意事项：超大装配体建议先化简或分件导入；单位错误会导致后续尺寸整体偏差。</w:t>
      </w:r>
    </w:p>
    <w:p>
      <w:r>
        <w:rPr>
          <w:b/>
          <w:color w:val="C0392B"/>
        </w:rPr>
        <w:t>【截图占位：DXF/STEP 导入后视图】</w:t>
      </w:r>
    </w:p>
    <w:p>
      <w:pPr>
        <w:pStyle w:val="Heading2"/>
      </w:pPr>
      <w:r>
        <w:t>6.2 三维建模与 NL2CAD（自然语言建模）</w:t>
      </w:r>
    </w:p>
    <w:p>
      <w:r>
        <w:t>NL2CAD 是软件的差异化合项之一，支持以自然语言描述驱动几何建模，降低对专业 CAD 操作的依赖，让工艺人员用「说」的方式补特征、改尺寸。</w:t>
      </w:r>
    </w:p>
    <w:p>
      <w:r>
        <w:t>1. 在建模面板输入加工特征的自然语言描述（如「在底面中心加工直径 20 的盲孔，深 15」）。</w:t>
      </w:r>
    </w:p>
    <w:p>
      <w:r>
        <w:t>2. 系统解析语义并生成对应参数化几何。</w:t>
      </w:r>
    </w:p>
    <w:p>
      <w:r>
        <w:t>3. 在三维视图中确认几何正确性，可继续追加或修改描述。</w:t>
      </w:r>
    </w:p>
    <w:p>
      <w:r>
        <w:t>4. 输出为标准三维模型，供后续工艺规划使用。</w:t>
      </w:r>
    </w:p>
    <w:p>
      <w:r>
        <w:t>关键参数：特征类型、尺寸、位置约束、公差。</w:t>
      </w:r>
    </w:p>
    <w:p>
      <w:r>
        <w:t>输出物：参数化 CAD 几何，支持导出 STEP/STL。</w:t>
      </w:r>
    </w:p>
    <w:p>
      <w:r>
        <w:t>注意事项：复杂装配建议分步描述，便于逐段确认；描述应给出明确尺寸与位置。</w:t>
      </w:r>
    </w:p>
    <w:p>
      <w:r>
        <w:rPr>
          <w:b/>
          <w:color w:val="C0392B"/>
        </w:rPr>
        <w:t>【截图占位：NL2CAD 输入与生成结果对照】</w:t>
      </w:r>
    </w:p>
    <w:p>
      <w:pPr>
        <w:pStyle w:val="Heading2"/>
      </w:pPr>
      <w:r>
        <w:t>6.3 工艺规划</w:t>
      </w:r>
    </w:p>
    <w:p>
      <w:r>
        <w:t>工艺规划基于零件几何与材料自动识别加工特征，生成工艺路线与切削参数建议，是连接「模型」与「代码」的关键环节。</w:t>
      </w:r>
    </w:p>
    <w:p>
      <w:r>
        <w:t>1. 系统依据零件几何与材料自动识别加工特征（孔、槽、型腔、轮廓等）。</w:t>
      </w:r>
    </w:p>
    <w:p>
      <w:r>
        <w:t>2. 生成工艺路线（粗加工、半精加工、精加工等）与切削参数建议。</w:t>
      </w:r>
    </w:p>
    <w:p>
      <w:r>
        <w:t>3. 用户可基于经验调整工序顺序与参数。</w:t>
      </w:r>
    </w:p>
    <w:p>
      <w:r>
        <w:t>4. 确认工艺方案，进入 NC 代码生成。</w:t>
      </w:r>
    </w:p>
    <w:p>
      <w:r>
        <w:t>关键参数：材料硬度、刀具类型、目标粗糙度、机床功率。</w:t>
      </w:r>
    </w:p>
    <w:p>
      <w:r>
        <w:t>输出物：工艺路线表 + 每工序切削参数。</w:t>
      </w:r>
    </w:p>
    <w:p>
      <w:r>
        <w:t>注意事项：薄壁、深腔等易变形特征需人工复核装夹与进给策略。</w:t>
      </w:r>
    </w:p>
    <w:p>
      <w:r>
        <w:rPr>
          <w:b/>
          <w:color w:val="C0392B"/>
        </w:rPr>
        <w:t>【截图占位：工艺路线与参数建议面板】</w:t>
      </w:r>
    </w:p>
    <w:p>
      <w:pPr>
        <w:pStyle w:val="Heading2"/>
      </w:pPr>
      <w:r>
        <w:t>6.4 NC 代码生成</w:t>
      </w:r>
    </w:p>
    <w:p>
      <w:r>
        <w:t>在工艺确定后，软件依据工艺路线生成标准数控加工程序（G 代码），支持语法高亮与行号，便于人工复核。</w:t>
      </w:r>
    </w:p>
    <w:p>
      <w:r>
        <w:t>1. 在工艺确认后点击「生成 NC 代码」。</w:t>
      </w:r>
    </w:p>
    <w:p>
      <w:r>
        <w:t>2. 系统依据工艺路线生成标准数控加工程序。</w:t>
      </w:r>
    </w:p>
    <w:p>
      <w:r>
        <w:t>3. 在输出面板查看 G 代码，支持语法高亮与行号。</w:t>
      </w:r>
    </w:p>
    <w:p>
      <w:r>
        <w:t>关键参数：安全高度、进给倍率、主轴启停顺序。</w:t>
      </w:r>
    </w:p>
    <w:p>
      <w:r>
        <w:t>输出物：标准 NC 文本，可进入后处理或直接仿真。</w:t>
      </w:r>
    </w:p>
    <w:p>
      <w:r>
        <w:rPr>
          <w:b/>
          <w:color w:val="C0392B"/>
        </w:rPr>
        <w:t>【截图占位：NC 代码输出与高亮视图】</w:t>
      </w:r>
    </w:p>
    <w:p>
      <w:pPr>
        <w:pStyle w:val="Heading2"/>
      </w:pPr>
      <w:r>
        <w:t>6.5 后处理与 11 种数控系统适配</w:t>
      </w:r>
    </w:p>
    <w:p>
      <w:r>
        <w:t>后处理将通用刀位文件转换为特定机床可识别的 NC 代码。软件内置 11 种主流数控系统后处理器，覆盖主流国际与国产系统。</w:t>
      </w:r>
    </w:p>
    <w:p>
      <w:r>
        <w:t>1. 在「后处理」面板选择目标数控系统类型。</w:t>
      </w:r>
    </w:p>
    <w:p>
      <w:r>
        <w:t>2. 点击「转换」，生成该系统的加工程序文件。</w:t>
      </w:r>
    </w:p>
    <w:p>
      <w:r>
        <w:t>3. 核对机床特有指令（如换刀、坐标系），导出至机床或仿真。</w:t>
      </w:r>
    </w:p>
    <w:p>
      <w:r>
        <w:t>内置后处理器：</w:t>
      </w:r>
    </w:p>
    <w:p>
      <w:pPr>
        <w:pStyle w:val="ListBullet"/>
      </w:pPr>
      <w:r>
        <w:t>Fanuc（发那科）系列</w:t>
      </w:r>
    </w:p>
    <w:p>
      <w:pPr>
        <w:pStyle w:val="ListBullet"/>
      </w:pPr>
      <w:r>
        <w:t>Siemens（西门子）840D/828D</w:t>
      </w:r>
    </w:p>
    <w:p>
      <w:pPr>
        <w:pStyle w:val="ListBullet"/>
      </w:pPr>
      <w:r>
        <w:t>Heidenhain（海德汉）</w:t>
      </w:r>
    </w:p>
    <w:p>
      <w:pPr>
        <w:pStyle w:val="ListBullet"/>
      </w:pPr>
      <w:r>
        <w:t>Haas（哈斯）</w:t>
      </w:r>
    </w:p>
    <w:p>
      <w:pPr>
        <w:pStyle w:val="ListBullet"/>
      </w:pPr>
      <w:r>
        <w:t>Mazak（马扎克）</w:t>
      </w:r>
    </w:p>
    <w:p>
      <w:pPr>
        <w:pStyle w:val="ListBullet"/>
      </w:pPr>
      <w:r>
        <w:t>Mitsubishi（三菱）</w:t>
      </w:r>
    </w:p>
    <w:p>
      <w:pPr>
        <w:pStyle w:val="ListBullet"/>
      </w:pPr>
      <w:r>
        <w:t>Brother（兄弟）</w:t>
      </w:r>
    </w:p>
    <w:p>
      <w:pPr>
        <w:pStyle w:val="ListBullet"/>
      </w:pPr>
      <w:r>
        <w:t>GSK（广州数控，国产）</w:t>
      </w:r>
    </w:p>
    <w:p>
      <w:pPr>
        <w:pStyle w:val="ListBullet"/>
      </w:pPr>
      <w:r>
        <w:t>HNC（华中数控，国产）</w:t>
      </w:r>
    </w:p>
    <w:p>
      <w:pPr>
        <w:pStyle w:val="ListBullet"/>
      </w:pPr>
      <w:r>
        <w:t>KND（凯恩帝，国产）</w:t>
      </w:r>
    </w:p>
    <w:p>
      <w:pPr>
        <w:pStyle w:val="ListBullet"/>
      </w:pPr>
      <w:r>
        <w:t>Syntec（新代，国产）</w:t>
      </w:r>
    </w:p>
    <w:p>
      <w:r>
        <w:t>注意事项：务必与实际机床系统版本一致；不同系统对循环指令、宏程序支持差异较大。</w:t>
      </w:r>
    </w:p>
    <w:p>
      <w:r>
        <w:rPr>
          <w:b/>
          <w:color w:val="C0392B"/>
        </w:rPr>
        <w:t>【截图占位：11 种后处理器在面板中的完整列表与切换效果】</w:t>
      </w:r>
    </w:p>
    <w:p>
      <w:r>
        <w:rPr>
          <w:b/>
          <w:color w:val="C0392B"/>
        </w:rPr>
        <w:t>【截图占位：Fanuc/Siemens 后处理输出对比示例】</w:t>
      </w:r>
    </w:p>
    <w:p>
      <w:pPr>
        <w:pStyle w:val="Heading2"/>
      </w:pPr>
      <w:r>
        <w:t>6.6 铣削颤振预测（LNN 液体神经网络）</w:t>
      </w:r>
    </w:p>
    <w:p>
      <w:r>
        <w:t>颤振是铣削中因切削刚度失稳引发的剧烈振动，会损伤表面质量与刀具。本软件采用自研液体神经网络（LNN/LTC）模型，对颤振风险进行预测，帮助用户在实际切削前避开不稳定工况。</w:t>
      </w:r>
    </w:p>
    <w:p>
      <w:r>
        <w:t>1. 在加工参数确定后，进入「颤振预测」模块。</w:t>
      </w:r>
    </w:p>
    <w:p>
      <w:r>
        <w:t>2. 输入或导入切削参数（转速、进给、切深、刀具刚度等）。</w:t>
      </w:r>
    </w:p>
    <w:p>
      <w:r>
        <w:t>3. 模型输出颤振稳定性评估与风险等级。</w:t>
      </w:r>
    </w:p>
    <w:p>
      <w:r>
        <w:t>4. 依据预测结果调整参数以避开不稳定区。</w:t>
      </w:r>
    </w:p>
    <w:p>
      <w:r>
        <w:t>关键参数：主轴转速、轴向切深、径向切宽、刀具悬伸、材料切除率。</w:t>
      </w:r>
    </w:p>
    <w:p>
      <w:r>
        <w:t>输出物：稳定性评估 + 风险等级（低/中/高）+ 建议转速区间。</w:t>
      </w:r>
    </w:p>
    <w:p>
      <w:r>
        <w:t>注意事项：预测基于模型与工况输入，极端刀具磨损或装夹松动需结合实际判断。</w:t>
      </w:r>
    </w:p>
    <w:p>
      <w:r>
        <w:rPr>
          <w:b/>
          <w:color w:val="C0392B"/>
        </w:rPr>
        <w:t>【截图占位：颤振稳定性叶瓣图 / 风险预测结果】</w:t>
      </w:r>
    </w:p>
    <w:p>
      <w:pPr>
        <w:pStyle w:val="Heading2"/>
      </w:pPr>
      <w:r>
        <w:t>6.7 刀具磨损预测</w:t>
      </w:r>
    </w:p>
    <w:p>
      <w:r>
        <w:t>依据加工工况与累积切削量，预测刀具磨损趋势，辅助换刀决策，降低断刀与质量风险。</w:t>
      </w:r>
    </w:p>
    <w:p>
      <w:r>
        <w:t>1. 在工艺执行或仿真中获取加工工况数据。</w:t>
      </w:r>
    </w:p>
    <w:p>
      <w:r>
        <w:t>2. 系统依据累积切削量、材料与转速预测刀具磨损趋势。</w:t>
      </w:r>
    </w:p>
    <w:p>
      <w:r>
        <w:t>3. 输出建议换刀时机，降低断刀风险。</w:t>
      </w:r>
    </w:p>
    <w:p>
      <w:r>
        <w:t>输出物：磨损趋势曲线 + 建议换刀阈值。</w:t>
      </w:r>
    </w:p>
    <w:p>
      <w:r>
        <w:rPr>
          <w:b/>
          <w:color w:val="C0392B"/>
        </w:rPr>
        <w:t>【截图占位：刀具磨损趋势曲线】</w:t>
      </w:r>
    </w:p>
    <w:p>
      <w:pPr>
        <w:pStyle w:val="Heading2"/>
      </w:pPr>
      <w:r>
        <w:t>6.8 工艺知识库（RAG）</w:t>
      </w:r>
    </w:p>
    <w:p>
      <w:r>
        <w:t>检索增强生成（RAG）工艺库整合切削手册、材料规范等知识，提供带出处的决策支持，将专家经验沉淀为可复用资产。</w:t>
      </w:r>
    </w:p>
    <w:p>
      <w:r>
        <w:t>1. 在任意工艺环节点击「工艺咨询」。</w:t>
      </w:r>
    </w:p>
    <w:p>
      <w:r>
        <w:t>2. 输入问题（如「铝合金 7075 端面铣削推荐转速」）。</w:t>
      </w:r>
    </w:p>
    <w:p>
      <w:r>
        <w:t>3. 系统检索知识库并给出带出处的建议。</w:t>
      </w:r>
    </w:p>
    <w:p>
      <w:r>
        <w:t>注意事项：建议结合实测与机床手册交叉验证关键参数。</w:t>
      </w:r>
    </w:p>
    <w:p>
      <w:r>
        <w:rPr>
          <w:b/>
          <w:color w:val="C0392B"/>
        </w:rPr>
        <w:t>【截图占位：RAG 工艺咨询问答界面】</w:t>
      </w:r>
    </w:p>
    <w:p>
      <w:pPr>
        <w:pStyle w:val="Heading2"/>
      </w:pPr>
      <w:r>
        <w:t>6.9 焊缝射线评片（NB/T 47013）</w:t>
      </w:r>
    </w:p>
    <w:p>
      <w:r>
        <w:t>依据承压设备无损检测标准 NB/T 47013，对焊缝射线影像进行智能缺陷评定，输出评级结论与标准依据，供质量审核使用。</w:t>
      </w:r>
    </w:p>
    <w:p>
      <w:r>
        <w:t>1. 导入焊缝射线影像文件。</w:t>
      </w:r>
    </w:p>
    <w:p>
      <w:r>
        <w:t>2. 系统识别缺陷类型与等级。</w:t>
      </w:r>
    </w:p>
    <w:p>
      <w:r>
        <w:t>3. 输出评定结论与标准依据，供质量审核。</w:t>
      </w:r>
    </w:p>
    <w:p>
      <w:r>
        <w:t>注意事项：智能评定为辅助手段，最终结论应由持证人员复核确认。</w:t>
      </w:r>
    </w:p>
    <w:p>
      <w:r>
        <w:rPr>
          <w:b/>
          <w:color w:val="C0392B"/>
        </w:rPr>
        <w:t>【截图占位：焊缝评片缺陷标注与评级结果】</w:t>
      </w:r>
    </w:p>
    <w:p>
      <w:pPr>
        <w:pStyle w:val="Heading2"/>
      </w:pPr>
      <w:r>
        <w:t>6.10 典型加工全流程示例（端盖零件）</w:t>
      </w:r>
    </w:p>
    <w:p>
      <w:r>
        <w:t>以下以「铝合金端盖」为例，演示从图纸到 NC 代码的完整操作。</w:t>
      </w:r>
    </w:p>
    <w:p>
      <w:r>
        <w:t>1. 新建工程，导入端盖 DXF 图纸，系统解析出外圆、均布孔、中心盲孔等特征。</w:t>
      </w:r>
    </w:p>
    <w:p>
      <w:r>
        <w:t>2. 使用 NL2CAD 补充未绘制的工艺凸台：输入「在背面增加 4 mm 工艺凸台用于装夹」。</w:t>
      </w:r>
    </w:p>
    <w:p>
      <w:r>
        <w:t>3. 进入工艺规划，系统给出「粗车外圆→钻均布孔→精镗中心孔→切断」的路线与切削参数。</w:t>
      </w:r>
    </w:p>
    <w:p>
      <w:r>
        <w:t>4. 在颤振预测模块输入转速 4000 rpm、切深 2 mm，模型提示接近稳定边界，建议降至 3200 rpm。</w:t>
      </w:r>
    </w:p>
    <w:p>
      <w:r>
        <w:t>5. 依据建议调整参数，重新预测后风险等级降为「低」。</w:t>
      </w:r>
    </w:p>
    <w:p>
      <w:r>
        <w:t>6. 生成 NC 代码，选择 Fanuc 后处理器转换并导出。</w:t>
      </w:r>
    </w:p>
    <w:p>
      <w:r>
        <w:t>7. 在 RAG 工艺库咨询「铝合金断屑槽推荐参数」，获取补充建议。</w:t>
      </w:r>
    </w:p>
    <w:p>
      <w:r>
        <w:t>8. 保存工程，导出 NC 文件与工艺报告。</w:t>
      </w:r>
    </w:p>
    <w:p>
      <w:r>
        <w:rPr>
          <w:b/>
          <w:color w:val="C0392B"/>
        </w:rPr>
        <w:t>【截图占位：端盖示例从导入到导出的关键步骤拼图】</w:t>
      </w:r>
    </w:p>
    <w:p>
      <w:pPr>
        <w:pStyle w:val="Heading2"/>
      </w:pPr>
      <w:r>
        <w:t>6.12 多材料加工要点</w:t>
      </w:r>
    </w:p>
    <w:p>
      <w:r>
        <w:t>不同材料的切削特性差异显著，以下给出常见材料的加工建议，供工艺规划与颤振预测参考。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材料</w:t>
            </w:r>
          </w:p>
        </w:tc>
        <w:tc>
          <w:tcPr>
            <w:tcW w:type="dxa" w:w="2880"/>
          </w:tcPr>
          <w:p>
            <w:r>
              <w:t>切削特点</w:t>
            </w:r>
          </w:p>
        </w:tc>
        <w:tc>
          <w:tcPr>
            <w:tcW w:type="dxa" w:w="2880"/>
          </w:tcPr>
          <w:p>
            <w:r>
              <w:t>建议</w:t>
            </w:r>
          </w:p>
        </w:tc>
      </w:tr>
      <w:tr>
        <w:tc>
          <w:tcPr>
            <w:tcW w:type="dxa" w:w="2880"/>
          </w:tcPr>
          <w:p>
            <w:r>
              <w:t>铝合金（如 6061/7075）</w:t>
            </w:r>
          </w:p>
        </w:tc>
        <w:tc>
          <w:tcPr>
            <w:tcW w:type="dxa" w:w="2880"/>
          </w:tcPr>
          <w:p>
            <w:r>
              <w:t>易切削、易粘刀</w:t>
            </w:r>
          </w:p>
        </w:tc>
        <w:tc>
          <w:tcPr>
            <w:tcW w:type="dxa" w:w="2880"/>
          </w:tcPr>
          <w:p>
            <w:r>
              <w:t>高转速、大进给、锋利刃口</w:t>
            </w:r>
          </w:p>
        </w:tc>
      </w:tr>
      <w:tr>
        <w:tc>
          <w:tcPr>
            <w:tcW w:type="dxa" w:w="2880"/>
          </w:tcPr>
          <w:p>
            <w:r>
              <w:t>碳钢 / 合金钢</w:t>
            </w:r>
          </w:p>
        </w:tc>
        <w:tc>
          <w:tcPr>
            <w:tcW w:type="dxa" w:w="2880"/>
          </w:tcPr>
          <w:p>
            <w:r>
              <w:t>切削力大</w:t>
            </w:r>
          </w:p>
        </w:tc>
        <w:tc>
          <w:tcPr>
            <w:tcW w:type="dxa" w:w="2880"/>
          </w:tcPr>
          <w:p>
            <w:r>
              <w:t>中转速、充分冷却、注意积屑瘤</w:t>
            </w:r>
          </w:p>
        </w:tc>
      </w:tr>
      <w:tr>
        <w:tc>
          <w:tcPr>
            <w:tcW w:type="dxa" w:w="2880"/>
          </w:tcPr>
          <w:p>
            <w:r>
              <w:t>不锈钢（如 304）</w:t>
            </w:r>
          </w:p>
        </w:tc>
        <w:tc>
          <w:tcPr>
            <w:tcW w:type="dxa" w:w="2880"/>
          </w:tcPr>
          <w:p>
            <w:r>
              <w:t>加工硬化、导热差</w:t>
            </w:r>
          </w:p>
        </w:tc>
        <w:tc>
          <w:tcPr>
            <w:tcW w:type="dxa" w:w="2880"/>
          </w:tcPr>
          <w:p>
            <w:r>
              <w:t>低转速、大切深、强冷却</w:t>
            </w:r>
          </w:p>
        </w:tc>
      </w:tr>
      <w:tr>
        <w:tc>
          <w:tcPr>
            <w:tcW w:type="dxa" w:w="2880"/>
          </w:tcPr>
          <w:p>
            <w:r>
              <w:t>钛合金</w:t>
            </w:r>
          </w:p>
        </w:tc>
        <w:tc>
          <w:tcPr>
            <w:tcW w:type="dxa" w:w="2880"/>
          </w:tcPr>
          <w:p>
            <w:r>
              <w:t>高温强度高、易烧刀</w:t>
            </w:r>
          </w:p>
        </w:tc>
        <w:tc>
          <w:tcPr>
            <w:tcW w:type="dxa" w:w="2880"/>
          </w:tcPr>
          <w:p>
            <w:r>
              <w:t>低转速、小切深、大量冷却</w:t>
            </w:r>
          </w:p>
        </w:tc>
      </w:tr>
      <w:tr>
        <w:tc>
          <w:tcPr>
            <w:tcW w:type="dxa" w:w="2880"/>
          </w:tcPr>
          <w:p>
            <w:r>
              <w:t>铸铁</w:t>
            </w:r>
          </w:p>
        </w:tc>
        <w:tc>
          <w:tcPr>
            <w:tcW w:type="dxa" w:w="2880"/>
          </w:tcPr>
          <w:p>
            <w:r>
              <w:t>脆、粉尘大</w:t>
            </w:r>
          </w:p>
        </w:tc>
        <w:tc>
          <w:tcPr>
            <w:tcW w:type="dxa" w:w="2880"/>
          </w:tcPr>
          <w:p>
            <w:r>
              <w:t>中转速、注意排屑与防护</w:t>
            </w:r>
          </w:p>
        </w:tc>
      </w:tr>
    </w:tbl>
    <w:p>
      <w:r>
        <w:t>注意事项：上表为通用参考，最终参数应结合机床刚性、刀具牌号与颤振预测结果综合确定。</w:t>
      </w:r>
    </w:p>
    <w:p>
      <w:pPr>
        <w:pStyle w:val="Heading2"/>
      </w:pPr>
      <w:r>
        <w:t>6.11 工程管理与导出</w:t>
      </w:r>
    </w:p>
    <w:p>
      <w:pPr>
        <w:pStyle w:val="ListBullet"/>
      </w:pPr>
      <w:r>
        <w:t>工程保存：所有中间结果随工程文件保存，支持版本回溯。</w:t>
      </w:r>
    </w:p>
    <w:p>
      <w:pPr>
        <w:pStyle w:val="ListBullet"/>
      </w:pPr>
      <w:r>
        <w:t>导出格式：支持 NC 文本、工艺报告（PDF/HTML）、三维模型（STEP/STL）。</w:t>
      </w:r>
    </w:p>
    <w:p>
      <w:pPr>
        <w:pStyle w:val="ListBullet"/>
      </w:pPr>
      <w:r>
        <w:t>协作：团队部署下可将工程提交至服务端共享。</w:t>
      </w:r>
    </w:p>
    <w:p>
      <w:pPr>
        <w:pStyle w:val="Heading1"/>
      </w:pPr>
      <w:r>
        <w:t>第七章 技术架构</w:t>
      </w:r>
    </w:p>
    <w:p>
      <w:pPr>
        <w:pStyle w:val="Heading2"/>
      </w:pPr>
      <w:r>
        <w:t>7.1 总体架构</w:t>
      </w:r>
    </w:p>
    <w:p>
      <w:r>
        <w:t>软件采用分层架构：表现层（Vue3 + Tauri 桌面壳 / Web）、应用层（FastAPI 后端服务）、领域层（CAM 核心算法、AI 模型）、基础设施层（数据持久化、缓存、外部集成）。</w:t>
      </w:r>
    </w:p>
    <w:p>
      <w:pPr>
        <w:pStyle w:val="Heading2"/>
      </w:pPr>
      <w:r>
        <w:t>7.2 技术选型</w:t>
      </w:r>
    </w:p>
    <w:p>
      <w:pPr>
        <w:pStyle w:val="ListBullet"/>
      </w:pPr>
      <w:r>
        <w:t>前端 / 桌面：Vue3 + TypeScript + Tauri（Rust 壳）。</w:t>
      </w:r>
    </w:p>
    <w:p>
      <w:pPr>
        <w:pStyle w:val="ListBullet"/>
      </w:pPr>
      <w:r>
        <w:t>后端：Python + FastAPI。</w:t>
      </w:r>
    </w:p>
    <w:p>
      <w:pPr>
        <w:pStyle w:val="ListBullet"/>
      </w:pPr>
      <w:r>
        <w:t>AI：PyTorch；颤振预测采用液态神经网络（LNN/LTC）。</w:t>
      </w:r>
    </w:p>
    <w:p>
      <w:pPr>
        <w:pStyle w:val="ListBullet"/>
      </w:pPr>
      <w:r>
        <w:t>数据：SQLite / PostgreSQL；高频时序可接入时序数据库。</w:t>
      </w:r>
    </w:p>
    <w:p>
      <w:pPr>
        <w:pStyle w:val="ListBullet"/>
      </w:pPr>
      <w:r>
        <w:t>后处理：内置 11 种数控系统后处理器，独立可扩展。</w:t>
      </w:r>
    </w:p>
    <w:p>
      <w:r>
        <w:rPr>
          <w:b/>
          <w:color w:val="C0392B"/>
        </w:rPr>
        <w:t>【截图占位：系统架构图（分层 + 模块关系）】</w:t>
      </w:r>
    </w:p>
    <w:p>
      <w:pPr>
        <w:pStyle w:val="Heading1"/>
      </w:pPr>
      <w:r>
        <w:t>第八章 常见问题与维护</w:t>
      </w:r>
    </w:p>
    <w:p>
      <w:pPr>
        <w:pStyle w:val="Heading2"/>
      </w:pPr>
      <w:r>
        <w:t>8.1 常见问题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现象</w:t>
            </w:r>
          </w:p>
        </w:tc>
        <w:tc>
          <w:tcPr>
            <w:tcW w:type="dxa" w:w="2880"/>
          </w:tcPr>
          <w:p>
            <w:r>
              <w:t>可能原因</w:t>
            </w:r>
          </w:p>
        </w:tc>
        <w:tc>
          <w:tcPr>
            <w:tcW w:type="dxa" w:w="2880"/>
          </w:tcPr>
          <w:p>
            <w:r>
              <w:t>处理建议</w:t>
            </w:r>
          </w:p>
        </w:tc>
      </w:tr>
      <w:tr>
        <w:tc>
          <w:tcPr>
            <w:tcW w:type="dxa" w:w="2880"/>
          </w:tcPr>
          <w:p>
            <w:r>
              <w:t>无法启动</w:t>
            </w:r>
          </w:p>
        </w:tc>
        <w:tc>
          <w:tcPr>
            <w:tcW w:type="dxa" w:w="2880"/>
          </w:tcPr>
          <w:p>
            <w:r>
              <w:t>环境不完整 / 端口占用</w:t>
            </w:r>
          </w:p>
        </w:tc>
        <w:tc>
          <w:tcPr>
            <w:tcW w:type="dxa" w:w="2880"/>
          </w:tcPr>
          <w:p>
            <w:r>
              <w:t>检查运行环境，更换端口</w:t>
            </w:r>
          </w:p>
        </w:tc>
      </w:tr>
      <w:tr>
        <w:tc>
          <w:tcPr>
            <w:tcW w:type="dxa" w:w="2880"/>
          </w:tcPr>
          <w:p>
            <w:r>
              <w:t>导入图纸失败</w:t>
            </w:r>
          </w:p>
        </w:tc>
        <w:tc>
          <w:tcPr>
            <w:tcW w:type="dxa" w:w="2880"/>
          </w:tcPr>
          <w:p>
            <w:r>
              <w:t>格式不支持 / 文件损坏</w:t>
            </w:r>
          </w:p>
        </w:tc>
        <w:tc>
          <w:tcPr>
            <w:tcW w:type="dxa" w:w="2880"/>
          </w:tcPr>
          <w:p>
            <w:r>
              <w:t>确认 DXF/STEP，尝试修复源文件</w:t>
            </w:r>
          </w:p>
        </w:tc>
      </w:tr>
      <w:tr>
        <w:tc>
          <w:tcPr>
            <w:tcW w:type="dxa" w:w="2880"/>
          </w:tcPr>
          <w:p>
            <w:r>
              <w:t>AI 预测慢</w:t>
            </w:r>
          </w:p>
        </w:tc>
        <w:tc>
          <w:tcPr>
            <w:tcW w:type="dxa" w:w="2880"/>
          </w:tcPr>
          <w:p>
            <w:r>
              <w:t>无 GPU / 并发高</w:t>
            </w:r>
          </w:p>
        </w:tc>
        <w:tc>
          <w:tcPr>
            <w:tcW w:type="dxa" w:w="2880"/>
          </w:tcPr>
          <w:p>
            <w:r>
              <w:t>启用 GPU 加速，减少并发</w:t>
            </w:r>
          </w:p>
        </w:tc>
      </w:tr>
      <w:tr>
        <w:tc>
          <w:tcPr>
            <w:tcW w:type="dxa" w:w="2880"/>
          </w:tcPr>
          <w:p>
            <w:r>
              <w:t>后处理指令不符</w:t>
            </w:r>
          </w:p>
        </w:tc>
        <w:tc>
          <w:tcPr>
            <w:tcW w:type="dxa" w:w="2880"/>
          </w:tcPr>
          <w:p>
            <w:r>
              <w:t>系统类型选错</w:t>
            </w:r>
          </w:p>
        </w:tc>
        <w:tc>
          <w:tcPr>
            <w:tcW w:type="dxa" w:w="2880"/>
          </w:tcPr>
          <w:p>
            <w:r>
              <w:t>核对所选系统与实际机床</w:t>
            </w:r>
          </w:p>
        </w:tc>
      </w:tr>
      <w:tr>
        <w:tc>
          <w:tcPr>
            <w:tcW w:type="dxa" w:w="2880"/>
          </w:tcPr>
          <w:p>
            <w:r>
              <w:t>结果偏差大</w:t>
            </w:r>
          </w:p>
        </w:tc>
        <w:tc>
          <w:tcPr>
            <w:tcW w:type="dxa" w:w="2880"/>
          </w:tcPr>
          <w:p>
            <w:r>
              <w:t>单位 / 材料设置错</w:t>
            </w:r>
          </w:p>
        </w:tc>
        <w:tc>
          <w:tcPr>
            <w:tcW w:type="dxa" w:w="2880"/>
          </w:tcPr>
          <w:p>
            <w:r>
              <w:t>复核单位与材料参数</w:t>
            </w:r>
          </w:p>
        </w:tc>
      </w:tr>
    </w:tbl>
    <w:p>
      <w:pPr>
        <w:pStyle w:val="Heading2"/>
      </w:pPr>
      <w:r>
        <w:t>8.2 维护建议</w:t>
      </w:r>
    </w:p>
    <w:p>
      <w:pPr>
        <w:pStyle w:val="ListBullet"/>
      </w:pPr>
      <w:r>
        <w:t>定期备份工程文件与数据库。</w:t>
      </w:r>
    </w:p>
    <w:p>
      <w:pPr>
        <w:pStyle w:val="ListBullet"/>
      </w:pPr>
      <w:r>
        <w:t>关注版本更新，及时升级以获取后处理器与模型改进。</w:t>
      </w:r>
    </w:p>
    <w:p>
      <w:pPr>
        <w:pStyle w:val="ListBullet"/>
      </w:pPr>
      <w:r>
        <w:t>AI 模型权重与知识库语料建议随项目一同归档。</w:t>
      </w:r>
    </w:p>
    <w:p>
      <w:pPr>
        <w:pStyle w:val="Heading2"/>
      </w:pPr>
      <w:r>
        <w:t>8.3 安全操作规范</w:t>
      </w:r>
    </w:p>
    <w:p>
      <w:pPr>
        <w:pStyle w:val="ListBullet"/>
      </w:pPr>
      <w:r>
        <w:t>操作机床前确认装夹可靠、急停可用。</w:t>
      </w:r>
    </w:p>
    <w:p>
      <w:pPr>
        <w:pStyle w:val="ListBullet"/>
      </w:pPr>
      <w:r>
        <w:t>AI 预测结果仅供参考，首次切削应在安全高度试切并有人值守。</w:t>
      </w:r>
    </w:p>
    <w:p>
      <w:pPr>
        <w:pStyle w:val="ListBullet"/>
      </w:pPr>
      <w:r>
        <w:t>涉及射线评片需遵守辐射安全与职业健康规定，由持证人员操作。</w:t>
      </w:r>
    </w:p>
    <w:p>
      <w:pPr>
        <w:pStyle w:val="ListBullet"/>
      </w:pPr>
      <w:r>
        <w:t>不得将本软件用于超出其设计范围的特种设备或高风险场景。</w:t>
      </w:r>
    </w:p>
    <w:p>
      <w:pPr>
        <w:pStyle w:val="Heading1"/>
      </w:pPr>
      <w:r>
        <w:t>第九章 版权与免责声明</w:t>
      </w:r>
    </w:p>
    <w:p>
      <w:r>
        <w:t>本软件为开发者独立完成的原创作品，著作权归开发者所有。</w:t>
      </w:r>
    </w:p>
    <w:p>
      <w:r>
        <w:t>软件按「现状」提供，开发者不对因使用本软件产生的任何直接或间接损失承担责任。</w:t>
      </w:r>
    </w:p>
    <w:p>
      <w:r>
        <w:t>本手册内容如与软件实际功能存在细微差异，以软件实际表现为准。</w:t>
      </w:r>
    </w:p>
    <w:p>
      <w:pPr>
        <w:pStyle w:val="Heading1"/>
      </w:pPr>
      <w:r>
        <w:t>附录 A 术语表</w:t>
      </w:r>
    </w:p>
    <w:p>
      <w:pPr>
        <w:pStyle w:val="ListBullet"/>
      </w:pPr>
      <w:r>
        <w:t>CAM：计算机辅助制造（Computer Aided Manufacturing）。</w:t>
      </w:r>
    </w:p>
    <w:p>
      <w:pPr>
        <w:pStyle w:val="ListBullet"/>
      </w:pPr>
      <w:r>
        <w:t>NC：数控（Numerical Control）加工程序。</w:t>
      </w:r>
    </w:p>
    <w:p>
      <w:pPr>
        <w:pStyle w:val="ListBullet"/>
      </w:pPr>
      <w:r>
        <w:t>后处理：将通用刀位文件转换为特定机床可识别的 NC 代码。</w:t>
      </w:r>
    </w:p>
    <w:p>
      <w:pPr>
        <w:pStyle w:val="ListBullet"/>
      </w:pPr>
      <w:r>
        <w:t>LNN/LTC：液态神经网络 / 线性时间常数网络，一种连续时间递归神经网络。</w:t>
      </w:r>
    </w:p>
    <w:p>
      <w:pPr>
        <w:pStyle w:val="ListBullet"/>
      </w:pPr>
      <w:r>
        <w:t>颤振：切削过程中因系统刚度不足引发的自激振动。</w:t>
      </w:r>
    </w:p>
    <w:p>
      <w:pPr>
        <w:pStyle w:val="ListBullet"/>
      </w:pPr>
      <w:r>
        <w:t>RAG：检索增强生成（Retrieval-Augmented Generation）。</w:t>
      </w:r>
    </w:p>
    <w:p>
      <w:pPr>
        <w:pStyle w:val="ListBullet"/>
      </w:pPr>
      <w:r>
        <w:t>DXF/STEP：两种常见的工程图纸与三维模型数据格式。</w:t>
      </w:r>
    </w:p>
    <w:p>
      <w:pPr>
        <w:pStyle w:val="ListBullet"/>
      </w:pPr>
      <w:r>
        <w:t>NB/T 47013：承压设备无损检测相关行业标准。</w:t>
      </w:r>
    </w:p>
    <w:p>
      <w:pPr>
        <w:pStyle w:val="Heading1"/>
      </w:pPr>
      <w:r>
        <w:t>附录 B 主要接口示例</w:t>
      </w:r>
    </w:p>
    <w:p>
      <w:r>
        <w:t>软件后端以 RESTful API 暴露能力，以下为部分端点示例（节选）：</w:t>
      </w:r>
    </w:p>
    <w:p>
      <w:pPr>
        <w:pStyle w:val="ListBullet"/>
      </w:pPr>
      <w:r>
        <w:t>POST /api/auth/register —— 注册账户</w:t>
      </w:r>
    </w:p>
    <w:p>
      <w:pPr>
        <w:pStyle w:val="ListBullet"/>
      </w:pPr>
      <w:r>
        <w:t>POST /api/auth/login —— 登录</w:t>
      </w:r>
    </w:p>
    <w:p>
      <w:pPr>
        <w:pStyle w:val="ListBullet"/>
      </w:pPr>
      <w:r>
        <w:t>GET /api/health/ping —— 健康检查</w:t>
      </w:r>
    </w:p>
    <w:p>
      <w:pPr>
        <w:pStyle w:val="ListBullet"/>
      </w:pPr>
      <w:r>
        <w:t>POST /api/cam/import —— 导入图纸</w:t>
      </w:r>
    </w:p>
    <w:p>
      <w:pPr>
        <w:pStyle w:val="ListBullet"/>
      </w:pPr>
      <w:r>
        <w:t>POST /api/cam/nl2cad —— 自然语言建模</w:t>
      </w:r>
    </w:p>
    <w:p>
      <w:pPr>
        <w:pStyle w:val="ListBullet"/>
      </w:pPr>
      <w:r>
        <w:t>POST /api/process/plan —— 工艺规划</w:t>
      </w:r>
    </w:p>
    <w:p>
      <w:pPr>
        <w:pStyle w:val="ListBullet"/>
      </w:pPr>
      <w:r>
        <w:t>POST /api/gcode/generate —— 生成 NC 代码</w:t>
      </w:r>
    </w:p>
    <w:p>
      <w:pPr>
        <w:pStyle w:val="ListBullet"/>
      </w:pPr>
      <w:r>
        <w:t>POST /api/postprocess —— 后处理转换</w:t>
      </w:r>
    </w:p>
    <w:p>
      <w:pPr>
        <w:pStyle w:val="ListBullet"/>
      </w:pPr>
      <w:r>
        <w:t>POST /api/chatter/predict —— 颤振预测</w:t>
      </w:r>
    </w:p>
    <w:p>
      <w:pPr>
        <w:pStyle w:val="ListBullet"/>
      </w:pPr>
      <w:r>
        <w:t>POST /api/rag/query —— 工艺知识库咨询</w:t>
      </w:r>
    </w:p>
    <w:p>
      <w:pPr>
        <w:pStyle w:val="ListBullet"/>
      </w:pPr>
      <w:r>
        <w:t>POST /api/weld/inspect —— 焊缝评片</w:t>
      </w:r>
    </w:p>
    <w:p>
      <w:pPr>
        <w:pStyle w:val="ListBullet"/>
      </w:pPr>
      <w:r>
        <w:t>GET /api/agent/{id} —— 智能体状态</w:t>
      </w:r>
    </w:p>
    <w:p>
      <w:r>
        <w:t>完整接口随软件版本迭代，以实际部署的 API 文档为准。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