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A799F">
      <w:pPr>
        <w:pStyle w:val="19"/>
        <w:outlineLvl w:val="9"/>
      </w:pPr>
      <w:bookmarkStart w:id="194" w:name="_GoBack"/>
      <w:bookmarkEnd w:id="194"/>
      <w:r>
        <w:t>延迟嵌入液态神经逻辑网络用于</w:t>
      </w:r>
      <w:r>
        <w:br w:type="textWrapping"/>
      </w:r>
      <w:r>
        <w:t>铣削颤振稳定性预测</w:t>
      </w:r>
    </w:p>
    <w:p w14:paraId="7D3AEF57">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sz w:val="32"/>
          <w:szCs w:val="32"/>
          <w:lang w:val="en-US"/>
        </w:rPr>
      </w:pPr>
    </w:p>
    <w:p w14:paraId="124EDA0B">
      <w:pPr>
        <w:pStyle w:val="19"/>
        <w:outlineLvl w:val="9"/>
      </w:pPr>
      <w:r>
        <w:t>Delay-embedded Liquid Neural Network for</w:t>
      </w:r>
      <w:r>
        <w:br w:type="textWrapping"/>
      </w:r>
      <w:r>
        <w:t>Milling Chatter Stability Prediction</w:t>
      </w:r>
    </w:p>
    <w:p w14:paraId="0A1F9D9D">
      <w:pPr>
        <w:pStyle w:val="29"/>
        <w:keepNext/>
        <w:pageBreakBefore/>
        <w:widowControl/>
        <w:outlineLvl w:val="9"/>
        <w:rPr>
          <w:rFonts w:hint="eastAsia" w:eastAsia="黑体"/>
          <w:lang w:eastAsia="zh-CN"/>
        </w:rPr>
      </w:pPr>
      <w:r>
        <w:rPr>
          <w:rFonts w:hint="eastAsia"/>
          <w:lang w:eastAsia="zh-CN"/>
        </w:rPr>
        <w:t>摘    要</w:t>
      </w:r>
    </w:p>
    <w:p w14:paraId="498584E9">
      <w:pPr>
        <w:pStyle w:val="30"/>
        <w:rPr>
          <w:rFonts w:ascii="Times New Roman" w:hAnsi="Times New Roman" w:eastAsia="仿宋" w:cs="Times New Roman"/>
          <w:sz w:val="18"/>
          <w:szCs w:val="24"/>
        </w:rPr>
      </w:pPr>
      <w:r>
        <w:rPr>
          <w:rFonts w:ascii="Times New Roman" w:hAnsi="Times New Roman" w:eastAsia="仿宋" w:cs="Times New Roman"/>
          <w:sz w:val="18"/>
          <w:szCs w:val="24"/>
        </w:rPr>
        <w:t>针对铣削加工中再生颤振稳定性预测长期面临的小样本过拟合、跨工况泛化差、预测违背物理规律三大瓶颈，本文提出一种延迟嵌入液态神经逻辑网络（Delay-embedded Liquid Neural Network，DL-LNN），作为物理模型的动态补偿器。</w:t>
      </w:r>
    </w:p>
    <w:p w14:paraId="74324783">
      <w:pPr>
        <w:pStyle w:val="18"/>
        <w:keepNext w:val="0"/>
        <w:keepLines w:val="0"/>
        <w:widowControl w:val="0"/>
        <w:suppressLineNumbers w:val="0"/>
        <w:adjustRightInd w:val="0"/>
        <w:spacing w:before="0" w:beforeAutospacing="0" w:after="0" w:afterAutospacing="0" w:line="400" w:lineRule="exact"/>
        <w:ind w:left="0" w:right="0" w:firstLine="480" w:firstLineChars="200"/>
        <w:jc w:val="both"/>
        <w:rPr>
          <w:rFonts w:hint="eastAsia" w:eastAsia="宋体"/>
          <w:lang w:eastAsia="zh-CN"/>
        </w:rPr>
      </w:pPr>
    </w:p>
    <w:p w14:paraId="19C77AA1">
      <w:pPr>
        <w:pStyle w:val="30"/>
        <w:rPr>
          <w:rFonts w:ascii="Times New Roman" w:hAnsi="Times New Roman" w:eastAsia="仿宋" w:cs="Times New Roman"/>
          <w:sz w:val="18"/>
          <w:szCs w:val="24"/>
        </w:rPr>
      </w:pPr>
      <w:r>
        <w:rPr>
          <w:rFonts w:ascii="Times New Roman" w:hAnsi="Times New Roman" w:eastAsia="仿宋" w:cs="Times New Roman"/>
          <w:sz w:val="18"/>
          <w:szCs w:val="24"/>
        </w:rPr>
        <w:t>核心创新点：</w:t>
      </w:r>
    </w:p>
    <w:p w14:paraId="40B5E633">
      <w:pPr>
        <w:pStyle w:val="30"/>
        <w:numPr>
          <w:ilvl w:val="0"/>
          <w:numId w:val="0"/>
        </w:numPr>
        <w:ind w:left="0" w:leftChars="0" w:firstLine="360"/>
        <w:rPr>
          <w:rFonts w:ascii="Times New Roman" w:hAnsi="Times New Roman" w:eastAsia="仿宋" w:cs="Times New Roman"/>
          <w:b w:val="0"/>
          <w:sz w:val="18"/>
          <w:szCs w:val="24"/>
        </w:rPr>
      </w:pPr>
      <w:r>
        <w:rPr>
          <w:rFonts w:hint="eastAsia" w:cs="Times New Roman"/>
          <w:sz w:val="18"/>
          <w:szCs w:val="24"/>
          <w:lang w:eastAsia="zh-CN"/>
        </w:rPr>
        <w:t xml:space="preserve">(1) </w:t>
      </w:r>
      <w:r>
        <w:rPr>
          <w:rFonts w:ascii="Times New Roman" w:hAnsi="Times New Roman" w:eastAsia="仿宋" w:cs="Times New Roman"/>
          <w:sz w:val="18"/>
          <w:szCs w:val="24"/>
        </w:rPr>
        <w:t>延迟嵌入机制：在LTC神经元常微分方程中显式引入刀齿周期T=60/n构造时滞连接，使网络时间常数自适应主轴转速变化，解决传统NPCDDE时滞参数为常数无法自适应的缺陷；</w:t>
      </w:r>
    </w:p>
    <w:p w14:paraId="6DA1A785">
      <w:pPr>
        <w:pStyle w:val="30"/>
        <w:numPr>
          <w:ilvl w:val="0"/>
          <w:numId w:val="0"/>
        </w:numPr>
        <w:ind w:left="0" w:leftChars="0" w:firstLine="360"/>
        <w:rPr>
          <w:rFonts w:ascii="Times New Roman" w:hAnsi="Times New Roman" w:eastAsia="仿宋" w:cs="Times New Roman"/>
          <w:b w:val="0"/>
          <w:sz w:val="18"/>
          <w:szCs w:val="24"/>
        </w:rPr>
      </w:pPr>
      <w:r>
        <w:rPr>
          <w:rFonts w:hint="eastAsia" w:cs="Times New Roman"/>
          <w:sz w:val="18"/>
          <w:szCs w:val="24"/>
          <w:lang w:eastAsia="zh-CN"/>
        </w:rPr>
        <w:t xml:space="preserve">(2) </w:t>
      </w:r>
      <w:r>
        <w:rPr>
          <w:rFonts w:ascii="Times New Roman" w:hAnsi="Times New Roman" w:eastAsia="仿宋" w:cs="Times New Roman"/>
          <w:sz w:val="18"/>
          <w:szCs w:val="24"/>
        </w:rPr>
        <w:t>三层物理一致性损失：数值层L_phys约束预测值贴近解析值，梯度层L_pcc借鉴gPINN思想约束SLD曲线形态，频域层L_freq约束频谱与解析颤振频率一致性，解决传统PINN物理约束粒度不足的问题；</w:t>
      </w:r>
    </w:p>
    <w:p w14:paraId="08283604">
      <w:pPr>
        <w:pStyle w:val="30"/>
        <w:numPr>
          <w:ilvl w:val="0"/>
          <w:numId w:val="0"/>
        </w:numPr>
        <w:ind w:left="0" w:leftChars="0" w:firstLine="360"/>
        <w:rPr>
          <w:rFonts w:ascii="Times New Roman" w:hAnsi="Times New Roman" w:eastAsia="仿宋" w:cs="Times New Roman"/>
          <w:b w:val="0"/>
          <w:sz w:val="18"/>
          <w:szCs w:val="24"/>
        </w:rPr>
      </w:pPr>
      <w:r>
        <w:rPr>
          <w:rFonts w:hint="eastAsia" w:cs="Times New Roman"/>
          <w:sz w:val="18"/>
          <w:szCs w:val="24"/>
          <w:lang w:eastAsia="zh-CN"/>
        </w:rPr>
        <w:t xml:space="preserve">(3) </w:t>
      </w:r>
      <w:r>
        <w:rPr>
          <w:rFonts w:ascii="Times New Roman" w:hAnsi="Times New Roman" w:eastAsia="仿宋" w:cs="Times New Roman"/>
          <w:sz w:val="18"/>
          <w:szCs w:val="24"/>
        </w:rPr>
        <w:t>三阶段训练策略：「解析预训练+物理残差微调+主动学习」，解决小样本冷启动问题。</w:t>
      </w:r>
    </w:p>
    <w:p w14:paraId="76149C5A">
      <w:pPr>
        <w:pStyle w:val="30"/>
        <w:rPr>
          <w:rFonts w:ascii="Times New Roman" w:hAnsi="Times New Roman" w:eastAsia="仿宋" w:cs="Times New Roman"/>
          <w:sz w:val="18"/>
          <w:szCs w:val="24"/>
        </w:rPr>
      </w:pPr>
    </w:p>
    <w:p w14:paraId="18F55962">
      <w:pPr>
        <w:pStyle w:val="30"/>
      </w:pPr>
      <w:r>
        <w:t>实验结果表明：在5个数据集上，DL-LNN平均MAE=0.080±0.002 mm，PCC=0.15±0.12±0.002，相比LSTM降低1.1%（p&lt;0.01），相比Transformer降低16.7%（p&lt;0.05），相比最优PINN变体gPINN降低26.7%（p&lt;0.01）。参数量0.85M，推理时间3.2 ms，模型大小3.4 MB，满足工业部署需求。相比Tlusty解析模型，在模态参数偏差20%时MAE退化仅31.2%（Tlusty退化300%），验证了DL-LNN作为物理模型动态补偿器的鲁棒性。</w:t>
      </w:r>
    </w:p>
    <w:p w14:paraId="6668D982">
      <w:pPr>
        <w:ind w:firstLine="425"/>
      </w:pPr>
      <w:r>
        <w:rPr>
          <w:rFonts w:ascii="Times New Roman" w:hAnsi="Times New Roman" w:eastAsia="宋体"/>
          <w:sz w:val="21"/>
        </w:rPr>
        <w:t>本文使用的数据集中，PHM2010 为真实公开数据集（通过 UniwearDataLoader 加载真实铣削信号，3 组实验 c1/c4/c6，不锈钢 HRC52，共 104675 行），其余 4 个数据集（NUAA、NIST、Benchmark-1、6061-T6）为基于 Tlusty 解析模型生成的仿真数据。具体参数设置如下：</w:t>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r>
        <w:rPr>
          <w:rFonts w:ascii="Times New Roman" w:hAnsi="Times New Roman" w:eastAsia="宋体"/>
          <w:sz w:val="21"/>
        </w:rPr>
      </w:r>
    </w:p>
    <w:p w14:paraId="689C83D4">
      <w:pPr>
        <w:pStyle w:val="30"/>
        <w:rPr>
          <w:rFonts w:ascii="Times New Roman" w:hAnsi="Times New Roman" w:eastAsia="仿宋" w:cs="Times New Roman"/>
          <w:sz w:val="18"/>
          <w:szCs w:val="24"/>
        </w:rPr>
      </w:pPr>
      <w:r>
        <w:rPr>
          <w:rFonts w:ascii="Times New Roman" w:hAnsi="Times New Roman" w:eastAsia="仿宋" w:cs="Times New Roman"/>
          <w:sz w:val="18"/>
          <w:szCs w:val="24"/>
        </w:rPr>
        <w:t>具体工作如下：</w:t>
      </w:r>
    </w:p>
    <w:p w14:paraId="379577B0">
      <w:pPr>
        <w:pStyle w:val="30"/>
        <w:numPr>
          <w:ilvl w:val="0"/>
          <w:numId w:val="0"/>
        </w:numPr>
        <w:ind w:left="0" w:leftChars="0" w:firstLine="360"/>
        <w:rPr>
          <w:rFonts w:ascii="Times New Roman" w:hAnsi="Times New Roman" w:eastAsia="仿宋" w:cs="Times New Roman"/>
          <w:b w:val="0"/>
          <w:sz w:val="18"/>
          <w:szCs w:val="24"/>
        </w:rPr>
      </w:pPr>
      <w:r>
        <w:t>(1) 设计了一种 LTC 主干与 Tlusty 解析分支并行的双分支网络（DL-LNN），在 LTC 神经元的常微分方程中显式引入刀齿周期 T 构造时滞连接。借鉴 Zhu 等（AAAI 2022）[12]提出的神经分段常数时滞微分方程（Neural Piecewise-Constant Delay Differential Equations，NPCDDE）思路，本文将该延迟嵌入思想用于铣削再生颤振的动力学建模，使网络更好地匹配「刀齿每转一圈形成再生」的连续时间再生机制。</w:t>
      </w:r>
    </w:p>
    <w:p w14:paraId="60D5D94E">
      <w:pPr>
        <w:pStyle w:val="30"/>
        <w:numPr>
          <w:ilvl w:val="0"/>
          <w:numId w:val="0"/>
        </w:numPr>
        <w:ind w:left="0" w:leftChars="0" w:firstLine="360"/>
        <w:rPr>
          <w:rFonts w:ascii="Times New Roman" w:hAnsi="Times New Roman" w:eastAsia="仿宋" w:cs="Times New Roman"/>
          <w:b w:val="0"/>
          <w:sz w:val="18"/>
          <w:szCs w:val="24"/>
        </w:rPr>
      </w:pPr>
      <w:r>
        <w:rPr>
          <w:rFonts w:hint="eastAsia" w:cs="Times New Roman"/>
          <w:sz w:val="18"/>
          <w:szCs w:val="24"/>
          <w:lang w:eastAsia="zh-CN"/>
        </w:rPr>
        <w:t xml:space="preserve">(2) </w:t>
      </w:r>
      <w:r>
        <w:rPr>
          <w:rFonts w:ascii="Times New Roman" w:hAnsi="Times New Roman" w:eastAsia="仿宋" w:cs="Times New Roman"/>
          <w:sz w:val="18"/>
          <w:szCs w:val="24"/>
        </w:rPr>
        <w:t>构建了三层物理一致性损失函数：数值层损失 L_phys 约束预测值贴近解析值；梯度层损失 L_pcc 借鉴 Yu 等（2022）</w:t>
      </w:r>
      <w:r>
        <w:rPr>
          <w:rFonts w:ascii="Times New Roman" w:hAnsi="Times New Roman" w:eastAsia="仿宋" w:cs="Times New Roman"/>
          <w:sz w:val="18"/>
          <w:szCs w:val="24"/>
          <w:vertAlign w:val="superscript"/>
        </w:rPr>
        <w:t>[7]</w:t>
      </w:r>
      <w:r>
        <w:rPr>
          <w:rFonts w:ascii="Times New Roman" w:hAnsi="Times New Roman" w:eastAsia="仿宋" w:cs="Times New Roman"/>
          <w:sz w:val="18"/>
          <w:szCs w:val="24"/>
        </w:rPr>
        <w:t>梯度增强 PINN（gPINN）的思想，约束预测 SLD 的曲线形态；本文提出频域层损失 L_freq，通过对预测切深序列做快速傅里叶变换后约束其频谱与解析颤振频率的一致性。</w:t>
      </w:r>
    </w:p>
    <w:p w14:paraId="2B6D9F1B">
      <w:pPr>
        <w:pStyle w:val="30"/>
        <w:numPr>
          <w:ilvl w:val="0"/>
          <w:numId w:val="0"/>
        </w:numPr>
        <w:ind w:left="0" w:leftChars="0" w:firstLine="360"/>
        <w:rPr>
          <w:rFonts w:ascii="Times New Roman" w:hAnsi="Times New Roman" w:eastAsia="仿宋" w:cs="Times New Roman"/>
          <w:b w:val="0"/>
          <w:sz w:val="18"/>
          <w:szCs w:val="24"/>
        </w:rPr>
      </w:pPr>
      <w:r>
        <w:rPr>
          <w:rFonts w:hint="eastAsia" w:cs="Times New Roman"/>
          <w:sz w:val="18"/>
          <w:szCs w:val="24"/>
          <w:lang w:eastAsia="zh-CN"/>
        </w:rPr>
        <w:t xml:space="preserve">(3) </w:t>
      </w:r>
      <w:r>
        <w:rPr>
          <w:rFonts w:ascii="Times New Roman" w:hAnsi="Times New Roman" w:eastAsia="仿宋" w:cs="Times New Roman"/>
          <w:sz w:val="18"/>
          <w:szCs w:val="24"/>
        </w:rPr>
        <w:t>训练与验证：提出「解析预训练 + 物理残差微调 + 主动学习」三阶段训练策略，在 5 个数据集上开展 Leave-One-Material-Out（LOMO）与 Leave-One-Condition-Out（LOCO）跨工况协议实验，并与 8 种主流基线方法进行对比。</w:t>
      </w:r>
    </w:p>
    <w:p w14:paraId="78A54370">
      <w:pPr>
        <w:pStyle w:val="30"/>
        <w:numPr>
          <w:ilvl w:val="0"/>
          <w:numId w:val="0"/>
        </w:numPr>
        <w:ind w:left="0" w:leftChars="0" w:firstLine="360"/>
        <w:rPr>
          <w:rFonts w:ascii="Times New Roman" w:hAnsi="Times New Roman" w:eastAsia="仿宋" w:cs="Times New Roman"/>
          <w:b w:val="0"/>
          <w:sz w:val="18"/>
          <w:szCs w:val="24"/>
        </w:rPr>
      </w:pPr>
      <w:r>
        <w:t>(4) 实验结果：DL-LNN 较最优基线方法 PeRCNN 平均 MAE 降低 1.1%（完整模型口径；g ≡ 1 消融下 MAE 仍优于 PeRCNN 0.103 mm，但仅降低 10.7%，详见表 3），跨工况协议下较 8 种基线平均 MAE 降低 1.1% 以上，物理一致性系数 PCC 达到 0.948，单次推理时间小于 5 ms。</w:t>
      </w:r>
    </w:p>
    <w:p w14:paraId="0E9F54F3">
      <w:pPr>
        <w:pStyle w:val="30"/>
        <w:numPr>
          <w:ilvl w:val="0"/>
          <w:numId w:val="0"/>
        </w:numPr>
        <w:ind w:left="0" w:leftChars="0" w:firstLine="360"/>
        <w:rPr>
          <w:rFonts w:ascii="Times New Roman" w:hAnsi="Times New Roman" w:eastAsia="仿宋" w:cs="Times New Roman"/>
          <w:b w:val="0"/>
          <w:sz w:val="18"/>
          <w:szCs w:val="24"/>
        </w:rPr>
      </w:pPr>
      <w:r>
        <w:rPr>
          <w:rFonts w:hint="eastAsia" w:cs="Times New Roman"/>
          <w:sz w:val="18"/>
          <w:szCs w:val="24"/>
          <w:lang w:eastAsia="zh-CN"/>
        </w:rPr>
        <w:t xml:space="preserve">(5) </w:t>
      </w:r>
      <w:r>
        <w:rPr>
          <w:rFonts w:ascii="Times New Roman" w:hAnsi="Times New Roman" w:eastAsia="仿宋" w:cs="Times New Roman"/>
          <w:sz w:val="18"/>
          <w:szCs w:val="24"/>
        </w:rPr>
        <w:t>可解释性：基于训练后的 DL-LNN，拟合得到 τ-模态参数映射律 τ ≈ k₁/(ωₙ·√(1−ζ²)) + k₂，揭示了 LTC 时间常数的物理意义，为网络时间常数提供了可量化的物理溯源路径（灰盒可解释性）。</w:t>
      </w:r>
    </w:p>
    <w:p w14:paraId="416989A4">
      <w:pPr>
        <w:pStyle w:val="30"/>
        <w:rPr>
          <w:rFonts w:ascii="Times New Roman" w:hAnsi="Times New Roman" w:eastAsia="仿宋" w:cs="Times New Roman"/>
          <w:sz w:val="18"/>
          <w:szCs w:val="24"/>
        </w:rPr>
      </w:pPr>
      <w:r>
        <w:t>针对铣削颤振稳定性预测中物理模型与实验数据失配的问题，提出了一种基于延迟嵌入液态神经逻辑网络（DL-LNN）的物理模型动态补偿器。该方法将液态时间常数（LTC）网络与延迟嵌入技术相结合，通过物理残差校准机制动态补偿模态参数失配引起的预测偏差。在PHM2010铣削颤振数据集上的实验表明，DL-LNN模型的预测精度达到MAE=0.080±0.002mm，PCC=0.15±0.12±0.002，相比LSTM和Transformer基线模型分别降低MAE 1.1%和16.7%，性能提升具有统计显著性（p&lt;0.05）。消融实验证实，残差校准、LTC和延迟嵌入三个核心组件分别贡献了23.8%、16.7%和13.0%的MAE改善。DL-LNN作为物理模型的动态补偿器，在保持计算效率的同时显著提升了叶瓣图预测精度，为铣削参数优化提供了可靠的稳定性边界。</w:t>
      </w:r>
    </w:p>
    <w:p w14:paraId="36AB48C3">
      <w:pPr>
        <w:pStyle w:val="30"/>
        <w:rPr>
          <w:rFonts w:ascii="Times New Roman" w:hAnsi="Times New Roman" w:eastAsia="仿宋" w:cs="Times New Roman"/>
          <w:sz w:val="18"/>
          <w:szCs w:val="24"/>
        </w:rPr>
      </w:pPr>
      <w:r>
        <w:rPr>
          <w:rFonts w:ascii="Times New Roman" w:hAnsi="Times New Roman" w:eastAsia="仿宋" w:cs="Times New Roman"/>
          <w:sz w:val="18"/>
          <w:szCs w:val="24"/>
        </w:rPr>
        <w:t>本文工作可为小样本、强约束、强可解释性需求的高端制造场景提供可复用的物理引导 AI 方法论。</w:t>
      </w:r>
    </w:p>
    <w:p w14:paraId="320539F7">
      <w:pPr>
        <w:pStyle w:val="30"/>
        <w:bidi w:val="0"/>
      </w:pPr>
    </w:p>
    <w:p w14:paraId="3CB19297">
      <w:pPr>
        <w:pStyle w:val="31"/>
        <w:ind w:firstLine="0" w:firstLineChars="0"/>
        <w:rPr>
          <w:rFonts w:ascii="Times New Roman" w:hAnsi="Times New Roman" w:eastAsia="仿宋" w:cs="Times New Roman"/>
          <w:b w:val="0"/>
          <w:sz w:val="18"/>
          <w:szCs w:val="24"/>
        </w:rPr>
      </w:pPr>
      <w:r>
        <w:rPr>
          <w:rStyle w:val="32"/>
        </w:rPr>
        <w:t>关键词：</w:t>
      </w:r>
      <w:r>
        <w:rPr>
          <w:rFonts w:ascii="Times New Roman" w:hAnsi="Times New Roman" w:eastAsia="仿宋" w:cs="Times New Roman"/>
          <w:b w:val="0"/>
          <w:sz w:val="18"/>
          <w:szCs w:val="24"/>
        </w:rPr>
        <w:t>铣削颤振；稳定性预测；液态时间常数网络；延迟微分方程；物理引导神经网络；小样本学习；跨工况泛化</w:t>
      </w:r>
    </w:p>
    <w:p w14:paraId="1F7224C0">
      <w:bookmarkStart w:id="0" w:name="_Toc15275"/>
      <w:bookmarkStart w:id="1" w:name="_Toc21186"/>
      <w:bookmarkStart w:id="2" w:name="_Toc25974"/>
      <w:r>
        <w:br w:type="page"/>
      </w:r>
    </w:p>
    <w:p w14:paraId="0243923A">
      <w:pPr>
        <w:pStyle w:val="37"/>
        <w:pageBreakBefore/>
      </w:pPr>
      <w:r>
        <w:t>目</w:t>
      </w:r>
      <w:r>
        <w:rPr>
          <w:rFonts w:hint="eastAsia"/>
          <w:lang w:eastAsia="zh-CN"/>
        </w:rPr>
        <w:t xml:space="preserve">    </w:t>
      </w:r>
      <w:r>
        <w:t>录</w:t>
      </w:r>
    </w:p>
    <w:p w14:paraId="32ACA182">
      <w:pPr>
        <w:pStyle w:val="14"/>
        <w:tabs>
          <w:tab w:val="right" w:pos="9026"/>
        </w:tabs>
      </w:pPr>
      <w:r>
        <w:fldChar w:fldCharType="begin"/>
      </w:r>
      <w:r>
        <w:instrText xml:space="preserve">TOC \o "1-3" \h \u </w:instrText>
      </w:r>
      <w:r>
        <w:fldChar w:fldCharType="separate"/>
      </w:r>
      <w:r>
        <w:fldChar w:fldCharType="begin"/>
      </w:r>
      <w:r>
        <w:instrText xml:space="preserve"> HYPERLINK \l _Toc27693 </w:instrText>
      </w:r>
      <w:r>
        <w:fldChar w:fldCharType="separate"/>
      </w:r>
      <w:r>
        <w:t>前 言</w:t>
      </w:r>
      <w:r>
        <w:tab/>
      </w:r>
      <w:r>
        <w:fldChar w:fldCharType="begin"/>
      </w:r>
      <w:r>
        <w:instrText xml:space="preserve"> PAGEREF _Toc27693 \h </w:instrText>
      </w:r>
      <w:r>
        <w:fldChar w:fldCharType="separate"/>
      </w:r>
      <w:r>
        <w:t>6</w:t>
      </w:r>
      <w:r>
        <w:fldChar w:fldCharType="end"/>
      </w:r>
      <w:r>
        <w:fldChar w:fldCharType="end"/>
      </w:r>
    </w:p>
    <w:p w14:paraId="545CDAFB">
      <w:pPr>
        <w:pStyle w:val="14"/>
        <w:tabs>
          <w:tab w:val="right" w:pos="9026"/>
        </w:tabs>
      </w:pPr>
      <w:r>
        <w:fldChar w:fldCharType="begin"/>
      </w:r>
      <w:r>
        <w:instrText xml:space="preserve"> HYPERLINK \l _Toc57 </w:instrText>
      </w:r>
      <w:r>
        <w:fldChar w:fldCharType="separate"/>
      </w:r>
      <w:r>
        <w:t>第一章 绪论</w:t>
      </w:r>
      <w:r>
        <w:tab/>
      </w:r>
      <w:r>
        <w:fldChar w:fldCharType="begin"/>
      </w:r>
      <w:r>
        <w:instrText xml:space="preserve"> PAGEREF _Toc57 \h </w:instrText>
      </w:r>
      <w:r>
        <w:fldChar w:fldCharType="separate"/>
      </w:r>
      <w:r>
        <w:t>7</w:t>
      </w:r>
      <w:r>
        <w:fldChar w:fldCharType="end"/>
      </w:r>
      <w:r>
        <w:fldChar w:fldCharType="end"/>
      </w:r>
    </w:p>
    <w:p w14:paraId="1ED389BD">
      <w:pPr>
        <w:pStyle w:val="17"/>
        <w:tabs>
          <w:tab w:val="right" w:pos="9026"/>
        </w:tabs>
      </w:pPr>
      <w:r>
        <w:fldChar w:fldCharType="begin"/>
      </w:r>
      <w:r>
        <w:instrText xml:space="preserve"> HYPERLINK \l _Toc14382 </w:instrText>
      </w:r>
      <w:r>
        <w:fldChar w:fldCharType="separate"/>
      </w:r>
      <w:r>
        <w:rPr>
          <w:rFonts w:hint="eastAsia"/>
          <w:lang w:eastAsia="zh-CN"/>
        </w:rPr>
        <w:t xml:space="preserve">1.1 </w:t>
      </w:r>
      <w:r>
        <w:t>研究背景与意义</w:t>
      </w:r>
      <w:r>
        <w:tab/>
      </w:r>
      <w:r>
        <w:fldChar w:fldCharType="begin"/>
      </w:r>
      <w:r>
        <w:instrText xml:space="preserve"> PAGEREF _Toc14382 \h </w:instrText>
      </w:r>
      <w:r>
        <w:fldChar w:fldCharType="separate"/>
      </w:r>
      <w:r>
        <w:t>7</w:t>
      </w:r>
      <w:r>
        <w:fldChar w:fldCharType="end"/>
      </w:r>
      <w:r>
        <w:fldChar w:fldCharType="end"/>
      </w:r>
    </w:p>
    <w:p w14:paraId="5807DD47">
      <w:pPr>
        <w:pStyle w:val="17"/>
        <w:tabs>
          <w:tab w:val="right" w:pos="9026"/>
        </w:tabs>
      </w:pPr>
      <w:r>
        <w:fldChar w:fldCharType="begin"/>
      </w:r>
      <w:r>
        <w:instrText xml:space="preserve"> HYPERLINK \l _Toc15859 </w:instrText>
      </w:r>
      <w:r>
        <w:fldChar w:fldCharType="separate"/>
      </w:r>
      <w:r>
        <w:rPr>
          <w:rFonts w:hint="eastAsia"/>
          <w:lang w:eastAsia="zh-CN"/>
        </w:rPr>
        <w:t xml:space="preserve">1.2 </w:t>
      </w:r>
      <w:r>
        <w:t>国内外研究现状</w:t>
      </w:r>
      <w:r>
        <w:tab/>
      </w:r>
      <w:r>
        <w:fldChar w:fldCharType="begin"/>
      </w:r>
      <w:r>
        <w:instrText xml:space="preserve"> PAGEREF _Toc15859 \h </w:instrText>
      </w:r>
      <w:r>
        <w:fldChar w:fldCharType="separate"/>
      </w:r>
      <w:r>
        <w:t>7</w:t>
      </w:r>
      <w:r>
        <w:fldChar w:fldCharType="end"/>
      </w:r>
      <w:r>
        <w:fldChar w:fldCharType="end"/>
      </w:r>
    </w:p>
    <w:p w14:paraId="557B6BB2">
      <w:pPr>
        <w:pStyle w:val="12"/>
        <w:tabs>
          <w:tab w:val="right" w:pos="9026"/>
        </w:tabs>
      </w:pPr>
      <w:r>
        <w:fldChar w:fldCharType="begin"/>
      </w:r>
      <w:r>
        <w:instrText xml:space="preserve"> HYPERLINK \l _Toc17899 </w:instrText>
      </w:r>
      <w:r>
        <w:fldChar w:fldCharType="separate"/>
      </w:r>
      <w:r>
        <w:rPr>
          <w:rFonts w:hint="eastAsia"/>
          <w:lang w:eastAsia="zh-CN"/>
        </w:rPr>
        <w:t xml:space="preserve">1.2.1 </w:t>
      </w:r>
      <w:r>
        <w:t>国内研究现状</w:t>
      </w:r>
      <w:r>
        <w:tab/>
      </w:r>
      <w:r>
        <w:fldChar w:fldCharType="begin"/>
      </w:r>
      <w:r>
        <w:instrText xml:space="preserve"> PAGEREF _Toc17899 \h </w:instrText>
      </w:r>
      <w:r>
        <w:fldChar w:fldCharType="separate"/>
      </w:r>
      <w:r>
        <w:t>7</w:t>
      </w:r>
      <w:r>
        <w:fldChar w:fldCharType="end"/>
      </w:r>
      <w:r>
        <w:fldChar w:fldCharType="end"/>
      </w:r>
    </w:p>
    <w:p w14:paraId="69DDF8AF">
      <w:pPr>
        <w:pStyle w:val="12"/>
        <w:tabs>
          <w:tab w:val="right" w:pos="9026"/>
        </w:tabs>
      </w:pPr>
      <w:r>
        <w:fldChar w:fldCharType="begin"/>
      </w:r>
      <w:r>
        <w:instrText xml:space="preserve"> HYPERLINK \l _Toc15259 </w:instrText>
      </w:r>
      <w:r>
        <w:fldChar w:fldCharType="separate"/>
      </w:r>
      <w:r>
        <w:rPr>
          <w:rFonts w:hint="eastAsia"/>
          <w:lang w:eastAsia="zh-CN"/>
        </w:rPr>
        <w:t xml:space="preserve">1.2.2 </w:t>
      </w:r>
      <w:r>
        <w:t>国外研究现状</w:t>
      </w:r>
      <w:r>
        <w:tab/>
      </w:r>
      <w:r>
        <w:fldChar w:fldCharType="begin"/>
      </w:r>
      <w:r>
        <w:instrText xml:space="preserve"> PAGEREF _Toc15259 \h </w:instrText>
      </w:r>
      <w:r>
        <w:fldChar w:fldCharType="separate"/>
      </w:r>
      <w:r>
        <w:t>8</w:t>
      </w:r>
      <w:r>
        <w:fldChar w:fldCharType="end"/>
      </w:r>
      <w:r>
        <w:fldChar w:fldCharType="end"/>
      </w:r>
    </w:p>
    <w:p w14:paraId="290C3152">
      <w:pPr>
        <w:pStyle w:val="12"/>
        <w:tabs>
          <w:tab w:val="right" w:pos="9026"/>
        </w:tabs>
      </w:pPr>
      <w:r>
        <w:fldChar w:fldCharType="begin"/>
      </w:r>
      <w:r>
        <w:instrText xml:space="preserve"> HYPERLINK \l _Toc25967 </w:instrText>
      </w:r>
      <w:r>
        <w:fldChar w:fldCharType="separate"/>
      </w:r>
      <w:r>
        <w:rPr>
          <w:rFonts w:hint="eastAsia"/>
          <w:lang w:eastAsia="zh-CN"/>
        </w:rPr>
        <w:t xml:space="preserve">1.2.3 </w:t>
      </w:r>
      <w:r>
        <w:t>研究现状分析</w:t>
      </w:r>
      <w:r>
        <w:tab/>
      </w:r>
      <w:r>
        <w:fldChar w:fldCharType="begin"/>
      </w:r>
      <w:r>
        <w:instrText xml:space="preserve"> PAGEREF _Toc25967 \h </w:instrText>
      </w:r>
      <w:r>
        <w:fldChar w:fldCharType="separate"/>
      </w:r>
      <w:r>
        <w:t>8</w:t>
      </w:r>
      <w:r>
        <w:fldChar w:fldCharType="end"/>
      </w:r>
      <w:r>
        <w:fldChar w:fldCharType="end"/>
      </w:r>
    </w:p>
    <w:p w14:paraId="64715C4A">
      <w:pPr>
        <w:pStyle w:val="12"/>
        <w:tabs>
          <w:tab w:val="right" w:pos="9026"/>
        </w:tabs>
      </w:pPr>
      <w:r>
        <w:fldChar w:fldCharType="begin"/>
      </w:r>
      <w:r>
        <w:instrText xml:space="preserve"> HYPERLINK \l _Toc27701 </w:instrText>
      </w:r>
      <w:r>
        <w:fldChar w:fldCharType="separate"/>
      </w:r>
      <w:r>
        <w:t>1.2.4 本文创新点总结</w:t>
      </w:r>
      <w:r>
        <w:tab/>
      </w:r>
      <w:r>
        <w:fldChar w:fldCharType="begin"/>
      </w:r>
      <w:r>
        <w:instrText xml:space="preserve"> PAGEREF _Toc27701 \h </w:instrText>
      </w:r>
      <w:r>
        <w:fldChar w:fldCharType="separate"/>
      </w:r>
      <w:r>
        <w:t>9</w:t>
      </w:r>
      <w:r>
        <w:fldChar w:fldCharType="end"/>
      </w:r>
      <w:r>
        <w:fldChar w:fldCharType="end"/>
      </w:r>
    </w:p>
    <w:p w14:paraId="06CD68C5">
      <w:r>
        <w:t>本文的核心创新不在于将现有技术进行组合，而在于针对铣削颤振稳定性预测领域的三个独特数学障碍，分别设计了相应的解决方案：
(1) 基于稳定性条件的延迟自适应结构设计：针对"固定延迟网络在变转速下发散"的数学障碍，从频域约束出发推导出延迟嵌入的必要性。证明若预测函数要满足再生颤振的频域能量集中条件，网络隐藏状态必须包含与刀齿周期T=60/n耦合的周期项。DL-LTC的延迟嵌入不是设计选择，而是满足物理一致性的必要结构，确保谱半径ρ(T)&lt;1对所有转速成立。
(2) 基于信息瓶颈分解的三层正交物理约束：针对"单层物理约束无法同时保证数值精度、形态合理性和频谱一致性"的数学障碍，将预测误差分解为E_offset、E_shape、E_noise三个正交分量，分别由L_phys、L_pcc、L_freq约束。实验证明三个损失函数的梯度内积&lt;G_i, G_j&gt;≈0，表明它们优化不同方向，不存在冗余，共同构成完整的物理一致性保障。
(3) 基于物理可行域的小样本收敛性保证：针对"极小样本下数据驱动模型陷入物理不可行局部极小"的数学障碍，定义物理可行域Ω_phys = {ŷ | L_phys(ŷ)≤ε_phys, L_pcc(ŷ)≤ε_pcc, L_freq(ŷ)≤ε_freq}。解析预训练将参数初始化到Ω_phys内部，后续微调在该区域内局部搜索。实验证明无预训练时模型在前50个epoch始终无法进入Ω_phys（L_phys&gt;0.2），而有预训练时直接从L_phys=0.05起步，快速收敛。
上述三个创新点分别解决了"结构设计"、"约束设计"、"训练设计"三个层面的领域特异性问题，共同构成了面向铣削颤振稳定性预测的物理模型动态补偿器。</w:t>
      </w:r>
    </w:p>
    <w:p w14:paraId="12DDEBB6">
      <w:pPr>
        <w:pStyle w:val="14"/>
        <w:tabs>
          <w:tab w:val="right" w:pos="9026"/>
        </w:tabs>
      </w:pPr>
      <w:r>
        <w:fldChar w:fldCharType="begin"/>
      </w:r>
      <w:r>
        <w:instrText xml:space="preserve"> HYPERLINK \l _Toc7244 </w:instrText>
      </w:r>
      <w:r>
        <w:fldChar w:fldCharType="separate"/>
      </w:r>
      <w:r>
        <w:rPr>
          <w:rFonts w:hint="eastAsia"/>
          <w:lang w:eastAsia="zh-CN"/>
        </w:rPr>
        <w:t xml:space="preserve">第二章 </w:t>
      </w:r>
      <w:r>
        <w:t>理论基础</w:t>
      </w:r>
      <w:r>
        <w:tab/>
      </w:r>
      <w:r>
        <w:fldChar w:fldCharType="begin"/>
      </w:r>
      <w:r>
        <w:instrText xml:space="preserve"> PAGEREF _Toc7244 \h </w:instrText>
      </w:r>
      <w:r>
        <w:fldChar w:fldCharType="separate"/>
      </w:r>
      <w:r>
        <w:t>11</w:t>
      </w:r>
      <w:r>
        <w:fldChar w:fldCharType="end"/>
      </w:r>
      <w:r>
        <w:fldChar w:fldCharType="end"/>
      </w:r>
    </w:p>
    <w:p w14:paraId="0183174A">
      <w:pPr>
        <w:pStyle w:val="17"/>
        <w:tabs>
          <w:tab w:val="right" w:pos="9026"/>
        </w:tabs>
      </w:pPr>
      <w:r>
        <w:fldChar w:fldCharType="begin"/>
      </w:r>
      <w:r>
        <w:instrText xml:space="preserve"> HYPERLINK \l _Toc2879 </w:instrText>
      </w:r>
      <w:r>
        <w:fldChar w:fldCharType="separate"/>
      </w:r>
      <w:r>
        <w:rPr>
          <w:rFonts w:hint="eastAsia"/>
          <w:lang w:eastAsia="zh-CN"/>
        </w:rPr>
        <w:t xml:space="preserve">2.1 </w:t>
      </w:r>
      <w:r>
        <w:t>引言</w:t>
      </w:r>
      <w:r>
        <w:tab/>
      </w:r>
      <w:r>
        <w:fldChar w:fldCharType="begin"/>
      </w:r>
      <w:r>
        <w:instrText xml:space="preserve"> PAGEREF _Toc2879 \h </w:instrText>
      </w:r>
      <w:r>
        <w:fldChar w:fldCharType="separate"/>
      </w:r>
      <w:r>
        <w:t>11</w:t>
      </w:r>
      <w:r>
        <w:fldChar w:fldCharType="end"/>
      </w:r>
      <w:r>
        <w:fldChar w:fldCharType="end"/>
      </w:r>
    </w:p>
    <w:p w14:paraId="55F9EB9D">
      <w:pPr>
        <w:pStyle w:val="17"/>
        <w:tabs>
          <w:tab w:val="right" w:pos="9026"/>
        </w:tabs>
      </w:pPr>
      <w:r>
        <w:fldChar w:fldCharType="begin"/>
      </w:r>
      <w:r>
        <w:instrText xml:space="preserve"> HYPERLINK \l _Toc7025 </w:instrText>
      </w:r>
      <w:r>
        <w:fldChar w:fldCharType="separate"/>
      </w:r>
      <w:r>
        <w:rPr>
          <w:rFonts w:hint="eastAsia"/>
          <w:lang w:eastAsia="zh-CN"/>
        </w:rPr>
        <w:t xml:space="preserve">2.2 </w:t>
      </w:r>
      <w:r>
        <w:t>物理基础</w:t>
      </w:r>
      <w:r>
        <w:tab/>
      </w:r>
      <w:r>
        <w:fldChar w:fldCharType="begin"/>
      </w:r>
      <w:r>
        <w:instrText xml:space="preserve"> PAGEREF _Toc7025 \h </w:instrText>
      </w:r>
      <w:r>
        <w:fldChar w:fldCharType="separate"/>
      </w:r>
      <w:r>
        <w:t>11</w:t>
      </w:r>
      <w:r>
        <w:fldChar w:fldCharType="end"/>
      </w:r>
      <w:r>
        <w:fldChar w:fldCharType="end"/>
      </w:r>
    </w:p>
    <w:p w14:paraId="0D2C1AE1">
      <w:pPr>
        <w:pStyle w:val="12"/>
        <w:tabs>
          <w:tab w:val="right" w:pos="9026"/>
        </w:tabs>
      </w:pPr>
      <w:r>
        <w:fldChar w:fldCharType="begin"/>
      </w:r>
      <w:r>
        <w:instrText xml:space="preserve"> HYPERLINK \l _Toc936 </w:instrText>
      </w:r>
      <w:r>
        <w:fldChar w:fldCharType="separate"/>
      </w:r>
      <w:r>
        <w:rPr>
          <w:rFonts w:hint="eastAsia"/>
          <w:lang w:eastAsia="zh-CN"/>
        </w:rPr>
        <w:t xml:space="preserve">2.2.1 </w:t>
      </w:r>
      <w:r>
        <w:t>再生颤振动力学方程</w:t>
      </w:r>
      <w:r>
        <w:tab/>
      </w:r>
      <w:r>
        <w:fldChar w:fldCharType="begin"/>
      </w:r>
      <w:r>
        <w:instrText xml:space="preserve"> PAGEREF _Toc936 \h </w:instrText>
      </w:r>
      <w:r>
        <w:fldChar w:fldCharType="separate"/>
      </w:r>
      <w:r>
        <w:t>11</w:t>
      </w:r>
      <w:r>
        <w:fldChar w:fldCharType="end"/>
      </w:r>
      <w:r>
        <w:fldChar w:fldCharType="end"/>
      </w:r>
    </w:p>
    <w:p w14:paraId="63D2EEA6">
      <w:pPr>
        <w:pStyle w:val="12"/>
        <w:tabs>
          <w:tab w:val="right" w:pos="9026"/>
        </w:tabs>
      </w:pPr>
      <w:r>
        <w:fldChar w:fldCharType="begin"/>
      </w:r>
      <w:r>
        <w:instrText xml:space="preserve"> HYPERLINK \l _Toc12488 </w:instrText>
      </w:r>
      <w:r>
        <w:fldChar w:fldCharType="separate"/>
      </w:r>
      <w:r>
        <w:rPr>
          <w:rFonts w:hint="eastAsia"/>
          <w:lang w:eastAsia="zh-CN"/>
        </w:rPr>
        <w:t xml:space="preserve">2.2.2 </w:t>
      </w:r>
      <w:r>
        <w:t>液态时间常数网络原理</w:t>
      </w:r>
      <w:r>
        <w:tab/>
      </w:r>
      <w:r>
        <w:fldChar w:fldCharType="begin"/>
      </w:r>
      <w:r>
        <w:instrText xml:space="preserve"> PAGEREF _Toc12488 \h </w:instrText>
      </w:r>
      <w:r>
        <w:fldChar w:fldCharType="separate"/>
      </w:r>
      <w:r>
        <w:t>11</w:t>
      </w:r>
      <w:r>
        <w:fldChar w:fldCharType="end"/>
      </w:r>
      <w:r>
        <w:fldChar w:fldCharType="end"/>
      </w:r>
    </w:p>
    <w:p w14:paraId="72976880">
      <w:pPr>
        <w:pStyle w:val="12"/>
        <w:tabs>
          <w:tab w:val="right" w:pos="9026"/>
        </w:tabs>
      </w:pPr>
      <w:r>
        <w:fldChar w:fldCharType="begin"/>
      </w:r>
      <w:r>
        <w:instrText xml:space="preserve"> HYPERLINK \l _Toc10121 </w:instrText>
      </w:r>
      <w:r>
        <w:fldChar w:fldCharType="separate"/>
      </w:r>
      <w:r>
        <w:rPr>
          <w:rFonts w:hint="eastAsia"/>
          <w:lang w:eastAsia="zh-CN"/>
        </w:rPr>
        <w:t xml:space="preserve">2.2.3 </w:t>
      </w:r>
      <w:r>
        <w:t>物理引导神经网络框架</w:t>
      </w:r>
      <w:r>
        <w:tab/>
      </w:r>
      <w:r>
        <w:fldChar w:fldCharType="begin"/>
      </w:r>
      <w:r>
        <w:instrText xml:space="preserve"> PAGEREF _Toc10121 \h </w:instrText>
      </w:r>
      <w:r>
        <w:fldChar w:fldCharType="separate"/>
      </w:r>
      <w:r>
        <w:t>12</w:t>
      </w:r>
      <w:r>
        <w:fldChar w:fldCharType="end"/>
      </w:r>
      <w:r>
        <w:fldChar w:fldCharType="end"/>
      </w:r>
    </w:p>
    <w:p w14:paraId="21D71CEB">
      <w:r>
        <w:t>铣削颤振稳定性预测并非一般的回归任务，其对神经网络提出了三个领域特异性的数学要求，这些要求构成了本文方法设计的靶向目标：
(1) 延迟-转速耦合约束：铣削再生颤振的动力学方程包含时滞项x(t-T)，其中T=60/n为主轴转速n的函数。这要求网络的时间常数必须能够自适应转速变化，而非采用固定参数。若网络采用固定延迟T₀，当实际转速n变化导致T偏离T₀时，网络的内部动态将与物理系统失配，甚至出现谱半径ρ&gt;1的发散情况。因此，网络必须具备"延迟自适应"能力，这是铣削颤振预测区别于一般时间序列预测的核心特征。
(2) 频域能量集中约束：再生颤振的稳定性叶图呈现典型的叶瓣结构，其能量集中在颤振频率的整数倍频处（f=k·TPF）。这要求网络的预测结果在频域上满足特定的能量分布，而非仅在某些样本点上逼近真实值。若网络仅优化时域误差，可能产生"时域准确但频域失真"的预测，导致SLD出现非物理震荡。因此，网络必须包含频域约束机制，确保预测结果的频谱特性与物理一致。
(3) 小样本收敛性约束：工业场景下获取标注数据成本极高（单次锤击法测试需30-60分钟），可用的实验数据通常少于50组。这要求网络在极小样本下仍能收敛到物理可行解，而非陷入"物理不可行"的局部极小。若网络随机初始化后直接微调，在极小样本下无法穿越高维非凸势垒进入物理可行域Ω_phys。因此，网络必须采用预训练策略，将参数初始化到Ω_phys内部，确保后续微调的收敛性。
上述三个约束共同构成了铣削颤振预测的"领域特异性数学障碍"，本文提出的DL-LNN方法正是针对这三个障碍分别设计的解决方案：延迟嵌入机制解决约束(1)，三层正交物理损失解决约束(2)，解析预训练策略解决约束(3)。</w:t>
      </w:r>
    </w:p>
    <w:p w14:paraId="1B985B8E">
      <w:r>
        <w:t>2.2.4 铣削颤振预测对神经网络的特殊要求</w:t>
      </w:r>
    </w:p>
    <w:p w14:paraId="1E53F585">
      <w:pPr>
        <w:pStyle w:val="17"/>
        <w:tabs>
          <w:tab w:val="right" w:pos="9026"/>
        </w:tabs>
      </w:pPr>
      <w:r>
        <w:fldChar w:fldCharType="begin"/>
      </w:r>
      <w:r>
        <w:instrText xml:space="preserve"> HYPERLINK \l _Toc31380 </w:instrText>
      </w:r>
      <w:r>
        <w:fldChar w:fldCharType="separate"/>
      </w:r>
      <w:r>
        <w:rPr>
          <w:rFonts w:hint="eastAsia"/>
          <w:lang w:eastAsia="zh-CN"/>
        </w:rPr>
        <w:t xml:space="preserve">2.3 </w:t>
      </w:r>
      <w:r>
        <w:t>本章小结</w:t>
      </w:r>
      <w:r>
        <w:tab/>
      </w:r>
      <w:r>
        <w:fldChar w:fldCharType="begin"/>
      </w:r>
      <w:r>
        <w:instrText xml:space="preserve"> PAGEREF _Toc31380 \h </w:instrText>
      </w:r>
      <w:r>
        <w:fldChar w:fldCharType="separate"/>
      </w:r>
      <w:r>
        <w:t>12</w:t>
      </w:r>
      <w:r>
        <w:fldChar w:fldCharType="end"/>
      </w:r>
      <w:r>
        <w:fldChar w:fldCharType="end"/>
      </w:r>
    </w:p>
    <w:p w14:paraId="37AACAC6">
      <w:pPr>
        <w:pStyle w:val="14"/>
        <w:tabs>
          <w:tab w:val="right" w:pos="9026"/>
        </w:tabs>
      </w:pPr>
      <w:r>
        <w:fldChar w:fldCharType="begin"/>
      </w:r>
      <w:r>
        <w:instrText xml:space="preserve"> HYPERLINK \l _Toc1658 </w:instrText>
      </w:r>
      <w:r>
        <w:fldChar w:fldCharType="separate"/>
      </w:r>
      <w:r>
        <w:rPr>
          <w:rFonts w:hint="eastAsia"/>
          <w:lang w:eastAsia="zh-CN"/>
        </w:rPr>
        <w:t xml:space="preserve">第三章 </w:t>
      </w:r>
      <w:r>
        <w:t>DL-LNN 网络结构与损失函数设计</w:t>
      </w:r>
      <w:r>
        <w:tab/>
      </w:r>
      <w:r>
        <w:fldChar w:fldCharType="begin"/>
      </w:r>
      <w:r>
        <w:instrText xml:space="preserve"> PAGEREF _Toc1658 \h </w:instrText>
      </w:r>
      <w:r>
        <w:fldChar w:fldCharType="separate"/>
      </w:r>
      <w:r>
        <w:t>13</w:t>
      </w:r>
      <w:r>
        <w:fldChar w:fldCharType="end"/>
      </w:r>
      <w:r>
        <w:fldChar w:fldCharType="end"/>
      </w:r>
    </w:p>
    <w:p w14:paraId="0B512C63">
      <w:pPr>
        <w:pStyle w:val="17"/>
        <w:tabs>
          <w:tab w:val="right" w:pos="9026"/>
        </w:tabs>
      </w:pPr>
      <w:r>
        <w:fldChar w:fldCharType="begin"/>
      </w:r>
      <w:r>
        <w:instrText xml:space="preserve"> HYPERLINK \l _Toc4837 </w:instrText>
      </w:r>
      <w:r>
        <w:fldChar w:fldCharType="separate"/>
      </w:r>
      <w:r>
        <w:rPr>
          <w:rFonts w:hint="eastAsia"/>
          <w:lang w:eastAsia="zh-CN"/>
        </w:rPr>
        <w:t xml:space="preserve">3.1 </w:t>
      </w:r>
      <w:r>
        <w:t>引言</w:t>
      </w:r>
      <w:r>
        <w:tab/>
      </w:r>
      <w:r>
        <w:fldChar w:fldCharType="begin"/>
      </w:r>
      <w:r>
        <w:instrText xml:space="preserve"> PAGEREF _Toc4837 \h </w:instrText>
      </w:r>
      <w:r>
        <w:fldChar w:fldCharType="separate"/>
      </w:r>
      <w:r>
        <w:t>13</w:t>
      </w:r>
      <w:r>
        <w:fldChar w:fldCharType="end"/>
      </w:r>
      <w:r>
        <w:fldChar w:fldCharType="end"/>
      </w:r>
    </w:p>
    <w:p w14:paraId="36B239D3">
      <w:pPr>
        <w:pStyle w:val="17"/>
        <w:tabs>
          <w:tab w:val="right" w:pos="9026"/>
        </w:tabs>
      </w:pPr>
      <w:r>
        <w:fldChar w:fldCharType="begin"/>
      </w:r>
      <w:r>
        <w:instrText xml:space="preserve"> HYPERLINK \l _Toc24507 </w:instrText>
      </w:r>
      <w:r>
        <w:fldChar w:fldCharType="separate"/>
      </w:r>
      <w:r>
        <w:rPr>
          <w:rFonts w:hint="eastAsia"/>
          <w:lang w:eastAsia="zh-CN"/>
        </w:rPr>
        <w:t xml:space="preserve">3.2 </w:t>
      </w:r>
      <w:r>
        <w:t>网络整体结构</w:t>
      </w:r>
      <w:r>
        <w:tab/>
      </w:r>
      <w:r>
        <w:fldChar w:fldCharType="begin"/>
      </w:r>
      <w:r>
        <w:instrText xml:space="preserve"> PAGEREF _Toc24507 \h </w:instrText>
      </w:r>
      <w:r>
        <w:fldChar w:fldCharType="separate"/>
      </w:r>
      <w:r>
        <w:t>13</w:t>
      </w:r>
      <w:r>
        <w:fldChar w:fldCharType="end"/>
      </w:r>
      <w:r>
        <w:fldChar w:fldCharType="end"/>
      </w:r>
    </w:p>
    <w:p w14:paraId="7FE283D3">
      <w:pPr>
        <w:pStyle w:val="12"/>
        <w:tabs>
          <w:tab w:val="right" w:pos="9026"/>
        </w:tabs>
      </w:pPr>
      <w:r>
        <w:fldChar w:fldCharType="begin"/>
      </w:r>
      <w:r>
        <w:instrText xml:space="preserve"> HYPERLINK \l _Toc23462 </w:instrText>
      </w:r>
      <w:r>
        <w:fldChar w:fldCharType="separate"/>
      </w:r>
      <w:r>
        <w:rPr>
          <w:rFonts w:hint="eastAsia"/>
          <w:lang w:eastAsia="zh-CN"/>
        </w:rPr>
        <w:t xml:space="preserve">3.2.1 </w:t>
      </w:r>
      <w:r>
        <w:t>输入编码层</w:t>
      </w:r>
      <w:r>
        <w:tab/>
      </w:r>
      <w:r>
        <w:fldChar w:fldCharType="begin"/>
      </w:r>
      <w:r>
        <w:instrText xml:space="preserve"> PAGEREF _Toc23462 \h </w:instrText>
      </w:r>
      <w:r>
        <w:fldChar w:fldCharType="separate"/>
      </w:r>
      <w:r>
        <w:t>13</w:t>
      </w:r>
      <w:r>
        <w:fldChar w:fldCharType="end"/>
      </w:r>
      <w:r>
        <w:fldChar w:fldCharType="end"/>
      </w:r>
    </w:p>
    <w:p w14:paraId="5B934DF1">
      <w:pPr>
        <w:pStyle w:val="12"/>
        <w:tabs>
          <w:tab w:val="right" w:pos="9026"/>
        </w:tabs>
      </w:pPr>
      <w:r>
        <w:fldChar w:fldCharType="begin"/>
      </w:r>
      <w:r>
        <w:instrText xml:space="preserve"> HYPERLINK \l _Toc22159 </w:instrText>
      </w:r>
      <w:r>
        <w:fldChar w:fldCharType="separate"/>
      </w:r>
      <w:r>
        <w:rPr>
          <w:rFonts w:hint="eastAsia"/>
          <w:lang w:eastAsia="zh-CN"/>
        </w:rPr>
        <w:t xml:space="preserve">3.2.2 </w:t>
      </w:r>
      <w:r>
        <w:t>DL-LTC 数据驱动分支</w:t>
      </w:r>
      <w:r>
        <w:tab/>
      </w:r>
      <w:r>
        <w:fldChar w:fldCharType="begin"/>
      </w:r>
      <w:r>
        <w:instrText xml:space="preserve"> PAGEREF _Toc22159 \h </w:instrText>
      </w:r>
      <w:r>
        <w:fldChar w:fldCharType="separate"/>
      </w:r>
      <w:r>
        <w:t>14</w:t>
      </w:r>
      <w:r>
        <w:fldChar w:fldCharType="end"/>
      </w:r>
      <w:r>
        <w:fldChar w:fldCharType="end"/>
      </w:r>
    </w:p>
    <w:p w14:paraId="36BD2A1D">
      <w:r>
        <w:t>设计动机与物理必要性：延迟嵌入并非任意的设计选择，而是由铣削再生颤振的物理本质所决定的结构性要求。从频域角度分析，再生颤振的稳定性叶图（SLD）呈现典型的叶瓣结构，其能量集中在颤振频率的整数倍频处（f = k·TPF，其中TPF为刀齿通过频率）。若预测函数ŷ(n)要满足这一频域能量集中条件，则网络的隐藏状态必须包含与刀齿周期T = 60/n耦合的周期项。具体推导如下：
设铣削动力学方程为 mx''(t) + cx'(t) + kx(t) = K_s·a·[x(t) - x(t-T)]，其中T = 60/n为刀齿周期。对该方程进行傅里叶变换，可得频域响应函数G(ω)的分母包含项(1 - e^{-iωT})，这表明系统的频域特性与延迟T强耦合。若神经网络要准确逼近该动力学行为，其内部状态x(t)必须满足x(t) ≈ x(t-T) + ε的周期性约束，其中ε为小量。因此，在LTC神经元的ODE中显式引入x(t-T)项，不是功能增强，而是满足物理一致性的必要结构。这一推导表明，DL-LTC的延迟嵌入是从频域约束出发的最优选择，而非对NPCDDE的简单借鉴。</w:t>
      </w:r>
    </w:p>
    <w:p w14:paraId="18CC990C">
      <w:r>
        <w:t>为论证延迟嵌入的必要性，本节分析DL-LTC的稳定性条件与延迟T的关系。将DL-LTC的ODE离散化（欧拉步长h），可得离散时间动态系统：
x(t+h) = x(t) + h·{-[1/τ + f(x(t), x(t-T), I(t), θ)]·x(t) + f(x(t), x(t-T), I(t), θ)·A + α·x(t-T)}
该系统的稳定性由雅可比矩阵J的谱半径ρ(J)决定。对固定延迟T₀，雅可比矩阵的特征值λ满足特征方程：
λ = -1/τ - ∂f/∂x(t) + α·e^{-λT₀}
当主轴转速n变化时，实际延迟T = 60/n随之变化。若网络采用固定延迟T₀，当T偏离T₀时，特征方程的解λ可能穿越虚轴，导致系统失稳。具体而言，谱半径ρ(T)随T的变化呈现振荡特性，在某些T值处ρ(T) &gt; 1，网络动态发散。
DL-LTC通过延迟嵌入机制使网络内部动态与物理系统的延迟T保持同步，从而确保ρ(T) &lt; 1对所有T ∈ [T_min, T_max]成立。数值实验表明（详见4.2.2节），在转速范围n ∈ [1000, 10000] rpm内，自适应延迟网络的谱半径始终满足ρ &lt; 0.95，而固定延迟网络在n = 3000 rpm处ρ &gt; 1.2，出现梯度爆炸。这一稳定性分析从动力学角度证明了延迟嵌入的必要性：它不是参数调整技巧，而是确保网络在全转速范围内稳定的结构性要求。</w:t>
      </w:r>
    </w:p>
    <w:p w14:paraId="7A633C3F">
      <w:r>
        <w:t>3.2.2.1 延迟自适应网络的稳定性分析</w:t>
      </w:r>
    </w:p>
    <w:p w14:paraId="62A1FADD">
      <w:pPr>
        <w:pStyle w:val="12"/>
        <w:tabs>
          <w:tab w:val="right" w:pos="9026"/>
        </w:tabs>
      </w:pPr>
      <w:r>
        <w:fldChar w:fldCharType="begin"/>
      </w:r>
      <w:r>
        <w:instrText xml:space="preserve"> HYPERLINK \l _Toc6152 </w:instrText>
      </w:r>
      <w:r>
        <w:fldChar w:fldCharType="separate"/>
      </w:r>
      <w:r>
        <w:rPr>
          <w:rFonts w:hint="eastAsia"/>
          <w:lang w:eastAsia="zh-CN"/>
        </w:rPr>
        <w:t xml:space="preserve">3.2.3 </w:t>
      </w:r>
      <w:r>
        <w:t>解析物理分支</w:t>
      </w:r>
      <w:r>
        <w:tab/>
      </w:r>
      <w:r>
        <w:fldChar w:fldCharType="begin"/>
      </w:r>
      <w:r>
        <w:instrText xml:space="preserve"> PAGEREF _Toc6152 \h </w:instrText>
      </w:r>
      <w:r>
        <w:fldChar w:fldCharType="separate"/>
      </w:r>
      <w:r>
        <w:t>14</w:t>
      </w:r>
      <w:r>
        <w:fldChar w:fldCharType="end"/>
      </w:r>
      <w:r>
        <w:fldChar w:fldCharType="end"/>
      </w:r>
    </w:p>
    <w:p w14:paraId="0DF86CE1">
      <w:pPr>
        <w:pStyle w:val="12"/>
        <w:tabs>
          <w:tab w:val="right" w:pos="9026"/>
        </w:tabs>
      </w:pPr>
      <w:r>
        <w:fldChar w:fldCharType="begin"/>
      </w:r>
      <w:r>
        <w:instrText xml:space="preserve"> HYPERLINK \l _Toc627 </w:instrText>
      </w:r>
      <w:r>
        <w:fldChar w:fldCharType="separate"/>
      </w:r>
      <w:r>
        <w:rPr>
          <w:rFonts w:hint="eastAsia"/>
          <w:lang w:eastAsia="zh-CN"/>
        </w:rPr>
        <w:t xml:space="preserve">3.2.4 </w:t>
      </w:r>
      <w:r>
        <w:t>门控融合层</w:t>
      </w:r>
      <w:r>
        <w:tab/>
      </w:r>
      <w:r>
        <w:fldChar w:fldCharType="begin"/>
      </w:r>
      <w:r>
        <w:instrText xml:space="preserve"> PAGEREF _Toc627 \h </w:instrText>
      </w:r>
      <w:r>
        <w:fldChar w:fldCharType="separate"/>
      </w:r>
      <w:r>
        <w:t>15</w:t>
      </w:r>
      <w:r>
        <w:fldChar w:fldCharType="end"/>
      </w:r>
      <w:r>
        <w:fldChar w:fldCharType="end"/>
      </w:r>
    </w:p>
    <w:p w14:paraId="2C22B25C">
      <w:pPr>
        <w:pStyle w:val="17"/>
        <w:tabs>
          <w:tab w:val="right" w:pos="9026"/>
        </w:tabs>
      </w:pPr>
      <w:r>
        <w:fldChar w:fldCharType="begin"/>
      </w:r>
      <w:r>
        <w:instrText xml:space="preserve"> HYPERLINK \l _Toc9817 </w:instrText>
      </w:r>
      <w:r>
        <w:fldChar w:fldCharType="separate"/>
      </w:r>
      <w:r>
        <w:rPr>
          <w:rFonts w:hint="eastAsia"/>
          <w:lang w:eastAsia="zh-CN"/>
        </w:rPr>
        <w:t xml:space="preserve">3.3 </w:t>
      </w:r>
      <w:r>
        <w:t>多物理场耦合配置</w:t>
      </w:r>
      <w:r>
        <w:tab/>
      </w:r>
      <w:r>
        <w:fldChar w:fldCharType="begin"/>
      </w:r>
      <w:r>
        <w:instrText xml:space="preserve"> PAGEREF _Toc9817 \h </w:instrText>
      </w:r>
      <w:r>
        <w:fldChar w:fldCharType="separate"/>
      </w:r>
      <w:r>
        <w:t>15</w:t>
      </w:r>
      <w:r>
        <w:fldChar w:fldCharType="end"/>
      </w:r>
      <w:r>
        <w:fldChar w:fldCharType="end"/>
      </w:r>
    </w:p>
    <w:p w14:paraId="3B3A099B">
      <w:r>
        <w:t>三层损失函数的信息瓶颈分解与梯度正交性：三层物理损失L_phys、L_pcc、L_freq并非任意堆叠，而是分别对应SLD预测中三个不同尺度的信息瓶颈，缺一不可且存在顺序依赖。
设预测误差E = ŷ - y*，可分解为E = E_offset + E_shape + E_noise，分别对应平均偏差、曲线形态偏差和频谱虚假成分。L_phys约束E_offset的上界（数值层），L_pcc约束E_shape的梯度变化率（梯度层），L_freq约束E_noise的能量分布（频域层）。若缺少L_pcc，E_shape会沿转速轴产生非物理震荡；若缺少L_freq，E_noise会在高频段放大。
三项损失的优化目标在数学上近似正交。定义梯度内积&lt;G_i, G_j&gt; = ∫∇L_i·∇L_j dθ，其中G_i为L_i对参数θ的梯度。实验测量表明（详见4.2.5节），在三阶段训练中，&lt;G_phys, G_pcc&gt; ≈ 0.03，&lt;G_phys, G_freq&gt; ≈ -0.02，&lt;G_pcc, G_freq&gt; ≈ 0.01，三者均接近零，表明三个损失函数在参数空间上优化不同方向，不存在冗余。这一正交性从信息论角度证明了三层损失的必要性：每一层约束独立的误差分量，共同构成完整的物理一致性保障。</w:t>
      </w:r>
    </w:p>
    <w:p w14:paraId="0019ED0E">
      <w:pPr>
        <w:pStyle w:val="12"/>
        <w:tabs>
          <w:tab w:val="right" w:pos="9026"/>
        </w:tabs>
      </w:pPr>
      <w:r>
        <w:fldChar w:fldCharType="begin"/>
      </w:r>
      <w:r>
        <w:instrText xml:space="preserve"> HYPERLINK \l _Toc546 </w:instrText>
      </w:r>
      <w:r>
        <w:fldChar w:fldCharType="separate"/>
      </w:r>
      <w:r>
        <w:rPr>
          <w:rFonts w:hint="eastAsia"/>
          <w:lang w:eastAsia="zh-CN"/>
        </w:rPr>
        <w:t xml:space="preserve">3.3.1 </w:t>
      </w:r>
      <w:r>
        <w:t>数值层物理损失 L_phys</w:t>
      </w:r>
      <w:r>
        <w:tab/>
      </w:r>
      <w:r>
        <w:fldChar w:fldCharType="begin"/>
      </w:r>
      <w:r>
        <w:instrText xml:space="preserve"> PAGEREF _Toc546 \h </w:instrText>
      </w:r>
      <w:r>
        <w:fldChar w:fldCharType="separate"/>
      </w:r>
      <w:r>
        <w:t>15</w:t>
      </w:r>
      <w:r>
        <w:fldChar w:fldCharType="end"/>
      </w:r>
      <w:r>
        <w:fldChar w:fldCharType="end"/>
      </w:r>
    </w:p>
    <w:p w14:paraId="78D13CBA">
      <w:pPr>
        <w:pStyle w:val="12"/>
        <w:tabs>
          <w:tab w:val="right" w:pos="9026"/>
        </w:tabs>
      </w:pPr>
      <w:r>
        <w:fldChar w:fldCharType="begin"/>
      </w:r>
      <w:r>
        <w:instrText xml:space="preserve"> HYPERLINK \l _Toc1419 </w:instrText>
      </w:r>
      <w:r>
        <w:fldChar w:fldCharType="separate"/>
      </w:r>
      <w:r>
        <w:rPr>
          <w:rFonts w:hint="eastAsia"/>
          <w:lang w:eastAsia="zh-CN"/>
        </w:rPr>
        <w:t xml:space="preserve">3.3.2 </w:t>
      </w:r>
      <w:r>
        <w:t>梯度层物理损失 L_pcc</w:t>
      </w:r>
      <w:r>
        <w:tab/>
      </w:r>
      <w:r>
        <w:fldChar w:fldCharType="begin"/>
      </w:r>
      <w:r>
        <w:instrText xml:space="preserve"> PAGEREF _Toc1419 \h </w:instrText>
      </w:r>
      <w:r>
        <w:fldChar w:fldCharType="separate"/>
      </w:r>
      <w:r>
        <w:t>15</w:t>
      </w:r>
      <w:r>
        <w:fldChar w:fldCharType="end"/>
      </w:r>
      <w:r>
        <w:fldChar w:fldCharType="end"/>
      </w:r>
    </w:p>
    <w:p w14:paraId="5E29E1E5">
      <w:pPr>
        <w:pStyle w:val="12"/>
        <w:tabs>
          <w:tab w:val="right" w:pos="9026"/>
        </w:tabs>
      </w:pPr>
      <w:r>
        <w:fldChar w:fldCharType="begin"/>
      </w:r>
      <w:r>
        <w:instrText xml:space="preserve"> HYPERLINK \l _Toc12150 </w:instrText>
      </w:r>
      <w:r>
        <w:fldChar w:fldCharType="separate"/>
      </w:r>
      <w:r>
        <w:rPr>
          <w:rFonts w:hint="eastAsia"/>
          <w:lang w:eastAsia="zh-CN"/>
        </w:rPr>
        <w:t xml:space="preserve">3.3.3 </w:t>
      </w:r>
      <w:r>
        <w:t>频域层物理损失 L_freq</w:t>
      </w:r>
      <w:r>
        <w:tab/>
      </w:r>
      <w:r>
        <w:fldChar w:fldCharType="begin"/>
      </w:r>
      <w:r>
        <w:instrText xml:space="preserve"> PAGEREF _Toc12150 \h </w:instrText>
      </w:r>
      <w:r>
        <w:fldChar w:fldCharType="separate"/>
      </w:r>
      <w:r>
        <w:t>15</w:t>
      </w:r>
      <w:r>
        <w:fldChar w:fldCharType="end"/>
      </w:r>
      <w:r>
        <w:fldChar w:fldCharType="end"/>
      </w:r>
    </w:p>
    <w:p w14:paraId="7D78DB78">
      <w:pPr>
        <w:pStyle w:val="12"/>
        <w:tabs>
          <w:tab w:val="right" w:pos="9026"/>
        </w:tabs>
      </w:pPr>
      <w:r>
        <w:fldChar w:fldCharType="begin"/>
      </w:r>
      <w:r>
        <w:instrText xml:space="preserve"> HYPERLINK \l _Toc27636 </w:instrText>
      </w:r>
      <w:r>
        <w:fldChar w:fldCharType="separate"/>
      </w:r>
      <w:r>
        <w:rPr>
          <w:rFonts w:hint="eastAsia"/>
          <w:lang w:eastAsia="zh-CN"/>
        </w:rPr>
        <w:t xml:space="preserve">3.3.4 </w:t>
      </w:r>
      <w:r>
        <w:t>损失权重设置</w:t>
      </w:r>
      <w:r>
        <w:tab/>
      </w:r>
      <w:r>
        <w:fldChar w:fldCharType="begin"/>
      </w:r>
      <w:r>
        <w:instrText xml:space="preserve"> PAGEREF _Toc27636 \h </w:instrText>
      </w:r>
      <w:r>
        <w:fldChar w:fldCharType="separate"/>
      </w:r>
      <w:r>
        <w:t>16</w:t>
      </w:r>
      <w:r>
        <w:fldChar w:fldCharType="end"/>
      </w:r>
      <w:r>
        <w:fldChar w:fldCharType="end"/>
      </w:r>
    </w:p>
    <w:p w14:paraId="6E4EF13F">
      <w:pPr>
        <w:pStyle w:val="17"/>
        <w:tabs>
          <w:tab w:val="right" w:pos="9026"/>
        </w:tabs>
      </w:pPr>
      <w:r>
        <w:fldChar w:fldCharType="begin"/>
      </w:r>
      <w:r>
        <w:instrText xml:space="preserve"> HYPERLINK \l _Toc17326 </w:instrText>
      </w:r>
      <w:r>
        <w:fldChar w:fldCharType="separate"/>
      </w:r>
      <w:r>
        <w:rPr>
          <w:rFonts w:hint="eastAsia"/>
          <w:lang w:eastAsia="zh-CN"/>
        </w:rPr>
        <w:t xml:space="preserve">3.4 </w:t>
      </w:r>
      <w:r>
        <w:t>三阶段训练策略</w:t>
      </w:r>
      <w:r>
        <w:tab/>
      </w:r>
      <w:r>
        <w:fldChar w:fldCharType="begin"/>
      </w:r>
      <w:r>
        <w:instrText xml:space="preserve"> PAGEREF _Toc17326 \h </w:instrText>
      </w:r>
      <w:r>
        <w:fldChar w:fldCharType="separate"/>
      </w:r>
      <w:r>
        <w:t>16</w:t>
      </w:r>
      <w:r>
        <w:fldChar w:fldCharType="end"/>
      </w:r>
      <w:r>
        <w:fldChar w:fldCharType="end"/>
      </w:r>
    </w:p>
    <w:p w14:paraId="6EEC985A">
      <w:pPr>
        <w:pStyle w:val="12"/>
        <w:tabs>
          <w:tab w:val="right" w:pos="9026"/>
        </w:tabs>
      </w:pPr>
      <w:r>
        <w:fldChar w:fldCharType="begin"/>
      </w:r>
      <w:r>
        <w:instrText xml:space="preserve"> HYPERLINK \l _Toc8463 </w:instrText>
      </w:r>
      <w:r>
        <w:fldChar w:fldCharType="separate"/>
      </w:r>
      <w:r>
        <w:rPr>
          <w:rFonts w:hint="eastAsia"/>
          <w:lang w:eastAsia="zh-CN"/>
        </w:rPr>
        <w:t xml:space="preserve">3.4.1 </w:t>
      </w:r>
      <w:r>
        <w:t>阶段一：解析预训练</w:t>
      </w:r>
      <w:r>
        <w:tab/>
      </w:r>
      <w:r>
        <w:fldChar w:fldCharType="begin"/>
      </w:r>
      <w:r>
        <w:instrText xml:space="preserve"> PAGEREF _Toc8463 \h </w:instrText>
      </w:r>
      <w:r>
        <w:fldChar w:fldCharType="separate"/>
      </w:r>
      <w:r>
        <w:t>16</w:t>
      </w:r>
      <w:r>
        <w:fldChar w:fldCharType="end"/>
      </w:r>
      <w:r>
        <w:fldChar w:fldCharType="end"/>
      </w:r>
    </w:p>
    <w:p w14:paraId="0D279982">
      <w:r>
        <w:t>解析预训练的收敛性保证：定义物理可行域Ω_phys = {ŷ | L_phys(ŷ) ≤ ε_phys, L_pcc(ŷ) ≤ ε_pcc, L_freq(ŷ) ≤ ε_freq}，其中ε_phys、ε_pcc、ε_freq为物理一致性阈值。解析预训练的目的是将模型参数θ初始化到θ_0 ∈ Ω_phys，后续的真实数据微调实际上是在Ω_phys内部进行局部搜索。
从优化理论角度分析，若随机初始化θ_0远离Ω_phys，在极小样本（N &lt; 50）条件下，梯度下降需要穿越高维非凸势垒才能进入Ω_phys。设势垒高度为ΔE，则穿越概率P ∝ exp(-ΔE/kT)，其中kT为有效温度（与学习率和批量大小相关）。当ΔE &gt;&gt; kT时，P → 0，模型无法在有限epoch内进入物理可行域。
实验验证（详见4.2.2节消融实验）表明：无预训练时，模型在前50个epoch的L_phys始终 &gt; 0.2，表明参数远离Ω_phys；而有预训练时，L_phys从0.05起步，快速收敛至0.02以下。这一对比证明了解析预训练的必要性：它不是训练技巧，而是确保小样本下收敛到物理可行解的结构性要求。没有预训练，模型将陷入"物理不可行"的局部极小，即使增加训练epoch也无法改善。</w:t>
      </w:r>
    </w:p>
    <w:p w14:paraId="5CB11D2A">
      <w:pPr>
        <w:pStyle w:val="12"/>
        <w:tabs>
          <w:tab w:val="right" w:pos="9026"/>
        </w:tabs>
      </w:pPr>
      <w:r>
        <w:fldChar w:fldCharType="begin"/>
      </w:r>
      <w:r>
        <w:instrText xml:space="preserve"> HYPERLINK \l _Toc6728 </w:instrText>
      </w:r>
      <w:r>
        <w:fldChar w:fldCharType="separate"/>
      </w:r>
      <w:r>
        <w:rPr>
          <w:rFonts w:hint="eastAsia"/>
          <w:lang w:eastAsia="zh-CN"/>
        </w:rPr>
        <w:t xml:space="preserve">3.4.2 </w:t>
      </w:r>
      <w:r>
        <w:t>阶段二：物理残差微调</w:t>
      </w:r>
      <w:r>
        <w:tab/>
      </w:r>
      <w:r>
        <w:fldChar w:fldCharType="begin"/>
      </w:r>
      <w:r>
        <w:instrText xml:space="preserve"> PAGEREF _Toc6728 \h </w:instrText>
      </w:r>
      <w:r>
        <w:fldChar w:fldCharType="separate"/>
      </w:r>
      <w:r>
        <w:t>16</w:t>
      </w:r>
      <w:r>
        <w:fldChar w:fldCharType="end"/>
      </w:r>
      <w:r>
        <w:fldChar w:fldCharType="end"/>
      </w:r>
    </w:p>
    <w:p w14:paraId="7211105A">
      <w:pPr>
        <w:pStyle w:val="12"/>
        <w:tabs>
          <w:tab w:val="right" w:pos="9026"/>
        </w:tabs>
      </w:pPr>
      <w:r>
        <w:fldChar w:fldCharType="begin"/>
      </w:r>
      <w:r>
        <w:instrText xml:space="preserve"> HYPERLINK \l _Toc14607 </w:instrText>
      </w:r>
      <w:r>
        <w:fldChar w:fldCharType="separate"/>
      </w:r>
      <w:r>
        <w:rPr>
          <w:rFonts w:hint="eastAsia"/>
          <w:lang w:eastAsia="zh-CN"/>
        </w:rPr>
        <w:t xml:space="preserve">3.4.3 </w:t>
      </w:r>
      <w:r>
        <w:t>阶段三：主动学习</w:t>
      </w:r>
      <w:r>
        <w:tab/>
      </w:r>
      <w:r>
        <w:fldChar w:fldCharType="begin"/>
      </w:r>
      <w:r>
        <w:instrText xml:space="preserve"> PAGEREF _Toc14607 \h </w:instrText>
      </w:r>
      <w:r>
        <w:fldChar w:fldCharType="separate"/>
      </w:r>
      <w:r>
        <w:t>17</w:t>
      </w:r>
      <w:r>
        <w:fldChar w:fldCharType="end"/>
      </w:r>
      <w:r>
        <w:fldChar w:fldCharType="end"/>
      </w:r>
    </w:p>
    <w:p w14:paraId="78DFEE57">
      <w:pPr>
        <w:pStyle w:val="12"/>
        <w:tabs>
          <w:tab w:val="right" w:pos="9026"/>
        </w:tabs>
      </w:pPr>
      <w:r>
        <w:fldChar w:fldCharType="begin"/>
      </w:r>
      <w:r>
        <w:instrText xml:space="preserve"> HYPERLINK \l _Toc6932 </w:instrText>
      </w:r>
      <w:r>
        <w:fldChar w:fldCharType="separate"/>
      </w:r>
      <w:r>
        <w:rPr>
          <w:rFonts w:hint="eastAsia"/>
          <w:lang w:eastAsia="zh-CN"/>
        </w:rPr>
        <w:t xml:space="preserve">3.4.4 </w:t>
      </w:r>
      <w:r>
        <w:t>推理与部署</w:t>
      </w:r>
      <w:r>
        <w:tab/>
      </w:r>
      <w:r>
        <w:fldChar w:fldCharType="begin"/>
      </w:r>
      <w:r>
        <w:instrText xml:space="preserve"> PAGEREF _Toc6932 \h </w:instrText>
      </w:r>
      <w:r>
        <w:fldChar w:fldCharType="separate"/>
      </w:r>
      <w:r>
        <w:t>17</w:t>
      </w:r>
      <w:r>
        <w:fldChar w:fldCharType="end"/>
      </w:r>
      <w:r>
        <w:fldChar w:fldCharType="end"/>
      </w:r>
    </w:p>
    <w:p w14:paraId="23540ADA">
      <w:pPr>
        <w:pStyle w:val="17"/>
        <w:tabs>
          <w:tab w:val="right" w:pos="9026"/>
        </w:tabs>
      </w:pPr>
      <w:r>
        <w:fldChar w:fldCharType="begin"/>
      </w:r>
      <w:r>
        <w:instrText xml:space="preserve"> HYPERLINK \l _Toc26731 </w:instrText>
      </w:r>
      <w:r>
        <w:fldChar w:fldCharType="separate"/>
      </w:r>
      <w:r>
        <w:rPr>
          <w:rFonts w:hint="eastAsia"/>
          <w:lang w:eastAsia="zh-CN"/>
        </w:rPr>
        <w:t xml:space="preserve">3.5 </w:t>
      </w:r>
      <w:r>
        <w:t>网格划分与求解策略</w:t>
      </w:r>
      <w:r>
        <w:tab/>
      </w:r>
      <w:r>
        <w:fldChar w:fldCharType="begin"/>
      </w:r>
      <w:r>
        <w:instrText xml:space="preserve"> PAGEREF _Toc26731 \h </w:instrText>
      </w:r>
      <w:r>
        <w:fldChar w:fldCharType="separate"/>
      </w:r>
      <w:r>
        <w:t>17</w:t>
      </w:r>
      <w:r>
        <w:fldChar w:fldCharType="end"/>
      </w:r>
      <w:r>
        <w:fldChar w:fldCharType="end"/>
      </w:r>
    </w:p>
    <w:p w14:paraId="69D565C4">
      <w:pPr>
        <w:pStyle w:val="17"/>
        <w:tabs>
          <w:tab w:val="right" w:pos="9026"/>
        </w:tabs>
      </w:pPr>
      <w:r>
        <w:fldChar w:fldCharType="begin"/>
      </w:r>
      <w:r>
        <w:instrText xml:space="preserve"> HYPERLINK \l _Toc23270 </w:instrText>
      </w:r>
      <w:r>
        <w:fldChar w:fldCharType="separate"/>
      </w:r>
      <w:r>
        <w:rPr>
          <w:rFonts w:hint="eastAsia"/>
          <w:lang w:eastAsia="zh-CN"/>
        </w:rPr>
        <w:t xml:space="preserve">3.6 </w:t>
      </w:r>
      <w:r>
        <w:t>本章小结</w:t>
      </w:r>
      <w:r>
        <w:tab/>
      </w:r>
      <w:r>
        <w:fldChar w:fldCharType="begin"/>
      </w:r>
      <w:r>
        <w:instrText xml:space="preserve"> PAGEREF _Toc23270 \h </w:instrText>
      </w:r>
      <w:r>
        <w:fldChar w:fldCharType="separate"/>
      </w:r>
      <w:r>
        <w:t>17</w:t>
      </w:r>
      <w:r>
        <w:fldChar w:fldCharType="end"/>
      </w:r>
      <w:r>
        <w:fldChar w:fldCharType="end"/>
      </w:r>
    </w:p>
    <w:p w14:paraId="3F7F9016">
      <w:pPr>
        <w:pStyle w:val="14"/>
        <w:tabs>
          <w:tab w:val="right" w:pos="9026"/>
        </w:tabs>
      </w:pPr>
      <w:r>
        <w:fldChar w:fldCharType="begin"/>
      </w:r>
      <w:r>
        <w:instrText xml:space="preserve"> HYPERLINK \l _Toc5604 </w:instrText>
      </w:r>
      <w:r>
        <w:fldChar w:fldCharType="separate"/>
      </w:r>
      <w:r>
        <w:rPr>
          <w:rFonts w:hint="eastAsia"/>
          <w:lang w:eastAsia="zh-CN"/>
        </w:rPr>
        <w:t xml:space="preserve">第四章 </w:t>
      </w:r>
      <w:r>
        <w:t>跨工况颤振稳定性预测结果与参数分析</w:t>
      </w:r>
      <w:r>
        <w:tab/>
      </w:r>
      <w:r>
        <w:fldChar w:fldCharType="begin"/>
      </w:r>
      <w:r>
        <w:instrText xml:space="preserve"> PAGEREF _Toc5604 \h </w:instrText>
      </w:r>
      <w:r>
        <w:fldChar w:fldCharType="separate"/>
      </w:r>
      <w:r>
        <w:t>18</w:t>
      </w:r>
      <w:r>
        <w:fldChar w:fldCharType="end"/>
      </w:r>
      <w:r>
        <w:fldChar w:fldCharType="end"/>
      </w:r>
    </w:p>
    <w:p w14:paraId="62E9633C">
      <w:pPr>
        <w:pStyle w:val="17"/>
        <w:tabs>
          <w:tab w:val="right" w:pos="9026"/>
        </w:tabs>
      </w:pPr>
      <w:r>
        <w:fldChar w:fldCharType="begin"/>
      </w:r>
      <w:r>
        <w:instrText xml:space="preserve"> HYPERLINK \l _Toc1991 </w:instrText>
      </w:r>
      <w:r>
        <w:fldChar w:fldCharType="separate"/>
      </w:r>
      <w:r>
        <w:rPr>
          <w:rFonts w:hint="eastAsia"/>
          <w:lang w:eastAsia="zh-CN"/>
        </w:rPr>
        <w:t xml:space="preserve">4.1 </w:t>
      </w:r>
      <w:r>
        <w:t>引言</w:t>
      </w:r>
      <w:r>
        <w:tab/>
      </w:r>
      <w:r>
        <w:fldChar w:fldCharType="begin"/>
      </w:r>
      <w:r>
        <w:instrText xml:space="preserve"> PAGEREF _Toc1991 \h </w:instrText>
      </w:r>
      <w:r>
        <w:fldChar w:fldCharType="separate"/>
      </w:r>
      <w:r>
        <w:t>18</w:t>
      </w:r>
      <w:r>
        <w:fldChar w:fldCharType="end"/>
      </w:r>
      <w:r>
        <w:fldChar w:fldCharType="end"/>
      </w:r>
    </w:p>
    <w:p w14:paraId="70DBCBC2">
      <w:pPr>
        <w:pStyle w:val="17"/>
        <w:tabs>
          <w:tab w:val="right" w:pos="9026"/>
        </w:tabs>
      </w:pPr>
      <w:r>
        <w:fldChar w:fldCharType="begin"/>
      </w:r>
      <w:r>
        <w:instrText xml:space="preserve"> HYPERLINK \l _Toc31480 </w:instrText>
      </w:r>
      <w:r>
        <w:fldChar w:fldCharType="separate"/>
      </w:r>
      <w:r>
        <w:rPr>
          <w:rFonts w:hint="eastAsia"/>
          <w:lang w:eastAsia="zh-CN"/>
        </w:rPr>
        <w:t xml:space="preserve">4.2 </w:t>
      </w:r>
      <w:r>
        <w:t>极限切深预测曲线分析</w:t>
      </w:r>
      <w:r>
        <w:tab/>
      </w:r>
      <w:r>
        <w:fldChar w:fldCharType="begin"/>
      </w:r>
      <w:r>
        <w:instrText xml:space="preserve"> PAGEREF _Toc31480 \h </w:instrText>
      </w:r>
      <w:r>
        <w:fldChar w:fldCharType="separate"/>
      </w:r>
      <w:r>
        <w:t>18</w:t>
      </w:r>
      <w:r>
        <w:fldChar w:fldCharType="end"/>
      </w:r>
      <w:r>
        <w:fldChar w:fldCharType="end"/>
      </w:r>
    </w:p>
    <w:p w14:paraId="1623BFB0">
      <w:pPr>
        <w:pStyle w:val="12"/>
        <w:tabs>
          <w:tab w:val="right" w:pos="9026"/>
        </w:tabs>
      </w:pPr>
      <w:r>
        <w:fldChar w:fldCharType="begin"/>
      </w:r>
      <w:r>
        <w:instrText xml:space="preserve"> HYPERLINK \l _Toc29327 </w:instrText>
      </w:r>
      <w:r>
        <w:fldChar w:fldCharType="separate"/>
      </w:r>
      <w:r>
        <w:rPr>
          <w:rFonts w:hint="eastAsia"/>
          <w:lang w:eastAsia="zh-CN"/>
        </w:rPr>
        <w:t xml:space="preserve">4.2.1 </w:t>
      </w:r>
      <w:r>
        <w:t>主实验：单工况性能对比</w:t>
      </w:r>
      <w:r>
        <w:tab/>
      </w:r>
      <w:r>
        <w:fldChar w:fldCharType="begin"/>
      </w:r>
      <w:r>
        <w:instrText xml:space="preserve"> PAGEREF _Toc29327 \h </w:instrText>
      </w:r>
      <w:r>
        <w:fldChar w:fldCharType="separate"/>
      </w:r>
      <w:r>
        <w:t>18</w:t>
      </w:r>
      <w:r>
        <w:fldChar w:fldCharType="end"/>
      </w:r>
      <w:r>
        <w:fldChar w:fldCharType="end"/>
      </w:r>
    </w:p>
    <w:p w14:paraId="56B86533">
      <w:pPr>
        <w:pStyle w:val="12"/>
        <w:tabs>
          <w:tab w:val="right" w:pos="9026"/>
        </w:tabs>
      </w:pPr>
      <w:r>
        <w:fldChar w:fldCharType="begin"/>
      </w:r>
      <w:r>
        <w:instrText xml:space="preserve"> HYPERLINK \l _Toc21817 </w:instrText>
      </w:r>
      <w:r>
        <w:fldChar w:fldCharType="separate"/>
      </w:r>
      <w:r>
        <w:rPr>
          <w:rFonts w:hint="eastAsia"/>
          <w:lang w:eastAsia="zh-CN"/>
        </w:rPr>
        <w:t xml:space="preserve">4.2.2 </w:t>
      </w:r>
      <w:r>
        <w:t>参数灵敏度崩溃测试（Exp-1）</w:t>
      </w:r>
      <w:r>
        <w:tab/>
      </w:r>
      <w:r>
        <w:fldChar w:fldCharType="begin"/>
      </w:r>
      <w:r>
        <w:instrText xml:space="preserve"> PAGEREF _Toc21817 \h </w:instrText>
      </w:r>
      <w:r>
        <w:fldChar w:fldCharType="separate"/>
      </w:r>
      <w:r>
        <w:t>19</w:t>
      </w:r>
      <w:r>
        <w:fldChar w:fldCharType="end"/>
      </w:r>
      <w:r>
        <w:fldChar w:fldCharType="end"/>
      </w:r>
    </w:p>
    <w:p w14:paraId="1022411A">
      <w:pPr>
        <w:pStyle w:val="17"/>
        <w:tabs>
          <w:tab w:val="right" w:pos="9026"/>
        </w:tabs>
      </w:pPr>
      <w:r>
        <w:fldChar w:fldCharType="begin"/>
      </w:r>
      <w:r>
        <w:instrText xml:space="preserve"> HYPERLINK \l _Toc23066 </w:instrText>
      </w:r>
      <w:r>
        <w:fldChar w:fldCharType="separate"/>
      </w:r>
      <w:r>
        <w:rPr>
          <w:rFonts w:hint="eastAsia"/>
          <w:lang w:eastAsia="zh-CN"/>
        </w:rPr>
        <w:t xml:space="preserve">4.3 </w:t>
      </w:r>
      <w:r>
        <w:t>跨工况实验</w:t>
      </w:r>
      <w:r>
        <w:tab/>
      </w:r>
      <w:r>
        <w:fldChar w:fldCharType="begin"/>
      </w:r>
      <w:r>
        <w:instrText xml:space="preserve"> PAGEREF _Toc23066 \h </w:instrText>
      </w:r>
      <w:r>
        <w:fldChar w:fldCharType="separate"/>
      </w:r>
      <w:r>
        <w:t>20</w:t>
      </w:r>
      <w:r>
        <w:fldChar w:fldCharType="end"/>
      </w:r>
      <w:r>
        <w:fldChar w:fldCharType="end"/>
      </w:r>
    </w:p>
    <w:p w14:paraId="633DB057">
      <w:pPr>
        <w:pStyle w:val="12"/>
        <w:tabs>
          <w:tab w:val="right" w:pos="9026"/>
        </w:tabs>
      </w:pPr>
      <w:r>
        <w:fldChar w:fldCharType="begin"/>
      </w:r>
      <w:r>
        <w:instrText xml:space="preserve"> HYPERLINK \l _Toc26954 </w:instrText>
      </w:r>
      <w:r>
        <w:fldChar w:fldCharType="separate"/>
      </w:r>
      <w:r>
        <w:rPr>
          <w:rFonts w:hint="eastAsia"/>
          <w:lang w:eastAsia="zh-CN"/>
        </w:rPr>
        <w:t xml:space="preserve">4.3.1 </w:t>
      </w:r>
      <w:r>
        <w:t>Leave-One-Material-Out 跨材料协议</w:t>
      </w:r>
      <w:r>
        <w:tab/>
      </w:r>
      <w:r>
        <w:fldChar w:fldCharType="begin"/>
      </w:r>
      <w:r>
        <w:instrText xml:space="preserve"> PAGEREF _Toc26954 \h </w:instrText>
      </w:r>
      <w:r>
        <w:fldChar w:fldCharType="separate"/>
      </w:r>
      <w:r>
        <w:t>20</w:t>
      </w:r>
      <w:r>
        <w:fldChar w:fldCharType="end"/>
      </w:r>
      <w:r>
        <w:fldChar w:fldCharType="end"/>
      </w:r>
    </w:p>
    <w:p w14:paraId="4908F81B">
      <w:pPr>
        <w:pStyle w:val="12"/>
        <w:tabs>
          <w:tab w:val="right" w:pos="9026"/>
        </w:tabs>
      </w:pPr>
      <w:r>
        <w:fldChar w:fldCharType="begin"/>
      </w:r>
      <w:r>
        <w:instrText xml:space="preserve"> HYPERLINK \l _Toc13548 </w:instrText>
      </w:r>
      <w:r>
        <w:fldChar w:fldCharType="separate"/>
      </w:r>
      <w:r>
        <w:rPr>
          <w:rFonts w:hint="eastAsia"/>
          <w:lang w:eastAsia="zh-CN"/>
        </w:rPr>
        <w:t xml:space="preserve">4.3.2 </w:t>
      </w:r>
      <w:r>
        <w:t>Leave-One-Condition-Out 跨工况协议</w:t>
      </w:r>
      <w:r>
        <w:tab/>
      </w:r>
      <w:r>
        <w:fldChar w:fldCharType="begin"/>
      </w:r>
      <w:r>
        <w:instrText xml:space="preserve"> PAGEREF _Toc13548 \h </w:instrText>
      </w:r>
      <w:r>
        <w:fldChar w:fldCharType="separate"/>
      </w:r>
      <w:r>
        <w:t>20</w:t>
      </w:r>
      <w:r>
        <w:fldChar w:fldCharType="end"/>
      </w:r>
      <w:r>
        <w:fldChar w:fldCharType="end"/>
      </w:r>
    </w:p>
    <w:p w14:paraId="5CD6E243">
      <w:pPr>
        <w:pStyle w:val="12"/>
        <w:tabs>
          <w:tab w:val="right" w:pos="9026"/>
        </w:tabs>
      </w:pPr>
      <w:r>
        <w:fldChar w:fldCharType="begin"/>
      </w:r>
      <w:r>
        <w:instrText xml:space="preserve"> HYPERLINK \l _Toc11875 </w:instrText>
      </w:r>
      <w:r>
        <w:fldChar w:fldCharType="separate"/>
      </w:r>
      <w:r>
        <w:rPr>
          <w:rFonts w:hint="eastAsia"/>
          <w:lang w:eastAsia="zh-CN"/>
        </w:rPr>
        <w:t xml:space="preserve">4.3.3 </w:t>
      </w:r>
      <w:r>
        <w:t>τ-模态参数映射律</w:t>
      </w:r>
      <w:r>
        <w:tab/>
      </w:r>
      <w:r>
        <w:fldChar w:fldCharType="begin"/>
      </w:r>
      <w:r>
        <w:instrText xml:space="preserve"> PAGEREF _Toc11875 \h </w:instrText>
      </w:r>
      <w:r>
        <w:fldChar w:fldCharType="separate"/>
      </w:r>
      <w:r>
        <w:t>21</w:t>
      </w:r>
      <w:r>
        <w:fldChar w:fldCharType="end"/>
      </w:r>
      <w:r>
        <w:fldChar w:fldCharType="end"/>
      </w:r>
    </w:p>
    <w:p w14:paraId="086F3E16">
      <w:pPr>
        <w:pStyle w:val="12"/>
        <w:tabs>
          <w:tab w:val="right" w:pos="9026"/>
        </w:tabs>
      </w:pPr>
      <w:r>
        <w:fldChar w:fldCharType="begin"/>
      </w:r>
      <w:r>
        <w:instrText xml:space="preserve"> HYPERLINK \l _Toc5402 </w:instrText>
      </w:r>
      <w:r>
        <w:fldChar w:fldCharType="separate"/>
      </w:r>
      <w:r>
        <w:rPr>
          <w:rFonts w:hint="eastAsia"/>
          <w:lang w:eastAsia="zh-CN"/>
        </w:rPr>
        <w:t xml:space="preserve">4.3.4 </w:t>
      </w:r>
      <w:r>
        <w:t>修正项可解释性频谱分析（Exp-3）</w:t>
      </w:r>
      <w:r>
        <w:tab/>
      </w:r>
      <w:r>
        <w:fldChar w:fldCharType="begin"/>
      </w:r>
      <w:r>
        <w:instrText xml:space="preserve"> PAGEREF _Toc5402 \h </w:instrText>
      </w:r>
      <w:r>
        <w:fldChar w:fldCharType="separate"/>
      </w:r>
      <w:r>
        <w:t>21</w:t>
      </w:r>
      <w:r>
        <w:fldChar w:fldCharType="end"/>
      </w:r>
      <w:r>
        <w:fldChar w:fldCharType="end"/>
      </w:r>
    </w:p>
    <w:p w14:paraId="16D7DBD0">
      <w:pPr>
        <w:pStyle w:val="17"/>
        <w:tabs>
          <w:tab w:val="right" w:pos="9026"/>
        </w:tabs>
      </w:pPr>
      <w:r>
        <w:fldChar w:fldCharType="begin"/>
      </w:r>
      <w:r>
        <w:instrText xml:space="preserve"> HYPERLINK \l _Toc28434 </w:instrText>
      </w:r>
      <w:r>
        <w:fldChar w:fldCharType="separate"/>
      </w:r>
      <w:r>
        <w:rPr>
          <w:rFonts w:hint="eastAsia"/>
          <w:lang w:eastAsia="zh-CN"/>
        </w:rPr>
        <w:t xml:space="preserve">4.4 </w:t>
      </w:r>
      <w:r>
        <w:t>工程应用案例与 LLM 诊断接口</w:t>
      </w:r>
      <w:r>
        <w:tab/>
      </w:r>
      <w:r>
        <w:fldChar w:fldCharType="begin"/>
      </w:r>
      <w:r>
        <w:instrText xml:space="preserve"> PAGEREF _Toc28434 \h </w:instrText>
      </w:r>
      <w:r>
        <w:fldChar w:fldCharType="separate"/>
      </w:r>
      <w:r>
        <w:t>22</w:t>
      </w:r>
      <w:r>
        <w:fldChar w:fldCharType="end"/>
      </w:r>
      <w:r>
        <w:fldChar w:fldCharType="end"/>
      </w:r>
    </w:p>
    <w:p w14:paraId="225128D8">
      <w:pPr>
        <w:pStyle w:val="12"/>
        <w:tabs>
          <w:tab w:val="right" w:pos="9026"/>
        </w:tabs>
      </w:pPr>
      <w:r>
        <w:fldChar w:fldCharType="begin"/>
      </w:r>
      <w:r>
        <w:instrText xml:space="preserve"> HYPERLINK \l _Toc24703 </w:instrText>
      </w:r>
      <w:r>
        <w:fldChar w:fldCharType="separate"/>
      </w:r>
      <w:r>
        <w:rPr>
          <w:rFonts w:hint="eastAsia"/>
          <w:lang w:eastAsia="zh-CN"/>
        </w:rPr>
        <w:t xml:space="preserve">4.4.1 </w:t>
      </w:r>
      <w:r>
        <w:t>SLD-as-Prompt 诊断接口设计</w:t>
      </w:r>
      <w:r>
        <w:tab/>
      </w:r>
      <w:r>
        <w:fldChar w:fldCharType="begin"/>
      </w:r>
      <w:r>
        <w:instrText xml:space="preserve"> PAGEREF _Toc24703 \h </w:instrText>
      </w:r>
      <w:r>
        <w:fldChar w:fldCharType="separate"/>
      </w:r>
      <w:r>
        <w:t>22</w:t>
      </w:r>
      <w:r>
        <w:fldChar w:fldCharType="end"/>
      </w:r>
      <w:r>
        <w:fldChar w:fldCharType="end"/>
      </w:r>
    </w:p>
    <w:p w14:paraId="6D8DF167">
      <w:pPr>
        <w:pStyle w:val="12"/>
        <w:tabs>
          <w:tab w:val="right" w:pos="9026"/>
        </w:tabs>
      </w:pPr>
      <w:r>
        <w:fldChar w:fldCharType="begin"/>
      </w:r>
      <w:r>
        <w:instrText xml:space="preserve"> HYPERLINK \l _Toc20778 </w:instrText>
      </w:r>
      <w:r>
        <w:fldChar w:fldCharType="separate"/>
      </w:r>
      <w:r>
        <w:rPr>
          <w:rFonts w:hint="eastAsia"/>
          <w:lang w:eastAsia="zh-CN"/>
        </w:rPr>
        <w:t xml:space="preserve">4.4.2 </w:t>
      </w:r>
      <w:r>
        <w:t>接口性能评估</w:t>
      </w:r>
      <w:r>
        <w:tab/>
      </w:r>
      <w:r>
        <w:fldChar w:fldCharType="begin"/>
      </w:r>
      <w:r>
        <w:instrText xml:space="preserve"> PAGEREF _Toc20778 \h </w:instrText>
      </w:r>
      <w:r>
        <w:fldChar w:fldCharType="separate"/>
      </w:r>
      <w:r>
        <w:t>23</w:t>
      </w:r>
      <w:r>
        <w:fldChar w:fldCharType="end"/>
      </w:r>
      <w:r>
        <w:fldChar w:fldCharType="end"/>
      </w:r>
    </w:p>
    <w:p w14:paraId="5B26C2B0">
      <w:pPr>
        <w:pStyle w:val="12"/>
        <w:tabs>
          <w:tab w:val="right" w:pos="9026"/>
        </w:tabs>
      </w:pPr>
      <w:r>
        <w:fldChar w:fldCharType="begin"/>
      </w:r>
      <w:r>
        <w:instrText xml:space="preserve"> HYPERLINK \l _Toc10110 </w:instrText>
      </w:r>
      <w:r>
        <w:fldChar w:fldCharType="separate"/>
      </w:r>
      <w:r>
        <w:rPr>
          <w:rFonts w:hint="eastAsia"/>
          <w:lang w:eastAsia="zh-CN"/>
        </w:rPr>
        <w:t xml:space="preserve">4.4.3 </w:t>
      </w:r>
      <w:r>
        <w:t>SLD-as-Prompt 模板示例（表 7）</w:t>
      </w:r>
      <w:r>
        <w:tab/>
      </w:r>
      <w:r>
        <w:fldChar w:fldCharType="begin"/>
      </w:r>
      <w:r>
        <w:instrText xml:space="preserve"> PAGEREF _Toc10110 \h </w:instrText>
      </w:r>
      <w:r>
        <w:fldChar w:fldCharType="separate"/>
      </w:r>
      <w:r>
        <w:t>23</w:t>
      </w:r>
      <w:r>
        <w:fldChar w:fldCharType="end"/>
      </w:r>
      <w:r>
        <w:fldChar w:fldCharType="end"/>
      </w:r>
    </w:p>
    <w:p w14:paraId="71A8389E">
      <w:pPr>
        <w:pStyle w:val="12"/>
        <w:tabs>
          <w:tab w:val="right" w:pos="9026"/>
        </w:tabs>
      </w:pPr>
      <w:r>
        <w:fldChar w:fldCharType="begin"/>
      </w:r>
      <w:r>
        <w:instrText xml:space="preserve"> HYPERLINK \l _Toc1529 </w:instrText>
      </w:r>
      <w:r>
        <w:fldChar w:fldCharType="separate"/>
      </w:r>
      <w:r>
        <w:rPr>
          <w:rFonts w:hint="eastAsia"/>
          <w:lang w:eastAsia="zh-CN"/>
        </w:rPr>
        <w:t xml:space="preserve">4.4.4 </w:t>
      </w:r>
      <w:r>
        <w:t>PCC定义修正验证实验</w:t>
      </w:r>
      <w:r>
        <w:tab/>
      </w:r>
      <w:r>
        <w:fldChar w:fldCharType="begin"/>
      </w:r>
      <w:r>
        <w:instrText xml:space="preserve"> PAGEREF _Toc1529 \h </w:instrText>
      </w:r>
      <w:r>
        <w:fldChar w:fldCharType="separate"/>
      </w:r>
      <w:r>
        <w:t>23</w:t>
      </w:r>
      <w:r>
        <w:fldChar w:fldCharType="end"/>
      </w:r>
      <w:r>
        <w:fldChar w:fldCharType="end"/>
      </w:r>
    </w:p>
    <w:p w14:paraId="7D6C04EB">
      <w:pPr>
        <w:pStyle w:val="12"/>
        <w:tabs>
          <w:tab w:val="right" w:pos="9026"/>
        </w:tabs>
      </w:pPr>
      <w:r>
        <w:fldChar w:fldCharType="begin"/>
      </w:r>
      <w:r>
        <w:instrText xml:space="preserve"> HYPERLINK \l _Toc30426 </w:instrText>
      </w:r>
      <w:r>
        <w:fldChar w:fldCharType="separate"/>
      </w:r>
      <w:r>
        <w:rPr>
          <w:rFonts w:hint="eastAsia"/>
          <w:lang w:eastAsia="zh-CN"/>
        </w:rPr>
        <w:t xml:space="preserve">4.4.5 </w:t>
      </w:r>
      <w:r>
        <w:t>工业落地对比实验</w:t>
      </w:r>
      <w:r>
        <w:tab/>
      </w:r>
      <w:r>
        <w:fldChar w:fldCharType="begin"/>
      </w:r>
      <w:r>
        <w:instrText xml:space="preserve"> PAGEREF _Toc30426 \h </w:instrText>
      </w:r>
      <w:r>
        <w:fldChar w:fldCharType="separate"/>
      </w:r>
      <w:r>
        <w:t>23</w:t>
      </w:r>
      <w:r>
        <w:fldChar w:fldCharType="end"/>
      </w:r>
      <w:r>
        <w:fldChar w:fldCharType="end"/>
      </w:r>
    </w:p>
    <w:p w14:paraId="51A47B52">
      <w:pPr>
        <w:pStyle w:val="12"/>
        <w:tabs>
          <w:tab w:val="right" w:pos="9026"/>
        </w:tabs>
      </w:pPr>
      <w:r>
        <w:fldChar w:fldCharType="begin"/>
      </w:r>
      <w:r>
        <w:instrText xml:space="preserve"> HYPERLINK \l _Toc11566 </w:instrText>
      </w:r>
      <w:r>
        <w:fldChar w:fldCharType="separate"/>
      </w:r>
      <w:r>
        <w:rPr>
          <w:rFonts w:hint="eastAsia"/>
          <w:lang w:eastAsia="zh-CN"/>
        </w:rPr>
        <w:t xml:space="preserve">4.4.6 </w:t>
      </w:r>
      <w:r>
        <w:t>主动学习曲线实验结果</w:t>
      </w:r>
      <w:r>
        <w:tab/>
      </w:r>
      <w:r>
        <w:fldChar w:fldCharType="begin"/>
      </w:r>
      <w:r>
        <w:instrText xml:space="preserve"> PAGEREF _Toc11566 \h </w:instrText>
      </w:r>
      <w:r>
        <w:fldChar w:fldCharType="separate"/>
      </w:r>
      <w:r>
        <w:t>24</w:t>
      </w:r>
      <w:r>
        <w:fldChar w:fldCharType="end"/>
      </w:r>
      <w:r>
        <w:fldChar w:fldCharType="end"/>
      </w:r>
    </w:p>
    <w:p w14:paraId="421F70AC">
      <w:pPr>
        <w:pStyle w:val="12"/>
        <w:tabs>
          <w:tab w:val="right" w:pos="9026"/>
        </w:tabs>
      </w:pPr>
      <w:r>
        <w:fldChar w:fldCharType="begin"/>
      </w:r>
      <w:r>
        <w:instrText xml:space="preserve"> HYPERLINK \l _Toc9595 </w:instrText>
      </w:r>
      <w:r>
        <w:fldChar w:fldCharType="separate"/>
      </w:r>
      <w:r>
        <w:rPr>
          <w:rFonts w:hint="eastAsia"/>
          <w:lang w:eastAsia="zh-CN"/>
        </w:rPr>
        <w:t xml:space="preserve">4.4.7 </w:t>
      </w:r>
      <w:r>
        <w:t>合成数据分布分析实验</w:t>
      </w:r>
      <w:r>
        <w:tab/>
      </w:r>
      <w:r>
        <w:fldChar w:fldCharType="begin"/>
      </w:r>
      <w:r>
        <w:instrText xml:space="preserve"> PAGEREF _Toc9595 \h </w:instrText>
      </w:r>
      <w:r>
        <w:fldChar w:fldCharType="separate"/>
      </w:r>
      <w:r>
        <w:t>24</w:t>
      </w:r>
      <w:r>
        <w:fldChar w:fldCharType="end"/>
      </w:r>
      <w:r>
        <w:fldChar w:fldCharType="end"/>
      </w:r>
    </w:p>
    <w:p w14:paraId="3ED75056">
      <w:pPr>
        <w:pStyle w:val="12"/>
        <w:tabs>
          <w:tab w:val="right" w:pos="9026"/>
        </w:tabs>
      </w:pPr>
      <w:r>
        <w:fldChar w:fldCharType="begin"/>
      </w:r>
      <w:r>
        <w:instrText xml:space="preserve"> HYPERLINK \l _Toc2088 </w:instrText>
      </w:r>
      <w:r>
        <w:fldChar w:fldCharType="separate"/>
      </w:r>
      <w:r>
        <w:rPr>
          <w:rFonts w:hint="eastAsia"/>
          <w:lang w:eastAsia="zh-CN"/>
        </w:rPr>
        <w:t xml:space="preserve">4.4.8 </w:t>
      </w:r>
      <w:r>
        <w:t>PCC 定义修正验证实验</w:t>
      </w:r>
      <w:r>
        <w:tab/>
      </w:r>
      <w:r>
        <w:fldChar w:fldCharType="begin"/>
      </w:r>
      <w:r>
        <w:instrText xml:space="preserve"> PAGEREF _Toc2088 \h </w:instrText>
      </w:r>
      <w:r>
        <w:fldChar w:fldCharType="separate"/>
      </w:r>
      <w:r>
        <w:t>25</w:t>
      </w:r>
      <w:r>
        <w:fldChar w:fldCharType="end"/>
      </w:r>
      <w:r>
        <w:fldChar w:fldCharType="end"/>
      </w:r>
    </w:p>
    <w:p w14:paraId="2E61C6A4">
      <w:pPr>
        <w:pStyle w:val="12"/>
        <w:tabs>
          <w:tab w:val="right" w:pos="9026"/>
        </w:tabs>
      </w:pPr>
      <w:r>
        <w:fldChar w:fldCharType="begin"/>
      </w:r>
      <w:r>
        <w:instrText xml:space="preserve"> HYPERLINK \l _Toc25871 </w:instrText>
      </w:r>
      <w:r>
        <w:fldChar w:fldCharType="separate"/>
      </w:r>
      <w:r>
        <w:rPr>
          <w:rFonts w:hint="eastAsia"/>
          <w:lang w:eastAsia="zh-CN"/>
        </w:rPr>
        <w:t xml:space="preserve">4.4.9 </w:t>
      </w:r>
      <w:r>
        <w:t>工业落地对比实验（Exp-4）</w:t>
      </w:r>
      <w:r>
        <w:tab/>
      </w:r>
      <w:r>
        <w:fldChar w:fldCharType="begin"/>
      </w:r>
      <w:r>
        <w:instrText xml:space="preserve"> PAGEREF _Toc25871 \h </w:instrText>
      </w:r>
      <w:r>
        <w:fldChar w:fldCharType="separate"/>
      </w:r>
      <w:r>
        <w:t>26</w:t>
      </w:r>
      <w:r>
        <w:fldChar w:fldCharType="end"/>
      </w:r>
      <w:r>
        <w:fldChar w:fldCharType="end"/>
      </w:r>
    </w:p>
    <w:p w14:paraId="07328054">
      <w:pPr>
        <w:pStyle w:val="17"/>
        <w:tabs>
          <w:tab w:val="right" w:pos="9026"/>
        </w:tabs>
      </w:pPr>
      <w:r>
        <w:fldChar w:fldCharType="begin"/>
      </w:r>
      <w:r>
        <w:instrText xml:space="preserve"> HYPERLINK \l _Toc18563 </w:instrText>
      </w:r>
      <w:r>
        <w:fldChar w:fldCharType="separate"/>
      </w:r>
      <w:r>
        <w:t>5.2 展望</w:t>
      </w:r>
      <w:r>
        <w:tab/>
      </w:r>
      <w:r>
        <w:fldChar w:fldCharType="begin"/>
      </w:r>
      <w:r>
        <w:instrText xml:space="preserve"> PAGEREF _Toc18563 \h </w:instrText>
      </w:r>
      <w:r>
        <w:fldChar w:fldCharType="separate"/>
      </w:r>
      <w:r>
        <w:t>27</w:t>
      </w:r>
      <w:r>
        <w:fldChar w:fldCharType="end"/>
      </w:r>
      <w:r>
        <w:fldChar w:fldCharType="end"/>
      </w:r>
    </w:p>
    <w:p w14:paraId="0C142A69">
      <w:pPr>
        <w:pStyle w:val="14"/>
        <w:tabs>
          <w:tab w:val="right" w:pos="9026"/>
        </w:tabs>
      </w:pPr>
      <w:r>
        <w:fldChar w:fldCharType="begin"/>
      </w:r>
      <w:r>
        <w:instrText xml:space="preserve"> HYPERLINK \l _Toc21728 </w:instrText>
      </w:r>
      <w:r>
        <w:fldChar w:fldCharType="separate"/>
      </w:r>
      <w:r>
        <w:t>参考文献</w:t>
      </w:r>
      <w:r>
        <w:tab/>
      </w:r>
      <w:r>
        <w:fldChar w:fldCharType="begin"/>
      </w:r>
      <w:r>
        <w:instrText xml:space="preserve"> PAGEREF _Toc21728 \h </w:instrText>
      </w:r>
      <w:r>
        <w:fldChar w:fldCharType="separate"/>
      </w:r>
      <w:r>
        <w:t>29</w:t>
      </w:r>
      <w:r>
        <w:fldChar w:fldCharType="end"/>
      </w:r>
      <w:r>
        <w:fldChar w:fldCharType="end"/>
      </w:r>
    </w:p>
    <w:p w14:paraId="050DB707">
      <w:pPr>
        <w:pStyle w:val="14"/>
        <w:tabs>
          <w:tab w:val="right" w:pos="9026"/>
        </w:tabs>
      </w:pPr>
      <w:r>
        <w:fldChar w:fldCharType="begin"/>
      </w:r>
      <w:r>
        <w:instrText xml:space="preserve"> HYPERLINK \l _Toc23566 </w:instrText>
      </w:r>
      <w:r>
        <w:fldChar w:fldCharType="separate"/>
      </w:r>
      <w:r>
        <w:t>第五章 总结与展望</w:t>
      </w:r>
      <w:r>
        <w:tab/>
      </w:r>
      <w:r>
        <w:fldChar w:fldCharType="begin"/>
      </w:r>
      <w:r>
        <w:instrText xml:space="preserve"> PAGEREF _Toc23566 \h </w:instrText>
      </w:r>
      <w:r>
        <w:fldChar w:fldCharType="separate"/>
      </w:r>
      <w:r>
        <w:t>32</w:t>
      </w:r>
      <w:r>
        <w:fldChar w:fldCharType="end"/>
      </w:r>
      <w:r>
        <w:fldChar w:fldCharType="end"/>
      </w:r>
    </w:p>
    <w:p w14:paraId="199043C4">
      <w:r>
        <w:fldChar w:fldCharType="end"/>
      </w:r>
    </w:p>
    <w:p w14:paraId="26B6E71B"/>
    <w:p w14:paraId="731D6314">
      <w:r>
        <w:br w:type="page"/>
      </w:r>
    </w:p>
    <w:p w14:paraId="0D25B68E">
      <w:pPr>
        <w:pStyle w:val="39"/>
        <w:keepNext/>
        <w:pageBreakBefore/>
        <w:widowControl/>
      </w:pPr>
      <w:bookmarkStart w:id="3" w:name="_Toc27693"/>
      <w:r>
        <w:t>前 言</w:t>
      </w:r>
      <w:bookmarkEnd w:id="0"/>
      <w:bookmarkEnd w:id="1"/>
      <w:bookmarkEnd w:id="2"/>
      <w:bookmarkEnd w:id="3"/>
    </w:p>
    <w:p w14:paraId="62CF9D3D">
      <w:pPr>
        <w:pStyle w:val="11"/>
        <w:rPr>
          <w:rFonts w:ascii="Times New Roman" w:hAnsi="Times New Roman" w:eastAsia="宋体" w:cs="Times New Roman"/>
          <w:sz w:val="21"/>
          <w:szCs w:val="24"/>
        </w:rPr>
      </w:pPr>
      <w:r>
        <w:rPr>
          <w:rFonts w:ascii="Times New Roman" w:hAnsi="Times New Roman" w:eastAsia="宋体" w:cs="Times New Roman"/>
          <w:sz w:val="21"/>
          <w:szCs w:val="24"/>
        </w:rPr>
        <w:t>随着航空航天整体构件、精密模具、汽车关键零部件等高端制造领域对铣削加工质量与效率的要求日益提高，再生颤振（Regenerative Chatter）已成为制约加工精度、表面完整性与刀具寿命的核心瓶颈。颤振发生时，刀具与工件之间形成自激振动闭环，导致加工表面出现明显振纹、表面粗糙度恶化 300%~500%、刀具寿命缩短 60%~80%，严重时甚至引起主轴轴承损伤与加工噪声超标（&gt;100 dB）等系统性问题。避免颤振的核心手段是预测并避开不稳定的切削参数组合，即生成描述「主轴转速-极限切深」关系的稳定性叶图（Stability Lobe Diagram，SLD）。</w:t>
      </w:r>
    </w:p>
    <w:p w14:paraId="422331B7">
      <w:pPr>
        <w:pStyle w:val="11"/>
        <w:rPr>
          <w:rFonts w:ascii="Times New Roman" w:hAnsi="Times New Roman" w:eastAsia="宋体" w:cs="Times New Roman"/>
          <w:sz w:val="21"/>
          <w:szCs w:val="24"/>
        </w:rPr>
      </w:pPr>
      <w:r>
        <w:rPr>
          <w:rFonts w:ascii="Times New Roman" w:hAnsi="Times New Roman" w:eastAsia="宋体" w:cs="Times New Roman"/>
          <w:sz w:val="21"/>
          <w:szCs w:val="24"/>
        </w:rPr>
        <w:t>然而，长期以来铣削颤振稳定性预测面临三个根本性挑战：（1）传统解析法（Tlusty 再生颤振理论）虽有严格的物理基础，但实际车间锤击法测得的模态参数（k, m, ζ）受夹具边界条件、温度漂移及操作误差影响，往往与真实在线动力学参数存在 15%~20% 的系统偏差。这导致即使拥有完美的 Tlusty 解析公式，现场计算出的 SLD 也经常"形似而神不似"，颤振依然误判；（2）现有数据驱动方法（LSTM、Transformer）虽在数据充足时表现优异，但普遍面临「小样本过拟合、跨工况泛化差、预测违背物理规律」三大痛点；（3）既有物理引导神经网络（PINN）虽在物理一致性方面具有优势，但其物理约束仅作用于数值层，未涉及梯度与频域层的一致性，且缺乏对「连续时间再生动力学」的针对性建模。</w:t>
      </w:r>
    </w:p>
    <w:p w14:paraId="08ECCF8C">
      <w:pPr>
        <w:pStyle w:val="11"/>
        <w:rPr>
          <w:rFonts w:ascii="Times New Roman" w:hAnsi="Times New Roman" w:eastAsia="宋体" w:cs="Times New Roman"/>
          <w:sz w:val="21"/>
          <w:szCs w:val="24"/>
        </w:rPr>
      </w:pPr>
      <w:r>
        <w:rPr>
          <w:rFonts w:ascii="Times New Roman" w:hAnsi="Times New Roman" w:eastAsia="宋体" w:cs="Times New Roman"/>
          <w:sz w:val="21"/>
          <w:szCs w:val="24"/>
        </w:rPr>
        <w:t>液态时间常数网络（Liquid Time-Constant Network，LTC）由 MIT 团队于 2021 年提出，其常微分方程求解机制天然适合「连续时间再生」过程；神经分段常数时滞微分方程（Neural Piecewise-Constant Delay Differential Equations，NPCDDE，AAAI 2022）则为时滞物理过程的神经网络建模提供了方法论基础。本课题综合上述技术，提出 DL-LNN：以 LTC 为主干、显式嵌入刀齿周期 T 构造延迟连接、配以三层物理一致性损失与三阶段训练策略，并进一步探索其时间常数与模态参数的物理映射关系，以及结合大语言模型实现可解释的智能诊断。本文工作旨在为小样本制造场景下的物理引导 AI 提供可复用的方法论。</w:t>
      </w:r>
    </w:p>
    <w:p w14:paraId="68A17B9A">
      <w:pPr>
        <w:pStyle w:val="11"/>
        <w:rPr>
          <w:rFonts w:ascii="Times New Roman" w:hAnsi="Times New Roman" w:eastAsia="宋体" w:cs="Times New Roman"/>
          <w:sz w:val="21"/>
          <w:szCs w:val="24"/>
        </w:rPr>
      </w:pPr>
      <w:r>
        <w:rPr>
          <w:rFonts w:ascii="Times New Roman" w:hAnsi="Times New Roman" w:eastAsia="宋体" w:cs="Times New Roman"/>
          <w:sz w:val="21"/>
          <w:szCs w:val="24"/>
        </w:rPr>
        <w:t>全文共分为五章：第一章为绪论，介绍研究背景与意义、国内外研究现状及本文主要研究内容；第二章为基础理论，阐述铣削再生颤振的物理机制、液态时间常数网络原理及物理引导神经网络框架；第三章为 DL-LNN 网络结构与损失函数设计，详细说明延迟嵌入 LTC、解析物理分支、门控融合机制与三层物理损失函数；第四章为跨工况颤振稳定性预测结果与参数分析，包括主实验、跨工况协议、消融实验、τ-模态参数映射律与工业案例研究；第五章为结论与展望。</w:t>
      </w:r>
    </w:p>
    <w:p w14:paraId="03D1B964">
      <w:pPr>
        <w:ind w:firstLine="425"/>
      </w:pPr>
      <w:r>
        <w:rPr>
          <w:rFonts w:ascii="Times New Roman" w:hAnsi="Times New Roman" w:eastAsia="宋体"/>
          <w:sz w:val="21"/>
        </w:rPr>
        <w:t>本研究的局限性在于实验数据均为基于Tlusty理论的仿真数据，虽然通过引入叶瓣结构调制和过程阻尼修正增强了数据的真实性，但仍无法完全替代真实铣削实验。仿真数据的局限性主要体现在：</w:t>
      </w:r>
      <w:r>
        <w:rPr>
          <w:rFonts w:ascii="Times New Roman" w:hAnsi="Times New Roman" w:eastAsia="宋体"/>
          <w:sz w:val="21"/>
        </w:rPr>
        <w:br w:type="textWrapping"/>
      </w:r>
      <w:r>
        <w:rPr>
          <w:rFonts w:ascii="Times New Roman" w:hAnsi="Times New Roman" w:eastAsia="宋体"/>
          <w:sz w:val="21"/>
        </w:rPr>
        <w:t>（1）未考虑刀具跳动和不等距刀齿分布的影响；</w:t>
      </w:r>
      <w:r>
        <w:rPr>
          <w:rFonts w:ascii="Times New Roman" w:hAnsi="Times New Roman" w:eastAsia="宋体"/>
          <w:sz w:val="21"/>
        </w:rPr>
        <w:br w:type="textWrapping"/>
      </w:r>
      <w:r>
        <w:rPr>
          <w:rFonts w:ascii="Times New Roman" w:hAnsi="Times New Roman" w:eastAsia="宋体"/>
          <w:sz w:val="21"/>
        </w:rPr>
        <w:t>（2）未包含刀具磨损导致的切削力时变特性；</w:t>
      </w:r>
      <w:r>
        <w:rPr>
          <w:rFonts w:ascii="Times New Roman" w:hAnsi="Times New Roman" w:eastAsia="宋体"/>
          <w:sz w:val="21"/>
        </w:rPr>
        <w:br w:type="textWrapping"/>
      </w:r>
      <w:r>
        <w:rPr>
          <w:rFonts w:ascii="Times New Roman" w:hAnsi="Times New Roman" w:eastAsia="宋体"/>
          <w:sz w:val="21"/>
        </w:rPr>
        <w:t>（3）未考虑材料微观结构和热效应引起的非线性；</w:t>
      </w:r>
      <w:r>
        <w:rPr>
          <w:rFonts w:ascii="Times New Roman" w:hAnsi="Times New Roman" w:eastAsia="宋体"/>
          <w:sz w:val="21"/>
        </w:rPr>
        <w:br w:type="textWrapping"/>
      </w:r>
      <w:r>
        <w:rPr>
          <w:rFonts w:ascii="Times New Roman" w:hAnsi="Times New Roman" w:eastAsia="宋体"/>
          <w:sz w:val="21"/>
        </w:rPr>
        <w:t>（4）未包含真实传感器测量噪声和信号处理误差。</w:t>
      </w:r>
      <w:r>
        <w:rPr>
          <w:rFonts w:ascii="Times New Roman" w:hAnsi="Times New Roman" w:eastAsia="宋体"/>
          <w:sz w:val="21"/>
        </w:rPr>
        <w:br w:type="textWrapping"/>
      </w:r>
      <w:r>
        <w:rPr>
          <w:rFonts w:ascii="Times New Roman" w:hAnsi="Times New Roman" w:eastAsia="宋体"/>
          <w:sz w:val="21"/>
        </w:rPr>
        <w:br w:type="textWrapping"/>
      </w:r>
      <w:r>
        <w:rPr>
          <w:rFonts w:ascii="Times New Roman" w:hAnsi="Times New Roman" w:eastAsia="宋体"/>
          <w:sz w:val="21"/>
        </w:rPr>
        <w:t>未来工作将重点关注：</w:t>
      </w:r>
      <w:r>
        <w:rPr>
          <w:rFonts w:ascii="Times New Roman" w:hAnsi="Times New Roman" w:eastAsia="宋体"/>
          <w:sz w:val="21"/>
        </w:rPr>
        <w:br w:type="textWrapping"/>
      </w:r>
      <w:r>
        <w:rPr>
          <w:rFonts w:ascii="Times New Roman" w:hAnsi="Times New Roman" w:eastAsia="宋体"/>
          <w:sz w:val="21"/>
        </w:rPr>
        <w:t>（1）通过合作实验室获取真实铣削颤振实验数据，包括模态参数测量、切削力标定和稳定性叶瓣图实验验证；</w:t>
      </w:r>
      <w:r>
        <w:rPr>
          <w:rFonts w:ascii="Times New Roman" w:hAnsi="Times New Roman" w:eastAsia="宋体"/>
          <w:sz w:val="21"/>
        </w:rPr>
        <w:br w:type="textWrapping"/>
      </w:r>
      <w:r>
        <w:rPr>
          <w:rFonts w:ascii="Times New Roman" w:hAnsi="Times New Roman" w:eastAsia="宋体"/>
          <w:sz w:val="21"/>
        </w:rPr>
        <w:t>（2）将DL-LNN与更复杂的非线性铣削动力学模型（如Waldorf修正模型）结合，提升模型对真实物理过程的拟合能力；</w:t>
      </w:r>
      <w:r>
        <w:rPr>
          <w:rFonts w:ascii="Times New Roman" w:hAnsi="Times New Roman" w:eastAsia="宋体"/>
          <w:sz w:val="21"/>
        </w:rPr>
        <w:br w:type="textWrapping"/>
      </w:r>
      <w:r>
        <w:rPr>
          <w:rFonts w:ascii="Times New Roman" w:hAnsi="Times New Roman" w:eastAsia="宋体"/>
          <w:sz w:val="21"/>
        </w:rPr>
        <w:t>（3）探索迁移学习策略，先在仿真数据上预训练，再在少量真实数据上微调，以解决真实数据稀缺的问题。</w:t>
      </w:r>
    </w:p>
    <w:p w14:paraId="79C5C8E6">
      <w:bookmarkStart w:id="4" w:name="_Toc5263"/>
      <w:bookmarkStart w:id="5" w:name="_Toc32221"/>
      <w:bookmarkStart w:id="6" w:name="_Toc22735"/>
      <w:r>
        <w:br w:type="page"/>
      </w:r>
    </w:p>
    <w:p w14:paraId="2D324CB1">
      <w:pPr>
        <w:pStyle w:val="39"/>
        <w:keepNext/>
        <w:pageBreakBefore/>
        <w:widowControl/>
      </w:pPr>
      <w:bookmarkStart w:id="7" w:name="_Toc57"/>
      <w:r>
        <w:t>第一章 绪论</w:t>
      </w:r>
      <w:bookmarkEnd w:id="4"/>
      <w:bookmarkEnd w:id="5"/>
      <w:bookmarkEnd w:id="6"/>
      <w:bookmarkEnd w:id="7"/>
    </w:p>
    <w:p w14:paraId="55AF5D36">
      <w:pPr>
        <w:pStyle w:val="3"/>
        <w:keepNext/>
        <w:widowControl/>
        <w:numPr>
          <w:ilvl w:val="0"/>
          <w:numId w:val="0"/>
        </w:numPr>
        <w:ind w:leftChars="0"/>
        <w:rPr>
          <w:b w:val="0"/>
        </w:rPr>
      </w:pPr>
      <w:bookmarkStart w:id="8" w:name="_Toc14382"/>
      <w:bookmarkStart w:id="9" w:name="_Toc487"/>
      <w:bookmarkStart w:id="10" w:name="_Toc28378"/>
      <w:bookmarkStart w:id="11" w:name="_Toc25145"/>
      <w:r>
        <w:rPr>
          <w:rFonts w:hint="eastAsia"/>
          <w:lang w:eastAsia="zh-CN"/>
        </w:rPr>
        <w:t xml:space="preserve">1.1 </w:t>
      </w:r>
      <w:r>
        <w:t>研究背景与意义</w:t>
      </w:r>
      <w:bookmarkEnd w:id="8"/>
      <w:bookmarkEnd w:id="9"/>
      <w:bookmarkEnd w:id="10"/>
      <w:bookmarkEnd w:id="11"/>
    </w:p>
    <w:p w14:paraId="5BD43B45">
      <w:pPr>
        <w:pStyle w:val="11"/>
        <w:rPr>
          <w:rFonts w:ascii="Times New Roman" w:hAnsi="Times New Roman" w:eastAsia="宋体" w:cs="Times New Roman"/>
          <w:sz w:val="21"/>
          <w:szCs w:val="24"/>
        </w:rPr>
      </w:pPr>
      <w:r>
        <w:t>铣削加工中的再生颤振现象是制约加工质量与效率的关键瓶颈。避免颤振的核心手段是生成稳定性叶图（SLD），将切削参数控制在安全区域内。然而，传统方法面临两大挑战：（1）模态参数获取依赖耗时的锤击法或LMS模态测试，难以在车间频繁复用；（2）解析法对模态参数偏差极为敏感，k偏差5%即可使极限切深预测偏差超过30%。</w:t>
      </w:r>
      <w:r>
        <w:br w:type="textWrapping"/>
      </w:r>
      <w:r>
        <w:br w:type="textWrapping"/>
      </w:r>
      <w:r>
        <w:t>针对上述问题，本文提出延迟嵌入液态神经逻辑网络（DL-LNN），将神经网络定位为物理模型的动态补偿器，通过数据驱动方式校准物理模型与实验数据之间的失配。核心创新包括：（1）在LTC主干网络中显式引入刀齿周期T构造延迟连接，更好地匹配再生颤振的连续时间机制；（2）构建「数值层+梯度层+频域层」三层物理一致性损失函数；（3）提出「解析预训练+物理残差微调+主动学习」三阶段训练策略。实验表明，DL-LNN在5个数据集上实现MAE=0.080±0.002mm、PCC=0.15±0.12±0.002，相比LSTM降低1.1% MAE，相比Transformer降低16.7% MAE（p&lt;0.05）。</w:t>
      </w:r>
    </w:p>
    <w:p w14:paraId="78C70FAA">
      <w:pPr>
        <w:pStyle w:val="3"/>
        <w:keepNext/>
        <w:widowControl/>
        <w:numPr>
          <w:ilvl w:val="0"/>
          <w:numId w:val="0"/>
        </w:numPr>
        <w:ind w:leftChars="0"/>
        <w:rPr>
          <w:b w:val="0"/>
        </w:rPr>
      </w:pPr>
      <w:bookmarkStart w:id="12" w:name="_Toc19075"/>
      <w:bookmarkStart w:id="13" w:name="_Toc17385"/>
      <w:bookmarkStart w:id="14" w:name="_Toc12687"/>
      <w:bookmarkStart w:id="15" w:name="_Toc15859"/>
      <w:r>
        <w:rPr>
          <w:rFonts w:hint="eastAsia"/>
          <w:lang w:eastAsia="zh-CN"/>
        </w:rPr>
        <w:t xml:space="preserve">1.2 </w:t>
      </w:r>
      <w:r>
        <w:t>国内外研究现状</w:t>
      </w:r>
      <w:bookmarkEnd w:id="12"/>
      <w:bookmarkEnd w:id="13"/>
      <w:bookmarkEnd w:id="14"/>
      <w:bookmarkEnd w:id="15"/>
    </w:p>
    <w:p w14:paraId="6AD9719E">
      <w:pPr>
        <w:pStyle w:val="4"/>
        <w:keepNext/>
        <w:widowControl/>
        <w:numPr>
          <w:ilvl w:val="0"/>
          <w:numId w:val="0"/>
        </w:numPr>
        <w:ind w:leftChars="0"/>
        <w:rPr>
          <w:b w:val="0"/>
        </w:rPr>
      </w:pPr>
      <w:bookmarkStart w:id="16" w:name="_Toc1533"/>
      <w:bookmarkStart w:id="17" w:name="_Toc27549"/>
      <w:bookmarkStart w:id="18" w:name="_Toc17899"/>
      <w:bookmarkStart w:id="19" w:name="_Toc12787"/>
      <w:r>
        <w:rPr>
          <w:rFonts w:hint="eastAsia"/>
          <w:lang w:eastAsia="zh-CN"/>
        </w:rPr>
        <w:t xml:space="preserve">1.2.1 </w:t>
      </w:r>
      <w:r>
        <w:t>国内研究现状</w:t>
      </w:r>
      <w:bookmarkEnd w:id="16"/>
      <w:bookmarkEnd w:id="17"/>
      <w:bookmarkEnd w:id="18"/>
      <w:bookmarkEnd w:id="19"/>
    </w:p>
    <w:p w14:paraId="36B3C1B4">
      <w:pPr>
        <w:pStyle w:val="11"/>
        <w:rPr>
          <w:rFonts w:ascii="Times New Roman" w:hAnsi="Times New Roman" w:eastAsia="宋体" w:cs="Times New Roman"/>
          <w:sz w:val="21"/>
          <w:szCs w:val="24"/>
        </w:rPr>
      </w:pPr>
      <w:r>
        <w:rPr>
          <w:rFonts w:ascii="Times New Roman" w:hAnsi="Times New Roman" w:eastAsia="宋体" w:cs="Times New Roman"/>
          <w:sz w:val="21"/>
          <w:szCs w:val="24"/>
        </w:rPr>
        <w:t>国内学者在铣削颤振稳定性预测领域的研究大致可分为三类：（1）解析法方向：早期研究主要基于 Tlusty 再生颤振理论</w:t>
      </w:r>
      <w:r>
        <w:rPr>
          <w:rFonts w:ascii="Times New Roman" w:hAnsi="Times New Roman" w:eastAsia="宋体" w:cs="Times New Roman"/>
          <w:sz w:val="21"/>
          <w:szCs w:val="24"/>
          <w:vertAlign w:val="superscript"/>
        </w:rPr>
        <w:t>[1]</w:t>
      </w:r>
      <w:r>
        <w:rPr>
          <w:rFonts w:ascii="Times New Roman" w:hAnsi="Times New Roman" w:eastAsia="宋体" w:cs="Times New Roman"/>
          <w:sz w:val="21"/>
          <w:szCs w:val="24"/>
        </w:rPr>
        <w:t>展开。后续学者进一步发展了多模态耦合、变切削深度等扩展模型。然而，解析法的应用前提是精确已知机床的模态参数，实际车间中这些参数往往难以准确测量，极大地限制了其应用。（2）数值法方向：主要包括有限差分法（FD）、半离散法（SEM）、高阶半离散法（HSDT）等，通过离散化求解时滞微分方程（DDE）以获得更精确的稳定性边界</w:t>
      </w:r>
      <w:r>
        <w:rPr>
          <w:rFonts w:ascii="Times New Roman" w:hAnsi="Times New Roman" w:eastAsia="宋体" w:cs="Times New Roman"/>
          <w:sz w:val="21"/>
          <w:szCs w:val="24"/>
          <w:vertAlign w:val="superscript"/>
        </w:rPr>
        <w:t>[3]</w:t>
      </w:r>
      <w:r>
        <w:rPr>
          <w:rFonts w:ascii="Times New Roman" w:hAnsi="Times New Roman" w:eastAsia="宋体" w:cs="Times New Roman"/>
          <w:sz w:val="21"/>
          <w:szCs w:val="24"/>
        </w:rPr>
        <w:t>。数值法在处理多模态耦合效应时具有一定优势，但其计算成本较高。（3）数据驱动方向：随着人工智能技术的发展，基于机器学习与深度学习的颤振预测方法近年来受到广泛关注。国内研究团队在基于 LSTM、Transformer 等序列模型的颤振识别方面取得了系列进展。但现有数据驱动方法普遍面临「小样本过拟合、跨工况泛化差，黑盒不可解释」三大共性瓶颈。</w:t>
      </w:r>
    </w:p>
    <w:p w14:paraId="3294F547">
      <w:pPr>
        <w:pStyle w:val="4"/>
        <w:keepNext/>
        <w:pageBreakBefore/>
        <w:widowControl/>
        <w:numPr>
          <w:ilvl w:val="0"/>
          <w:numId w:val="0"/>
        </w:numPr>
        <w:ind w:leftChars="0"/>
        <w:rPr>
          <w:b w:val="0"/>
        </w:rPr>
      </w:pPr>
      <w:bookmarkStart w:id="20" w:name="_Toc23119"/>
      <w:bookmarkStart w:id="21" w:name="_Toc20736"/>
      <w:bookmarkStart w:id="22" w:name="_Toc18385"/>
      <w:bookmarkStart w:id="23" w:name="_Toc15259"/>
      <w:r>
        <w:rPr>
          <w:rFonts w:hint="eastAsia"/>
          <w:lang w:eastAsia="zh-CN"/>
        </w:rPr>
        <w:t xml:space="preserve">1.2.2 </w:t>
      </w:r>
      <w:r>
        <w:t>国外研究现状</w:t>
      </w:r>
      <w:bookmarkEnd w:id="20"/>
      <w:bookmarkEnd w:id="21"/>
      <w:bookmarkEnd w:id="22"/>
      <w:bookmarkEnd w:id="23"/>
    </w:p>
    <w:p w14:paraId="59D6BE94">
      <w:pPr>
        <w:pStyle w:val="11"/>
        <w:rPr>
          <w:rFonts w:ascii="Times New Roman" w:hAnsi="Times New Roman" w:eastAsia="宋体" w:cs="Times New Roman"/>
          <w:sz w:val="21"/>
          <w:szCs w:val="24"/>
        </w:rPr>
      </w:pPr>
      <w:r>
        <w:t>国外学者在颤振稳定性预测与 PINN 应用方面同样开展了大量工作。Hasani 等[31,32]于 2021/2022 年提出液态时间常数网络（LTC），通过常微分方程求解器实现连续时间动态建模，其 dx/dt = −[1/τ + f(x, I, θ)]·x + f(x, I, θ)·A 形式更好地匹配连续再生过程。Zhu 等[12]于 2022 年提出神经分段常数时滞微分方程（NPCDDE，AAAI 2022），为时滞物理过程的神经网络建模提供方法论。Raissi 等[5]于 2019 年开创性地将物理先验嵌入神经网络损失函数，Karniadakis 等[6]系统综述了 PINN 在偏微分方程求解、参数反演等问题中的应用。Yu 等[7]于 2022 年提出梯度增强 PINN（gPINN），通过在损失函数中加入梯度项提升物理一致性。Guo 等[8]于 2022 年提出物理编码循环卷积网络（PeRCNN），在物理动力学的端到端编码方面取得突破。然而，PINN 在颤振领域的应用仍处于起步阶段[4]，且现有工作普遍使用标准全连接网络或卷积网络作为主干，缺乏对颤振「连续时间再生」动力学特性的针对性建模。</w:t>
      </w:r>
      <w:r>
        <w:br w:type="textWrapping"/>
      </w:r>
      <w:r>
        <w:br w:type="textWrapping"/>
      </w:r>
      <w:r>
        <w:t>与上述PINN变体密切相关的工作还包括NPCDDE（Zhu et al., AAAI 2022）和gPINN（Yu et al., CMAME 2022）。NPCDDE提出神经分段常数时滞微分方程，将时滞项引入神经ODE框架，在数学形式上与本文的延迟嵌入策略有相似之处。然而，两者存在本质区别：（1）NPCDDE的时滞τ为常数参数，需要预先给定，而DL-LNN的延迟嵌入直接绑定刀齿周期T=60/n，随主轴转速自适应变化；（2）NPCDDE面向通用时滞系统，未针对铣削再生动力学设计物理约束，而DL-LNN构建了三层物理一致性损失（数值层+梯度层+频域层），显式约束预测SLD的物理合理性；（3）NPCDDE仅在合成时滞ODE上验证，未涉及铣削颤振这一具体工程问题。</w:t>
      </w:r>
      <w:r>
        <w:br w:type="textWrapping"/>
      </w:r>
      <w:r>
        <w:br w:type="textWrapping"/>
      </w:r>
      <w:r>
        <w:t>gPINN（Yu et al., 2022）通过对PINN残差施加梯度约束来提升求解精度，其核心思想与本文的梯度层L_pcc有相通之处。但gPINN面向稳态PDE（如Navier-Stokes方程），而颤振稳定性预测涉及时滞动力学和频域约束，gPINN的梯度增强策略无法直接迁移。本文在gPINN思想基础上，将梯度约束从空间域转移到「切深-转速」域，约束SLD曲线斜率与模态参数的物理关联，这是针对颤振问题的领域特异性设计。</w:t>
      </w:r>
    </w:p>
    <w:p w14:paraId="2250B468">
      <w:pPr>
        <w:pStyle w:val="4"/>
        <w:keepNext/>
        <w:widowControl/>
        <w:numPr>
          <w:ilvl w:val="0"/>
          <w:numId w:val="0"/>
        </w:numPr>
        <w:ind w:leftChars="0"/>
        <w:rPr>
          <w:b w:val="0"/>
        </w:rPr>
      </w:pPr>
      <w:bookmarkStart w:id="24" w:name="_Toc23990"/>
      <w:bookmarkStart w:id="25" w:name="_Toc12724"/>
      <w:bookmarkStart w:id="26" w:name="_Toc25967"/>
      <w:bookmarkStart w:id="27" w:name="_Toc22512"/>
      <w:r>
        <w:rPr>
          <w:rFonts w:hint="eastAsia"/>
          <w:lang w:eastAsia="zh-CN"/>
        </w:rPr>
        <w:t xml:space="preserve">1.2.3 </w:t>
      </w:r>
      <w:r>
        <w:t>研究现状分析</w:t>
      </w:r>
      <w:bookmarkEnd w:id="24"/>
      <w:bookmarkEnd w:id="25"/>
      <w:bookmarkEnd w:id="26"/>
      <w:bookmarkEnd w:id="27"/>
    </w:p>
    <w:p w14:paraId="5EB7FC45">
      <w:pPr>
        <w:pStyle w:val="11"/>
        <w:rPr>
          <w:rFonts w:ascii="Times New Roman" w:hAnsi="Times New Roman" w:eastAsia="宋体" w:cs="Times New Roman"/>
          <w:sz w:val="21"/>
          <w:szCs w:val="24"/>
        </w:rPr>
      </w:pPr>
      <w:r>
        <w:rPr>
          <w:rFonts w:ascii="Times New Roman" w:hAnsi="Times New Roman" w:eastAsia="宋体" w:cs="Times New Roman"/>
          <w:sz w:val="21"/>
          <w:szCs w:val="24"/>
        </w:rPr>
        <w:t>综合分析国内外研究现状，我们识别出铣削颤振稳定性预测领域的三个关键不足：</w:t>
      </w:r>
    </w:p>
    <w:p w14:paraId="628B4F6E">
      <w:pPr>
        <w:pStyle w:val="11"/>
        <w:rPr>
          <w:rFonts w:ascii="Times New Roman" w:hAnsi="Times New Roman" w:eastAsia="宋体" w:cs="Times New Roman"/>
          <w:sz w:val="21"/>
          <w:szCs w:val="24"/>
        </w:rPr>
      </w:pPr>
    </w:p>
    <w:p w14:paraId="55B4A0EF">
      <w:pPr>
        <w:pStyle w:val="11"/>
        <w:numPr>
          <w:ilvl w:val="0"/>
          <w:numId w:val="0"/>
        </w:numPr>
        <w:ind w:left="0" w:leftChars="0" w:firstLine="360"/>
        <w:rPr>
          <w:rFonts w:ascii="Times New Roman" w:hAnsi="Times New Roman" w:eastAsia="宋体" w:cs="Times New Roman"/>
          <w:b w:val="0"/>
          <w:sz w:val="21"/>
          <w:szCs w:val="24"/>
        </w:rPr>
      </w:pPr>
      <w:r>
        <w:rPr>
          <w:rFonts w:hint="eastAsia" w:cs="Times New Roman"/>
          <w:sz w:val="21"/>
          <w:szCs w:val="24"/>
          <w:lang w:eastAsia="zh-CN"/>
        </w:rPr>
        <w:t xml:space="preserve">(4) </w:t>
      </w:r>
      <w:r>
        <w:rPr>
          <w:rFonts w:ascii="Times New Roman" w:hAnsi="Times New Roman" w:eastAsia="宋体" w:cs="Times New Roman"/>
          <w:sz w:val="21"/>
          <w:szCs w:val="24"/>
        </w:rPr>
        <w:t>与最近进展的差异化不足。NPCDDE虽引入了时滞神经ODE，但其时滞参数为常数，无法自适应主轴转速变化；gPINN的梯度增强策略针对稳态PDE设计，无法处理时滞动力学的频域约束。现有工作缺乏将时滞自适应建模与多层物理约束统一框架的尝试。</w:t>
      </w:r>
    </w:p>
    <w:p w14:paraId="1A4E98CE">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(1) </w:t>
      </w:r>
      <w:r>
        <w:rPr>
          <w:rFonts w:ascii="Times New Roman" w:hAnsi="Times New Roman" w:eastAsia="宋体" w:cs="Times New Roman"/>
          <w:sz w:val="21"/>
          <w:szCs w:val="24"/>
        </w:rPr>
        <w:t>网络结构与颤振动力学特性不匹配。颤振本质上是一种连续时间的再生动力学过程，刀齿每转一圈，其切削厚度会与上一圈的振纹叠加形成新的激励，这一过程的时间演化是连续的、不可分割的。然而，现有方法（包括最新的 PINN 工作）多采用离散时间步网络（如 LSTM）或无时序建模的网络（如 BPNN、CNN），无法天然捕捉颤振的连续再生特性。</w:t>
      </w:r>
    </w:p>
    <w:p w14:paraId="2FDC3B99">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(2) </w:t>
      </w:r>
      <w:r>
        <w:rPr>
          <w:rFonts w:ascii="Times New Roman" w:hAnsi="Times New Roman" w:eastAsia="宋体" w:cs="Times New Roman"/>
          <w:sz w:val="21"/>
          <w:szCs w:val="24"/>
        </w:rPr>
        <w:t>小样本学习能力不足。物理引导框架虽然在物理一致性方面具有优势，但其损失函数设计通常直接耦合物理残差与数据损失，在小样本场景下物理约束会因数据噪声而失效，导致模型偏向「拟合噪声」而非「拟合物理」。现有工作缺乏针对冷启动问题的专门设计。</w:t>
      </w:r>
    </w:p>
    <w:p w14:paraId="137B9FF5">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(3) </w:t>
      </w:r>
      <w:r>
        <w:rPr>
          <w:rFonts w:ascii="Times New Roman" w:hAnsi="Times New Roman" w:eastAsia="宋体" w:cs="Times New Roman"/>
          <w:sz w:val="21"/>
          <w:szCs w:val="24"/>
        </w:rPr>
        <w:t>物理约束粒度不足。现有 PINN 方法多在数值层面对预测施加物理约束（如 |y_pred − y_analytical| ≤ ε），但忽略了物理量梯度层与频域层的一致性。例如，稳定性叶图的「切深-转速」曲线斜率本身具有明确的物理意义（与模态参数直接相关），而颤振的极限切深在频谱上应集中在主轴转速的整数倍频处，现有方法均未能显式约束这些深层一致性。</w:t>
      </w:r>
    </w:p>
    <w:p w14:paraId="3C11A836">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(4) </w:t>
      </w:r>
      <w:r>
        <w:rPr>
          <w:rFonts w:ascii="Times New Roman" w:hAnsi="Times New Roman" w:eastAsia="宋体" w:cs="Times New Roman"/>
          <w:sz w:val="21"/>
          <w:szCs w:val="24"/>
        </w:rPr>
        <w:t>实验验证创新：设计参数灵敏度崩溃测试、残差贡献度剥离实验、修正项可解释性频谱分析等6组实验，系统验证DL-LNN作为物理模型动态补偿器的有效性。相比Tlusty解析模型，在模态参数偏差20%时MAE退化仅31.2%（Tlusty退化300%），验证了DL-LNN的鲁棒性。</w:t>
      </w:r>
    </w:p>
    <w:p w14:paraId="7051F038">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(5) </w:t>
      </w:r>
      <w:r>
        <w:rPr>
          <w:rFonts w:ascii="Times New Roman" w:hAnsi="Times New Roman" w:eastAsia="宋体" w:cs="Times New Roman"/>
          <w:sz w:val="21"/>
          <w:szCs w:val="24"/>
        </w:rPr>
        <w:t>DL-LNN的工程化指标满足工业部署需求：参数量0.85M，推理时间3.2 ms，模型大小3.4 MB。相比Transformer参数量减少66%，推理时间减少29%，满足工业现场实时性需求（&lt;10 ms）和嵌入式部署需求（&lt;10 MB）。未来工作将围绕以下方向展开：将DL-LNN扩展到多自由度铣削系统；探索DL-LNN在其他时滞动力学系统（如车削、磨削）中的应用；结合在线学习机制，实现模型的实时更新与自适应。</w:t>
      </w:r>
    </w:p>
    <w:p w14:paraId="74F8DF0B"/>
    <w:p w14:paraId="17647EF1">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(6) </w:t>
      </w:r>
      <w:r>
        <w:rPr>
          <w:rFonts w:ascii="Times New Roman" w:hAnsi="Times New Roman" w:eastAsia="宋体" w:cs="Times New Roman"/>
          <w:sz w:val="21"/>
          <w:szCs w:val="24"/>
        </w:rPr>
        <w:t>训练策略创新：提出「解析预训练+物理残差微调+主动学习」三阶段训练策略，解决小样本冷启动问题。第一阶段利用Tlusty解析模型预训练，第二阶段引入物理残差校准，第三阶段通过主动学习选择最具信息量的样本进行微调。</w:t>
      </w:r>
    </w:p>
    <w:p w14:paraId="3C611A0C"/>
    <w:p w14:paraId="51DCEC48">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(7) </w:t>
      </w:r>
      <w:r>
        <w:rPr>
          <w:rFonts w:ascii="Times New Roman" w:hAnsi="Times New Roman" w:eastAsia="宋体" w:cs="Times New Roman"/>
          <w:sz w:val="21"/>
          <w:szCs w:val="24"/>
        </w:rPr>
        <w:t>物理约束创新：构建三层物理一致性损失（数值层+梯度层+频域层），相比传统PINN的单一物理损失，DL-LNN同时约束数值精度、梯度连续性和频域特征。相比gPINN的梯度增强策略，DL-LNN将梯度约束从空间域转移到「切深-转速」域，约束SLD曲线斜率与模态参数的物理关联，这是针对颤振问题的领域特异性设计。</w:t>
      </w:r>
    </w:p>
    <w:p w14:paraId="19FC528B"/>
    <w:p w14:paraId="44DA2C1B">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(1) </w:t>
      </w:r>
      <w:r>
        <w:rPr>
          <w:rFonts w:ascii="Times New Roman" w:hAnsi="Times New Roman" w:eastAsia="宋体" w:cs="Times New Roman"/>
          <w:sz w:val="21"/>
          <w:szCs w:val="24"/>
        </w:rPr>
        <w:t>网络结构创新：提出延迟嵌入机制，将刀齿周期T=60/n显式嵌入LTC神经元常微分方程，使网络时间常数自适应主轴转速变化。相比NPCDDE的常数时滞参数，DL-LNN的延迟嵌入直接绑定物理过程，解决时滞参数无法自适应的问题。</w:t>
      </w:r>
    </w:p>
    <w:p w14:paraId="2FA3A175"/>
    <w:p w14:paraId="501A257B">
      <w:pPr>
        <w:pStyle w:val="11"/>
        <w:rPr>
          <w:rFonts w:ascii="Times New Roman" w:hAnsi="Times New Roman" w:eastAsia="宋体" w:cs="Times New Roman"/>
          <w:sz w:val="21"/>
          <w:szCs w:val="24"/>
        </w:rPr>
      </w:pPr>
      <w:r>
        <w:rPr>
          <w:rFonts w:ascii="Times New Roman" w:hAnsi="Times New Roman" w:eastAsia="宋体" w:cs="Times New Roman"/>
          <w:sz w:val="21"/>
          <w:szCs w:val="24"/>
        </w:rPr>
        <w:t>针对现有方法在连续时间建模、小样本学习和物理约束粒度方面的不足，本文提出延迟嵌入液态神经逻辑网络（DL-LNN），主要创新点如下：</w:t>
      </w:r>
    </w:p>
    <w:p w14:paraId="6C897EE7"/>
    <w:p w14:paraId="7ACA7BB9">
      <w:pPr>
        <w:pStyle w:val="4"/>
        <w:keepNext/>
      </w:pPr>
      <w:bookmarkStart w:id="28" w:name="_Toc27701"/>
      <w:r>
        <w:t>1.2.4 本文创新点总结</w:t>
      </w:r>
      <w:bookmarkEnd w:id="28"/>
    </w:p>
    <w:p w14:paraId="134A34A9">
      <w:pPr>
        <w:pStyle w:val="11"/>
        <w:rPr>
          <w:rFonts w:ascii="Times New Roman" w:hAnsi="Times New Roman" w:eastAsia="宋体" w:cs="Times New Roman"/>
          <w:sz w:val="21"/>
          <w:szCs w:val="24"/>
        </w:rPr>
      </w:pPr>
      <w:r>
        <w:t>针对现有方法在连续时间建模、小样本学习和物理约束粒度方面的不足，本文提出延迟嵌入液态神经逻辑网络（DL-LNN），有效缓解铣削颤振稳定性预测中的「小样本、跨工况、不可解释」三大痛点。主要研究内容如下：</w:t>
      </w:r>
    </w:p>
    <w:p w14:paraId="0A2D4D67">
      <w:pPr>
        <w:pStyle w:val="11"/>
        <w:rPr>
          <w:rFonts w:ascii="Times New Roman" w:hAnsi="Times New Roman" w:eastAsia="宋体" w:cs="Times New Roman"/>
          <w:sz w:val="21"/>
          <w:szCs w:val="24"/>
        </w:rPr>
      </w:pPr>
    </w:p>
    <w:p w14:paraId="2DF6DEB4">
      <w:pPr>
        <w:pStyle w:val="11"/>
        <w:numPr>
          <w:ilvl w:val="0"/>
          <w:numId w:val="0"/>
        </w:numPr>
        <w:ind w:left="0" w:leftChars="0" w:firstLine="420"/>
        <w:rPr>
          <w:rFonts w:ascii="Times New Roman" w:hAnsi="Times New Roman" w:eastAsia="宋体" w:cs="Times New Roman"/>
          <w:b w:val="0"/>
          <w:sz w:val="21"/>
          <w:szCs w:val="24"/>
        </w:rPr>
      </w:pPr>
      <w:r>
        <w:t>(1) DL-LNN网络结构设计：在LTC主干网络中显式引入刀齿周期T构造延迟连接（受NPCDDE思想启发，应用于铣削再生颤振动力学建模），结合Tlusty解析物理分支与门控融合机制，使网络天然契合「刀齿每转一圈形成再生」的连续时间机制。相比LSTM的离散时间步建模，LTC通过常微分方程求解器实现连续时间动态建模，更契合颤振动力学特性。</w:t>
      </w:r>
    </w:p>
    <w:p w14:paraId="5F30BAEB">
      <w:pPr>
        <w:pStyle w:val="11"/>
        <w:numPr>
          <w:ilvl w:val="0"/>
          <w:numId w:val="0"/>
        </w:numPr>
        <w:ind w:left="420" w:leftChars="0"/>
        <w:rPr>
          <w:rFonts w:ascii="Times New Roman" w:hAnsi="Times New Roman" w:eastAsia="宋体" w:cs="Times New Roman"/>
          <w:sz w:val="21"/>
          <w:szCs w:val="24"/>
        </w:rPr>
      </w:pPr>
    </w:p>
    <w:p w14:paraId="2EC1F0A2">
      <w:pPr>
        <w:pStyle w:val="11"/>
        <w:rPr>
          <w:rFonts w:ascii="Times New Roman" w:hAnsi="Times New Roman" w:eastAsia="宋体" w:cs="Times New Roman"/>
          <w:sz w:val="21"/>
          <w:szCs w:val="24"/>
        </w:rPr>
      </w:pPr>
      <w:r>
        <w:rPr>
          <w:rFonts w:ascii="Times New Roman" w:hAnsi="Times New Roman" w:eastAsia="宋体" w:cs="Times New Roman"/>
          <w:sz w:val="21"/>
          <w:szCs w:val="24"/>
        </w:rPr>
        <w:t>(2) 三层物理一致性损失函数设计：构建「数值层L_phys + 梯度层L_pcc（受gPINN思想启发）+ 频域层L_freq（本文提出）」的三层损失体系，从数值大小、曲线斜率、频谱能量三个维度联合约束预测SLD的物理一致性。其中梯度层约束SLD曲线斜率与模态参数的物理关联，频域层约束颤振能量集中在主轴转速整数倍频处。</w:t>
      </w:r>
    </w:p>
    <w:p w14:paraId="79E27299">
      <w:pPr>
        <w:pStyle w:val="11"/>
        <w:rPr>
          <w:rFonts w:ascii="Times New Roman" w:hAnsi="Times New Roman" w:eastAsia="宋体" w:cs="Times New Roman"/>
          <w:sz w:val="21"/>
          <w:szCs w:val="24"/>
        </w:rPr>
      </w:pPr>
    </w:p>
    <w:p w14:paraId="47FFD1DB">
      <w:pPr>
        <w:pStyle w:val="11"/>
        <w:rPr>
          <w:rFonts w:ascii="Times New Roman" w:hAnsi="Times New Roman" w:eastAsia="宋体" w:cs="Times New Roman"/>
          <w:sz w:val="21"/>
          <w:szCs w:val="24"/>
        </w:rPr>
      </w:pPr>
      <w:r>
        <w:t>(3) 三阶段训练策略与跨工况协议验证：提出「解析预训练+物理残差微调+主动学习」三阶段训练策略，在5个数据集上系统开展Leave-One-Material-Out（LOMO）与Leave-One-Condition-Out（LOCO）跨工况协议实验，并与8种主流基线方法进行对比。统计显著性检验表明，DL-LNN相比LSTM降低1.1% MAE（p&lt;0.01），相比Transformer降低16.7% MAE（p&lt;0.05）。</w:t>
      </w:r>
    </w:p>
    <w:p w14:paraId="72713F42">
      <w:pPr>
        <w:pStyle w:val="11"/>
        <w:rPr>
          <w:rFonts w:ascii="Times New Roman" w:hAnsi="Times New Roman" w:eastAsia="宋体" w:cs="Times New Roman"/>
          <w:sz w:val="21"/>
          <w:szCs w:val="24"/>
        </w:rPr>
      </w:pPr>
    </w:p>
    <w:p w14:paraId="02EE454D">
      <w:pPr>
        <w:pStyle w:val="11"/>
        <w:rPr>
          <w:rFonts w:ascii="Times New Roman" w:hAnsi="Times New Roman" w:eastAsia="宋体" w:cs="Times New Roman"/>
          <w:sz w:val="21"/>
          <w:szCs w:val="24"/>
        </w:rPr>
      </w:pPr>
      <w:r>
        <w:rPr>
          <w:rFonts w:ascii="Times New Roman" w:hAnsi="Times New Roman" w:eastAsia="宋体" w:cs="Times New Roman"/>
          <w:sz w:val="21"/>
          <w:szCs w:val="24"/>
        </w:rPr>
        <w:t>(4) τ-模态参数映射律与可解释性分析：基于训练后的DL-LNN，拟合LTC时间常数τ与机床模态参数（固有频率ωₙ、阻尼比ζ）的经验公式，揭示网络时间常数的物理意义，为网络时间常数提供可量化的物理溯源路径（灰盒可解释性）。消融实验表明，残差校准机制贡献23.8% MAE降低，LTC贡献16.7%，延迟嵌入贡献13.0%。</w:t>
      </w:r>
    </w:p>
    <w:p w14:paraId="55291011">
      <w:pPr>
        <w:pStyle w:val="11"/>
        <w:rPr>
          <w:rFonts w:ascii="Times New Roman" w:hAnsi="Times New Roman" w:eastAsia="宋体" w:cs="Times New Roman"/>
          <w:sz w:val="21"/>
          <w:szCs w:val="24"/>
        </w:rPr>
      </w:pPr>
    </w:p>
    <w:p w14:paraId="51773DDA">
      <w:pPr>
        <w:pStyle w:val="11"/>
        <w:rPr>
          <w:rFonts w:ascii="Times New Roman" w:hAnsi="Times New Roman" w:eastAsia="宋体" w:cs="Times New Roman"/>
          <w:sz w:val="21"/>
          <w:szCs w:val="24"/>
        </w:rPr>
      </w:pPr>
      <w:r>
        <w:rPr>
          <w:rFonts w:ascii="Times New Roman" w:hAnsi="Times New Roman" w:eastAsia="宋体" w:cs="Times New Roman"/>
          <w:sz w:val="21"/>
          <w:szCs w:val="24"/>
        </w:rPr>
        <w:t>(5) SLD-as-Prompt大语言模型颤振智能诊断：将DL-LNN输出的SLD与工艺参数组织为可被LLM理解的Prompt，实现「工艺员口述症状→自动反查不稳定性原因→给出参数调整建议」的端到端诊断。本接口作为工程化补充，独立于核心算法贡献。</w:t>
      </w:r>
    </w:p>
    <w:p w14:paraId="48F4C9BD">
      <w:pPr>
        <w:rPr>
          <w:rFonts w:hint="eastAsia"/>
          <w:b/>
          <w:lang w:eastAsia="zh-CN"/>
        </w:rPr>
      </w:pPr>
      <w:bookmarkStart w:id="29" w:name="_Toc13331"/>
      <w:bookmarkStart w:id="30" w:name="_Toc6269"/>
      <w:bookmarkStart w:id="31" w:name="_Toc3015"/>
      <w:r>
        <w:rPr>
          <w:rFonts w:hint="eastAsia"/>
          <w:b/>
          <w:lang w:eastAsia="zh-CN"/>
        </w:rPr>
        <w:br w:type="page"/>
      </w:r>
    </w:p>
    <w:p w14:paraId="569E153A">
      <w:pPr>
        <w:pStyle w:val="2"/>
        <w:keepNext/>
        <w:pageBreakBefore/>
        <w:widowControl/>
        <w:numPr>
          <w:ilvl w:val="0"/>
          <w:numId w:val="0"/>
        </w:numPr>
        <w:ind w:leftChars="0"/>
        <w:jc w:val="center"/>
        <w:rPr>
          <w:b/>
        </w:rPr>
      </w:pPr>
      <w:bookmarkStart w:id="32" w:name="_Toc7244"/>
      <w:r>
        <w:rPr>
          <w:rFonts w:hint="eastAsia"/>
          <w:b/>
          <w:lang w:eastAsia="zh-CN"/>
        </w:rPr>
        <w:t xml:space="preserve">第二章 </w:t>
      </w:r>
      <w:r>
        <w:t>理论基础</w:t>
      </w:r>
      <w:bookmarkEnd w:id="29"/>
      <w:bookmarkEnd w:id="30"/>
      <w:bookmarkEnd w:id="31"/>
      <w:bookmarkEnd w:id="32"/>
    </w:p>
    <w:p w14:paraId="33E5CB82">
      <w:pPr>
        <w:pStyle w:val="3"/>
        <w:keepNext/>
        <w:widowControl/>
        <w:numPr>
          <w:ilvl w:val="0"/>
          <w:numId w:val="0"/>
        </w:numPr>
        <w:ind w:leftChars="0"/>
        <w:rPr>
          <w:b w:val="0"/>
        </w:rPr>
      </w:pPr>
      <w:bookmarkStart w:id="33" w:name="_Toc25036"/>
      <w:bookmarkStart w:id="34" w:name="_Toc3610"/>
      <w:bookmarkStart w:id="35" w:name="_Toc2879"/>
      <w:bookmarkStart w:id="36" w:name="_Toc4705"/>
      <w:r>
        <w:rPr>
          <w:rFonts w:hint="eastAsia"/>
          <w:lang w:eastAsia="zh-CN"/>
        </w:rPr>
        <w:t xml:space="preserve">2.1 </w:t>
      </w:r>
      <w:r>
        <w:t>引言</w:t>
      </w:r>
      <w:bookmarkEnd w:id="33"/>
      <w:bookmarkEnd w:id="34"/>
      <w:bookmarkEnd w:id="35"/>
      <w:bookmarkEnd w:id="36"/>
    </w:p>
    <w:p w14:paraId="5F523825">
      <w:pPr>
        <w:pStyle w:val="11"/>
        <w:rPr>
          <w:rFonts w:ascii="Times New Roman" w:hAnsi="Times New Roman" w:eastAsia="宋体" w:cs="Times New Roman"/>
          <w:sz w:val="21"/>
          <w:szCs w:val="24"/>
        </w:rPr>
      </w:pPr>
      <w:r>
        <w:t>本章阐述与本文方法相关的三项理论基础。第一项是铣削再生颤振的物理机制，包括 Tlusty 单自由度动力学模型与极限切深解析表达式。第二项是液态时间常数网络（LTC）的常微分方程求解原理，及其与连续时间再生动力学的更好地匹配性。第三项是物理引导神经网络（PINN）框架，重点说明如何将物理残差嵌入损失函数，以及梯度增强 PINN（gPINN）的扩展机制。上述三项理论共同支撑了第 3 章 DL-LNN 的网络结构与损失函数设计。</w:t>
      </w:r>
    </w:p>
    <w:p w14:paraId="301A9C0C">
      <w:pPr>
        <w:pStyle w:val="3"/>
        <w:keepNext/>
        <w:widowControl/>
        <w:numPr>
          <w:ilvl w:val="0"/>
          <w:numId w:val="0"/>
        </w:numPr>
        <w:ind w:leftChars="0"/>
        <w:rPr>
          <w:b w:val="0"/>
        </w:rPr>
      </w:pPr>
      <w:bookmarkStart w:id="37" w:name="_Toc7071"/>
      <w:bookmarkStart w:id="38" w:name="_Toc7025"/>
      <w:bookmarkStart w:id="39" w:name="_Toc23734"/>
      <w:bookmarkStart w:id="40" w:name="_Toc26051"/>
      <w:r>
        <w:rPr>
          <w:rFonts w:hint="eastAsia"/>
          <w:lang w:eastAsia="zh-CN"/>
        </w:rPr>
        <w:t xml:space="preserve">2.2 </w:t>
      </w:r>
      <w:r>
        <w:t>物理基础</w:t>
      </w:r>
      <w:bookmarkEnd w:id="37"/>
      <w:bookmarkEnd w:id="38"/>
      <w:bookmarkEnd w:id="39"/>
      <w:bookmarkEnd w:id="40"/>
    </w:p>
    <w:p w14:paraId="13BC563E">
      <w:pPr>
        <w:pStyle w:val="4"/>
        <w:keepNext/>
        <w:widowControl/>
        <w:numPr>
          <w:ilvl w:val="0"/>
          <w:numId w:val="0"/>
        </w:numPr>
        <w:ind w:leftChars="0"/>
        <w:rPr>
          <w:b w:val="0"/>
        </w:rPr>
      </w:pPr>
      <w:bookmarkStart w:id="41" w:name="_Toc24370"/>
      <w:bookmarkStart w:id="42" w:name="_Toc9263"/>
      <w:bookmarkStart w:id="43" w:name="_Toc936"/>
      <w:bookmarkStart w:id="44" w:name="_Toc20979"/>
      <w:r>
        <w:rPr>
          <w:rFonts w:hint="eastAsia"/>
          <w:lang w:eastAsia="zh-CN"/>
        </w:rPr>
        <w:t xml:space="preserve">2.2.1 </w:t>
      </w:r>
      <w:r>
        <w:t>再生颤振动力学方程</w:t>
      </w:r>
      <w:bookmarkEnd w:id="41"/>
      <w:bookmarkEnd w:id="42"/>
      <w:bookmarkEnd w:id="43"/>
      <w:bookmarkEnd w:id="44"/>
    </w:p>
    <w:p w14:paraId="2F9872BC">
      <w:pPr>
        <w:pStyle w:val="11"/>
        <w:rPr>
          <w:rFonts w:ascii="Times New Roman" w:hAnsi="Times New Roman" w:eastAsia="宋体" w:cs="Times New Roman"/>
          <w:sz w:val="21"/>
          <w:szCs w:val="24"/>
        </w:rPr>
      </w:pPr>
      <w:r>
        <w:rPr>
          <w:rFonts w:ascii="Times New Roman" w:hAnsi="Times New Roman" w:eastAsia="宋体" w:cs="Times New Roman"/>
          <w:sz w:val="21"/>
          <w:szCs w:val="24"/>
        </w:rPr>
        <w:t>铣削过程中，刀具每转一圈形成的切削厚度可表示为</w:t>
      </w:r>
      <w:r>
        <w:rPr>
          <w:rFonts w:ascii="Times New Roman" w:hAnsi="Times New Roman" w:eastAsia="宋体" w:cs="Times New Roman"/>
          <w:sz w:val="21"/>
          <w:szCs w:val="24"/>
          <w:vertAlign w:val="superscript"/>
        </w:rPr>
        <w:t>[4]</w:t>
      </w:r>
      <w:r>
        <w:rPr>
          <w:rFonts w:ascii="Times New Roman" w:hAnsi="Times New Roman" w:eastAsia="宋体" w:cs="Times New Roman"/>
          <w:sz w:val="21"/>
          <w:szCs w:val="24"/>
        </w:rPr>
        <w:t>：</w:t>
      </w:r>
    </w:p>
    <w:p w14:paraId="72162A71">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h(t) = h_0 + [x(t) − x(t−T)]        (2.1)</w:t>
      </w:r>
    </w:p>
    <w:p w14:paraId="128BB63B">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h₀ 为名义切深，x(t) 与 x(t−T) 分别为当前时刻与上一转（周期 T）刀具的振动位移。这一「再生」项是颤振产生的核心机制。</w:t>
      </w:r>
    </w:p>
    <w:p w14:paraId="7BCA48AE">
      <w:pPr>
        <w:pStyle w:val="11"/>
        <w:rPr>
          <w:rFonts w:ascii="Times New Roman" w:hAnsi="Times New Roman" w:eastAsia="宋体" w:cs="Times New Roman"/>
          <w:sz w:val="21"/>
          <w:szCs w:val="24"/>
        </w:rPr>
      </w:pPr>
      <w:r>
        <w:rPr>
          <w:rFonts w:ascii="Times New Roman" w:hAnsi="Times New Roman" w:eastAsia="宋体" w:cs="Times New Roman"/>
          <w:sz w:val="21"/>
          <w:szCs w:val="24"/>
        </w:rPr>
        <w:t>基于单自由度动力学模型，铣削系统的运动方程为：</w:t>
      </w:r>
    </w:p>
    <w:p w14:paraId="47B37AD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m·ddotx(t) + c·dotx(t) + k·x(t) = K_s · a · [x(t) − x(t−T)]        (2.2)</w:t>
      </w:r>
    </w:p>
    <w:p w14:paraId="58C4CEB3">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m、c、k 分别为模态质量、阻尼与刚度，Kₛ 为切削力系数，a 为切深。Tlusty</w:t>
      </w:r>
      <w:r>
        <w:rPr>
          <w:rFonts w:ascii="Times New Roman" w:hAnsi="Times New Roman" w:eastAsia="宋体" w:cs="Times New Roman"/>
          <w:sz w:val="21"/>
          <w:szCs w:val="24"/>
          <w:vertAlign w:val="superscript"/>
        </w:rPr>
        <w:t>[1]</w:t>
      </w:r>
      <w:r>
        <w:rPr>
          <w:rFonts w:ascii="Times New Roman" w:hAnsi="Times New Roman" w:eastAsia="宋体" w:cs="Times New Roman"/>
          <w:sz w:val="21"/>
          <w:szCs w:val="24"/>
        </w:rPr>
        <w:t>基于此方程推导出极限切深的解析表达式：</w:t>
      </w:r>
    </w:p>
    <w:p w14:paraId="74925E08">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a_lim = −1 / (2·K_s · Re[G(jω)])        (2.3)</w:t>
      </w:r>
    </w:p>
    <w:p w14:paraId="51044C63">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G(jω) = 1/(k − mω² + jcω) 为机床方向频率响应函数。给定主轴转速 n 后，颤振频率 f 与 n 的关系为 n = 60·f/(j+1)，j = 0, 1, 2, ⋯ 。将上述方程联立求解，即可得到以「主轴转速-极限切深」为坐标的稳定性叶图 SLD。SLD 的「叶瓣」形状（峰值位置、谷值深度）由机床模态参数与切削力系数共同决定。</w:t>
      </w:r>
    </w:p>
    <w:p w14:paraId="3FB729C2">
      <w:pPr>
        <w:pStyle w:val="11"/>
        <w:rPr>
          <w:rFonts w:ascii="Times New Roman" w:hAnsi="Times New Roman" w:eastAsia="宋体" w:cs="Times New Roman"/>
          <w:sz w:val="21"/>
          <w:szCs w:val="24"/>
        </w:rPr>
      </w:pPr>
      <w:r>
        <w:rPr>
          <w:rFonts w:ascii="Times New Roman" w:hAnsi="Times New Roman" w:eastAsia="宋体" w:cs="Times New Roman"/>
          <w:sz w:val="21"/>
          <w:szCs w:val="24"/>
        </w:rPr>
        <w:t>单位制说明：在解析物理分支（第 3.2.3 节）所有计算中，输入量均统一换算为 SI 单位制。具体而言，刚度 k 由工程常用单位 N/μm 换算为 N/m（即乘以 10⁶），模态质量 m 保持 kg，阻尼 c 采用 N·s/m 表示，频率相关项 m·ω² 与 k 在量纲上严格匹配。</w:t>
      </w:r>
    </w:p>
    <w:p w14:paraId="292D8C72">
      <w:pPr>
        <w:pStyle w:val="11"/>
        <w:rPr>
          <w:rFonts w:ascii="Times New Roman" w:hAnsi="Times New Roman" w:eastAsia="宋体" w:cs="Times New Roman"/>
          <w:sz w:val="21"/>
          <w:szCs w:val="24"/>
        </w:rPr>
      </w:pPr>
      <w:r>
        <w:rPr>
          <w:rFonts w:ascii="Times New Roman" w:hAnsi="Times New Roman" w:eastAsia="宋体" w:cs="Times New Roman"/>
          <w:sz w:val="21"/>
          <w:szCs w:val="24"/>
        </w:rPr>
        <w:t>本文核心思想：将上述解析关系作为物理先验嵌入神经网络，使数据驱动模型在数值、梯度与频域三个层面均保持物理一致性。</w:t>
      </w:r>
    </w:p>
    <w:p w14:paraId="452245F5">
      <w:pPr>
        <w:pStyle w:val="4"/>
        <w:keepNext/>
        <w:widowControl/>
        <w:numPr>
          <w:ilvl w:val="0"/>
          <w:numId w:val="0"/>
        </w:numPr>
        <w:ind w:leftChars="0"/>
        <w:rPr>
          <w:b w:val="0"/>
        </w:rPr>
      </w:pPr>
      <w:bookmarkStart w:id="45" w:name="_Toc4934"/>
      <w:bookmarkStart w:id="46" w:name="_Toc29925"/>
      <w:bookmarkStart w:id="47" w:name="_Toc16570"/>
      <w:bookmarkStart w:id="48" w:name="_Toc12488"/>
      <w:r>
        <w:rPr>
          <w:rFonts w:hint="eastAsia"/>
          <w:lang w:eastAsia="zh-CN"/>
        </w:rPr>
        <w:t xml:space="preserve">2.2.2 </w:t>
      </w:r>
      <w:r>
        <w:t>液态时间常数网络原理</w:t>
      </w:r>
      <w:bookmarkEnd w:id="45"/>
      <w:bookmarkEnd w:id="46"/>
      <w:bookmarkEnd w:id="47"/>
      <w:bookmarkEnd w:id="48"/>
    </w:p>
    <w:p w14:paraId="4B42042F">
      <w:pPr>
        <w:pStyle w:val="11"/>
        <w:rPr>
          <w:rFonts w:ascii="Times New Roman" w:hAnsi="Times New Roman" w:eastAsia="宋体" w:cs="Times New Roman"/>
          <w:sz w:val="21"/>
          <w:szCs w:val="24"/>
        </w:rPr>
      </w:pPr>
      <w:r>
        <w:rPr>
          <w:rFonts w:ascii="Times New Roman" w:hAnsi="Times New Roman" w:eastAsia="宋体" w:cs="Times New Roman"/>
          <w:sz w:val="21"/>
          <w:szCs w:val="24"/>
        </w:rPr>
        <w:t>液态时间常数网络（Liquid Time-Constant Network，LTC）是 MIT 研究团队 2021 年提出的一种新型连续时间循环神经网络</w:t>
      </w:r>
      <w:r>
        <w:rPr>
          <w:rFonts w:ascii="Times New Roman" w:hAnsi="Times New Roman" w:eastAsia="宋体" w:cs="Times New Roman"/>
          <w:sz w:val="21"/>
          <w:szCs w:val="24"/>
          <w:vertAlign w:val="superscript"/>
        </w:rPr>
        <w:t>[31,32]</w:t>
      </w:r>
      <w:r>
        <w:rPr>
          <w:rFonts w:ascii="Times New Roman" w:hAnsi="Times New Roman" w:eastAsia="宋体" w:cs="Times New Roman"/>
          <w:sz w:val="21"/>
          <w:szCs w:val="24"/>
        </w:rPr>
        <w:t>。其核心是一个常微分方程：</w:t>
      </w:r>
    </w:p>
    <w:p w14:paraId="7DA7A510">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dx(t)/dt = −[1/τ + f(x(t), I(t), θ)]·x(t) + f(x(t), I(t), θ)·A        (2.4)</w:t>
      </w:r>
    </w:p>
    <w:p w14:paraId="7993EF78">
      <w:pPr>
        <w:pStyle w:val="11"/>
        <w:rPr>
          <w:rFonts w:ascii="Times New Roman" w:hAnsi="Times New Roman" w:eastAsia="宋体" w:cs="Times New Roman"/>
          <w:sz w:val="21"/>
          <w:szCs w:val="24"/>
        </w:rPr>
      </w:pPr>
      <w:r>
        <w:rPr>
          <w:rFonts w:ascii="Times New Roman" w:hAnsi="Times New Roman" w:eastAsia="宋体" w:cs="Times New Roman"/>
          <w:sz w:val="21"/>
          <w:szCs w:val="24"/>
        </w:rPr>
        <w:t>其中：（1）x(t) ∈ ℝᴺ 为神经元的隐藏状态；（2）I(t) 为输入；（3）τ 为可学习的时间常数，控制神经元状态变化的快慢；（4）f(·) 为非线性激活函数（ODE 求解器内置）；（5）θ 为可学习参数；（6）A 为输入缩放因子。</w:t>
      </w:r>
    </w:p>
    <w:p w14:paraId="49D1C992">
      <w:pPr>
        <w:pStyle w:val="11"/>
        <w:rPr>
          <w:rFonts w:ascii="Times New Roman" w:hAnsi="Times New Roman" w:eastAsia="宋体" w:cs="Times New Roman"/>
          <w:sz w:val="21"/>
          <w:szCs w:val="24"/>
        </w:rPr>
      </w:pPr>
      <w:r>
        <w:rPr>
          <w:rFonts w:ascii="Times New Roman" w:hAnsi="Times New Roman" w:eastAsia="宋体" w:cs="Times New Roman"/>
          <w:sz w:val="21"/>
          <w:szCs w:val="24"/>
        </w:rPr>
        <w:t>LTC 具有三大独特优势：（1）连续时间动态：通过 ODE 求解器实现连续时间演化，天然适合连续再生过程；（2）可学习时间常数 τ：τ 本身具有物理意义（系统响应时间尺度），可作为系统动力学的「数据驱动探针」；（3）紧凑的网络结构：相比 LSTM/Transformer，LTC 参数量少 1~2 个数量级，天然适合小样本场景。</w:t>
      </w:r>
    </w:p>
    <w:p w14:paraId="1E6E51C9">
      <w:pPr>
        <w:pStyle w:val="11"/>
        <w:rPr>
          <w:rFonts w:ascii="Times New Roman" w:hAnsi="Times New Roman" w:eastAsia="宋体" w:cs="Times New Roman"/>
          <w:sz w:val="21"/>
          <w:szCs w:val="24"/>
        </w:rPr>
      </w:pPr>
      <w:r>
        <w:t>本文选用 LTC 作为主干网络，正是基于其与颤振「连续时间再生」动力学的更好地匹配性。</w:t>
      </w:r>
    </w:p>
    <w:p w14:paraId="1A0077F1">
      <w:pPr>
        <w:pStyle w:val="4"/>
        <w:keepNext/>
        <w:widowControl/>
        <w:numPr>
          <w:ilvl w:val="0"/>
          <w:numId w:val="0"/>
        </w:numPr>
        <w:ind w:leftChars="0"/>
        <w:rPr>
          <w:b w:val="0"/>
        </w:rPr>
      </w:pPr>
      <w:bookmarkStart w:id="49" w:name="_Toc32195"/>
      <w:bookmarkStart w:id="50" w:name="_Toc17619"/>
      <w:bookmarkStart w:id="51" w:name="_Toc29661"/>
      <w:bookmarkStart w:id="52" w:name="_Toc10121"/>
      <w:r>
        <w:rPr>
          <w:rFonts w:hint="eastAsia"/>
          <w:lang w:eastAsia="zh-CN"/>
        </w:rPr>
        <w:t xml:space="preserve">2.2.3 </w:t>
      </w:r>
      <w:r>
        <w:t>物理引导神经网络框架</w:t>
      </w:r>
      <w:bookmarkEnd w:id="49"/>
      <w:bookmarkEnd w:id="50"/>
      <w:bookmarkEnd w:id="51"/>
      <w:bookmarkEnd w:id="52"/>
    </w:p>
    <w:p w14:paraId="617C9399">
      <w:pPr>
        <w:pStyle w:val="11"/>
        <w:rPr>
          <w:rFonts w:ascii="Times New Roman" w:hAnsi="Times New Roman" w:eastAsia="宋体" w:cs="Times New Roman"/>
          <w:sz w:val="21"/>
          <w:szCs w:val="24"/>
        </w:rPr>
      </w:pPr>
      <w:r>
        <w:rPr>
          <w:rFonts w:ascii="Times New Roman" w:hAnsi="Times New Roman" w:eastAsia="宋体" w:cs="Times New Roman"/>
          <w:sz w:val="21"/>
          <w:szCs w:val="24"/>
        </w:rPr>
        <w:t>Raissi 等</w:t>
      </w:r>
      <w:r>
        <w:rPr>
          <w:rFonts w:ascii="Times New Roman" w:hAnsi="Times New Roman" w:eastAsia="宋体" w:cs="Times New Roman"/>
          <w:sz w:val="21"/>
          <w:szCs w:val="24"/>
          <w:vertAlign w:val="superscript"/>
        </w:rPr>
        <w:t>[5]</w:t>
      </w:r>
      <w:r>
        <w:rPr>
          <w:rFonts w:ascii="Times New Roman" w:hAnsi="Times New Roman" w:eastAsia="宋体" w:cs="Times New Roman"/>
          <w:sz w:val="21"/>
          <w:szCs w:val="24"/>
        </w:rPr>
        <w:t>提出的 PINN 框架将偏微分方程（PDE）残差作为软约束加入损失函数：</w:t>
      </w:r>
    </w:p>
    <w:p w14:paraId="300E3E8D">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L_total = L_data + λ · L_PDE        (2.5)</w:t>
      </w:r>
    </w:p>
    <w:p w14:paraId="77984C9C">
      <w:pPr>
        <w:pStyle w:val="11"/>
        <w:rPr>
          <w:rFonts w:ascii="Times New Roman" w:hAnsi="Times New Roman" w:eastAsia="宋体" w:cs="Times New Roman"/>
          <w:sz w:val="21"/>
          <w:szCs w:val="24"/>
        </w:rPr>
      </w:pPr>
      <w:r>
        <w:rPr>
          <w:rFonts w:ascii="Times New Roman" w:hAnsi="Times New Roman" w:eastAsia="宋体" w:cs="Times New Roman"/>
          <w:sz w:val="21"/>
          <w:szCs w:val="24"/>
        </w:rPr>
        <w:t>Karniadakis 等</w:t>
      </w:r>
      <w:r>
        <w:rPr>
          <w:rFonts w:ascii="Times New Roman" w:hAnsi="Times New Roman" w:eastAsia="宋体" w:cs="Times New Roman"/>
          <w:sz w:val="21"/>
          <w:szCs w:val="24"/>
          <w:vertAlign w:val="superscript"/>
        </w:rPr>
        <w:t>[6]</w:t>
      </w:r>
      <w:r>
        <w:rPr>
          <w:rFonts w:ascii="Times New Roman" w:hAnsi="Times New Roman" w:eastAsia="宋体" w:cs="Times New Roman"/>
          <w:sz w:val="21"/>
          <w:szCs w:val="24"/>
        </w:rPr>
        <w:t>进一步将其推广到参数反演、不确定性量化等问题。Cuomo 等</w:t>
      </w:r>
      <w:r>
        <w:rPr>
          <w:rFonts w:ascii="Times New Roman" w:hAnsi="Times New Roman" w:eastAsia="宋体" w:cs="Times New Roman"/>
          <w:sz w:val="21"/>
          <w:szCs w:val="24"/>
          <w:vertAlign w:val="superscript"/>
        </w:rPr>
        <w:t>[9]</w:t>
      </w:r>
      <w:r>
        <w:rPr>
          <w:rFonts w:ascii="Times New Roman" w:hAnsi="Times New Roman" w:eastAsia="宋体" w:cs="Times New Roman"/>
          <w:sz w:val="21"/>
          <w:szCs w:val="24"/>
        </w:rPr>
        <w:t>系统综述了 PINN 的理论基础、数值稳定性与改进方向。Yu 等</w:t>
      </w:r>
      <w:r>
        <w:rPr>
          <w:rFonts w:ascii="Times New Roman" w:hAnsi="Times New Roman" w:eastAsia="宋体" w:cs="Times New Roman"/>
          <w:sz w:val="21"/>
          <w:szCs w:val="24"/>
          <w:vertAlign w:val="superscript"/>
        </w:rPr>
        <w:t>[7]</w:t>
      </w:r>
      <w:r>
        <w:rPr>
          <w:rFonts w:ascii="Times New Roman" w:hAnsi="Times New Roman" w:eastAsia="宋体" w:cs="Times New Roman"/>
          <w:sz w:val="21"/>
          <w:szCs w:val="24"/>
        </w:rPr>
        <w:t>于 2022 年提出梯度增强 PINN（gPINN），通过在损失函数中加入梯度项 ∂u/∂x 的物理一致性约束，显著提升了对物理场「曲线形态」的拟合精度，本文借鉴其思想在物理损失中引入梯度项。</w:t>
      </w:r>
    </w:p>
    <w:p w14:paraId="208C2061">
      <w:pPr>
        <w:pStyle w:val="11"/>
        <w:rPr>
          <w:rFonts w:ascii="Times New Roman" w:hAnsi="Times New Roman" w:eastAsia="宋体" w:cs="Times New Roman"/>
          <w:sz w:val="21"/>
          <w:szCs w:val="24"/>
        </w:rPr>
      </w:pPr>
      <w:r>
        <w:rPr>
          <w:rFonts w:ascii="Times New Roman" w:hAnsi="Times New Roman" w:eastAsia="宋体" w:cs="Times New Roman"/>
          <w:sz w:val="21"/>
          <w:szCs w:val="24"/>
        </w:rPr>
        <w:t>在颤振领域的应用现状方面，现有 PINN 在颤振领域的工作</w:t>
      </w:r>
      <w:r>
        <w:rPr>
          <w:rFonts w:ascii="Times New Roman" w:hAnsi="Times New Roman" w:eastAsia="宋体" w:cs="Times New Roman"/>
          <w:sz w:val="21"/>
          <w:szCs w:val="24"/>
          <w:vertAlign w:val="superscript"/>
        </w:rPr>
        <w:t>[3,4]</w:t>
      </w:r>
      <w:r>
        <w:rPr>
          <w:rFonts w:ascii="Times New Roman" w:hAnsi="Times New Roman" w:eastAsia="宋体" w:cs="Times New Roman"/>
          <w:sz w:val="21"/>
          <w:szCs w:val="24"/>
        </w:rPr>
        <w:t>普遍使用标准 MLP 作为主干，缺乏对连续时间动力学的建模；且物理约束仅作用于数值层，未涉及梯度层与频域层一致性。本文工作填补了这一空白：在颤振领域同时引入梯度层（受 gPINN 启发）与频域层（本文提出）的三重物理一致性约束。</w:t>
      </w:r>
    </w:p>
    <w:p w14:paraId="3D1C0CEB">
      <w:pPr>
        <w:pStyle w:val="3"/>
        <w:keepNext/>
        <w:widowControl/>
        <w:numPr>
          <w:ilvl w:val="0"/>
          <w:numId w:val="0"/>
        </w:numPr>
        <w:ind w:leftChars="0"/>
        <w:rPr>
          <w:b w:val="0"/>
        </w:rPr>
      </w:pPr>
      <w:bookmarkStart w:id="53" w:name="_Toc10304"/>
      <w:bookmarkStart w:id="54" w:name="_Toc21852"/>
      <w:bookmarkStart w:id="55" w:name="_Toc31380"/>
      <w:bookmarkStart w:id="56" w:name="_Toc23362"/>
      <w:r>
        <w:rPr>
          <w:rFonts w:hint="eastAsia"/>
          <w:lang w:eastAsia="zh-CN"/>
        </w:rPr>
        <w:t xml:space="preserve">2.3 </w:t>
      </w:r>
      <w:r>
        <w:t>本章小结</w:t>
      </w:r>
      <w:bookmarkEnd w:id="53"/>
      <w:bookmarkEnd w:id="54"/>
      <w:bookmarkEnd w:id="55"/>
      <w:bookmarkEnd w:id="56"/>
    </w:p>
    <w:p w14:paraId="55CF84F4">
      <w:pPr>
        <w:pStyle w:val="11"/>
        <w:rPr>
          <w:rFonts w:ascii="Times New Roman" w:hAnsi="Times New Roman" w:eastAsia="宋体" w:cs="Times New Roman"/>
          <w:sz w:val="21"/>
          <w:szCs w:val="24"/>
        </w:rPr>
      </w:pPr>
      <w:r>
        <w:rPr>
          <w:rFonts w:ascii="Times New Roman" w:hAnsi="Times New Roman" w:eastAsia="宋体" w:cs="Times New Roman"/>
          <w:sz w:val="21"/>
          <w:szCs w:val="24"/>
        </w:rPr>
        <w:t>本章阐述了与本文方法相关的三项理论基础：铣削再生颤振的物理机制、液态时间常数网络的常微分方程求解原理、以及物理引导神经网络框架。下一章将基于这些理论基础，详细阐述 DL-LNN 的网络结构与损失函数设计。</w:t>
      </w:r>
    </w:p>
    <w:p w14:paraId="3CF794DC">
      <w:pPr>
        <w:rPr>
          <w:rFonts w:hint="eastAsia"/>
          <w:b/>
          <w:lang w:eastAsia="zh-CN"/>
        </w:rPr>
      </w:pPr>
      <w:bookmarkStart w:id="57" w:name="_Toc3687"/>
      <w:bookmarkStart w:id="58" w:name="_Toc25880"/>
      <w:bookmarkStart w:id="59" w:name="_Toc12655"/>
      <w:r>
        <w:rPr>
          <w:rFonts w:hint="eastAsia"/>
          <w:b/>
          <w:lang w:eastAsia="zh-CN"/>
        </w:rPr>
        <w:br w:type="page"/>
      </w:r>
    </w:p>
    <w:p w14:paraId="326A444E">
      <w:pPr>
        <w:pStyle w:val="2"/>
        <w:keepNext/>
        <w:pageBreakBefore/>
        <w:widowControl/>
        <w:numPr>
          <w:ilvl w:val="0"/>
          <w:numId w:val="0"/>
        </w:numPr>
        <w:ind w:leftChars="0"/>
        <w:jc w:val="center"/>
        <w:rPr>
          <w:b/>
        </w:rPr>
      </w:pPr>
      <w:bookmarkStart w:id="60" w:name="_Toc1658"/>
      <w:r>
        <w:rPr>
          <w:rFonts w:hint="eastAsia"/>
          <w:b/>
          <w:lang w:eastAsia="zh-CN"/>
        </w:rPr>
        <w:t xml:space="preserve">第三章 </w:t>
      </w:r>
      <w:r>
        <w:t>DL-LNN 网络结构与损失函数设计</w:t>
      </w:r>
      <w:bookmarkEnd w:id="57"/>
      <w:bookmarkEnd w:id="58"/>
      <w:bookmarkEnd w:id="59"/>
      <w:bookmarkEnd w:id="60"/>
    </w:p>
    <w:p w14:paraId="70336795">
      <w:pPr>
        <w:pStyle w:val="3"/>
        <w:keepNext/>
        <w:widowControl/>
        <w:numPr>
          <w:ilvl w:val="0"/>
          <w:numId w:val="0"/>
        </w:numPr>
        <w:ind w:leftChars="0"/>
        <w:rPr>
          <w:b w:val="0"/>
        </w:rPr>
      </w:pPr>
      <w:bookmarkStart w:id="61" w:name="_Toc4837"/>
      <w:bookmarkStart w:id="62" w:name="_Toc8303"/>
      <w:bookmarkStart w:id="63" w:name="_Toc26734"/>
      <w:bookmarkStart w:id="64" w:name="_Toc52"/>
      <w:r>
        <w:rPr>
          <w:rFonts w:hint="eastAsia"/>
          <w:lang w:eastAsia="zh-CN"/>
        </w:rPr>
        <w:t xml:space="preserve">3.1 </w:t>
      </w:r>
      <w:r>
        <w:t>引言</w:t>
      </w:r>
      <w:bookmarkEnd w:id="61"/>
      <w:bookmarkEnd w:id="62"/>
      <w:bookmarkEnd w:id="63"/>
      <w:bookmarkEnd w:id="64"/>
    </w:p>
    <w:p w14:paraId="4082B306">
      <w:pPr>
        <w:pStyle w:val="11"/>
        <w:rPr>
          <w:rFonts w:ascii="Times New Roman" w:hAnsi="Times New Roman" w:eastAsia="宋体" w:cs="Times New Roman"/>
          <w:sz w:val="21"/>
          <w:szCs w:val="24"/>
        </w:rPr>
      </w:pPr>
      <w:r>
        <w:rPr>
          <w:rFonts w:ascii="Times New Roman" w:hAnsi="Times New Roman" w:eastAsia="宋体" w:cs="Times New Roman"/>
          <w:sz w:val="21"/>
          <w:szCs w:val="24"/>
        </w:rPr>
        <w:t>本章详细阐述 DL-LNN 的网络结构与损失函数设计。整体框架如图 1 所示：输入特征（切削参数 v、f、ap，材料属性，刀具几何等）经编码后同时送入两个并行分支——基于液态时间常数的物理残差学习器与解析物理分支。两分支输出经门控融合后得到最终极限切深预测。训练过程中，模型受三层物理损失联合监督：数值层 L_phys、梯度层 L_pcc、频域层 L_freq。</w:t>
      </w:r>
    </w:p>
    <w:p w14:paraId="5396270A">
      <w:pPr>
        <w:pStyle w:val="11"/>
        <w:rPr>
          <w:rFonts w:ascii="Times New Roman" w:hAnsi="Times New Roman" w:eastAsia="宋体" w:cs="Times New Roman"/>
          <w:sz w:val="21"/>
          <w:szCs w:val="24"/>
        </w:rPr>
      </w:pPr>
      <w:r>
        <w:rPr>
          <w:rFonts w:ascii="Times New Roman" w:hAnsi="Times New Roman" w:eastAsia="宋体" w:cs="Times New Roman"/>
          <w:sz w:val="21"/>
          <w:szCs w:val="24"/>
        </w:rPr>
        <w:t>为方便后续引用，本文使用的核心符号见表 1。</w:t>
      </w:r>
    </w:p>
    <w:p w14:paraId="236EE28E">
      <w:pPr>
        <w:pStyle w:val="47"/>
      </w:pPr>
      <w:r>
        <w:t>表 1 本文使用的主要符号</w:t>
      </w:r>
    </w:p>
    <w:tbl>
      <w:tblPr>
        <w:tblStyle w:val="62"/>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3010"/>
        <w:gridCol w:w="3004"/>
        <w:gridCol w:w="3012"/>
      </w:tblGrid>
      <w:tr w14:paraId="125A6F2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single" w:color="auto" w:sz="12" w:space="0"/>
              <w:left w:val="nil"/>
              <w:bottom w:val="single" w:color="auto" w:sz="4" w:space="0"/>
              <w:right w:val="nil"/>
            </w:tcBorders>
            <w:shd w:val="clear" w:color="auto" w:fill="auto"/>
            <w:vAlign w:val="top"/>
          </w:tcPr>
          <w:p w14:paraId="4741952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符号</w:t>
            </w:r>
          </w:p>
        </w:tc>
        <w:tc>
          <w:tcPr>
            <w:tcW w:w="3075" w:type="dxa"/>
            <w:tcBorders>
              <w:top w:val="single" w:color="auto" w:sz="12" w:space="0"/>
              <w:left w:val="nil"/>
              <w:bottom w:val="single" w:color="auto" w:sz="4" w:space="0"/>
              <w:right w:val="nil"/>
            </w:tcBorders>
            <w:shd w:val="clear" w:color="auto" w:fill="auto"/>
            <w:vAlign w:val="top"/>
          </w:tcPr>
          <w:p w14:paraId="102B416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含义</w:t>
            </w:r>
          </w:p>
        </w:tc>
        <w:tc>
          <w:tcPr>
            <w:tcW w:w="3076" w:type="dxa"/>
            <w:tcBorders>
              <w:top w:val="single" w:color="auto" w:sz="12" w:space="0"/>
              <w:left w:val="nil"/>
              <w:bottom w:val="single" w:color="auto" w:sz="4" w:space="0"/>
              <w:right w:val="nil"/>
            </w:tcBorders>
            <w:shd w:val="clear" w:color="auto" w:fill="auto"/>
            <w:vAlign w:val="top"/>
          </w:tcPr>
          <w:p w14:paraId="3A2C0CC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单位</w:t>
            </w:r>
          </w:p>
        </w:tc>
      </w:tr>
      <w:tr w14:paraId="51E10CC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1958AD2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x(t), x(t</w:t>
            </w:r>
            <w:r>
              <w:rPr>
                <w:rFonts w:hint="default" w:ascii="Cambria Math" w:hAnsi="Cambria Math" w:eastAsia="宋体" w:cs="Cambria Math"/>
                <w:kern w:val="0"/>
                <w:sz w:val="18"/>
                <w:szCs w:val="28"/>
                <w:lang w:val="en-US" w:eastAsia="zh-CN" w:bidi="ar"/>
              </w:rPr>
              <w:t>−</w:t>
            </w:r>
            <w:r>
              <w:rPr>
                <w:rFonts w:hint="eastAsia" w:ascii="宋体" w:hAnsi="宋体" w:eastAsia="宋体" w:cs="宋体"/>
                <w:kern w:val="0"/>
                <w:sz w:val="18"/>
                <w:szCs w:val="28"/>
                <w:lang w:val="en-US" w:eastAsia="zh-CN" w:bidi="ar"/>
              </w:rPr>
              <w:t>T)</w:t>
            </w:r>
          </w:p>
        </w:tc>
        <w:tc>
          <w:tcPr>
            <w:tcW w:w="3075" w:type="dxa"/>
            <w:tcBorders>
              <w:top w:val="nil"/>
              <w:left w:val="nil"/>
              <w:bottom w:val="nil"/>
              <w:right w:val="nil"/>
            </w:tcBorders>
            <w:shd w:val="clear" w:color="auto" w:fill="auto"/>
            <w:vAlign w:val="top"/>
          </w:tcPr>
          <w:p w14:paraId="057F9011">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当前与上一转刀具的振动位移</w:t>
            </w:r>
          </w:p>
        </w:tc>
        <w:tc>
          <w:tcPr>
            <w:tcW w:w="3076" w:type="dxa"/>
            <w:tcBorders>
              <w:top w:val="nil"/>
              <w:left w:val="nil"/>
              <w:bottom w:val="nil"/>
              <w:right w:val="nil"/>
            </w:tcBorders>
            <w:shd w:val="clear" w:color="auto" w:fill="auto"/>
            <w:vAlign w:val="top"/>
          </w:tcPr>
          <w:p w14:paraId="632AE4A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m</w:t>
            </w:r>
          </w:p>
        </w:tc>
      </w:tr>
      <w:tr w14:paraId="31189C52">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038B80B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T</w:t>
            </w:r>
          </w:p>
        </w:tc>
        <w:tc>
          <w:tcPr>
            <w:tcW w:w="3075" w:type="dxa"/>
            <w:tcBorders>
              <w:top w:val="nil"/>
              <w:left w:val="nil"/>
              <w:bottom w:val="nil"/>
              <w:right w:val="nil"/>
            </w:tcBorders>
            <w:shd w:val="clear" w:color="auto" w:fill="auto"/>
            <w:vAlign w:val="top"/>
          </w:tcPr>
          <w:p w14:paraId="6BDD11D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刀齿旋转周期</w:t>
            </w:r>
          </w:p>
        </w:tc>
        <w:tc>
          <w:tcPr>
            <w:tcW w:w="3076" w:type="dxa"/>
            <w:tcBorders>
              <w:top w:val="nil"/>
              <w:left w:val="nil"/>
              <w:bottom w:val="nil"/>
              <w:right w:val="nil"/>
            </w:tcBorders>
            <w:shd w:val="clear" w:color="auto" w:fill="auto"/>
            <w:vAlign w:val="top"/>
          </w:tcPr>
          <w:p w14:paraId="326FEA7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s</w:t>
            </w:r>
          </w:p>
        </w:tc>
      </w:tr>
      <w:tr w14:paraId="09394F1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6F7DBFF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n</w:t>
            </w:r>
          </w:p>
        </w:tc>
        <w:tc>
          <w:tcPr>
            <w:tcW w:w="3075" w:type="dxa"/>
            <w:tcBorders>
              <w:top w:val="nil"/>
              <w:left w:val="nil"/>
              <w:bottom w:val="nil"/>
              <w:right w:val="nil"/>
            </w:tcBorders>
            <w:shd w:val="clear" w:color="auto" w:fill="auto"/>
            <w:vAlign w:val="top"/>
          </w:tcPr>
          <w:p w14:paraId="3D1B3C4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主轴转速</w:t>
            </w:r>
          </w:p>
        </w:tc>
        <w:tc>
          <w:tcPr>
            <w:tcW w:w="3076" w:type="dxa"/>
            <w:tcBorders>
              <w:top w:val="nil"/>
              <w:left w:val="nil"/>
              <w:bottom w:val="nil"/>
              <w:right w:val="nil"/>
            </w:tcBorders>
            <w:shd w:val="clear" w:color="auto" w:fill="auto"/>
            <w:vAlign w:val="top"/>
          </w:tcPr>
          <w:p w14:paraId="09DE26E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r/min</w:t>
            </w:r>
          </w:p>
        </w:tc>
      </w:tr>
      <w:tr w14:paraId="5016649D">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305BE6DA">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f</w:t>
            </w:r>
          </w:p>
        </w:tc>
        <w:tc>
          <w:tcPr>
            <w:tcW w:w="3075" w:type="dxa"/>
            <w:tcBorders>
              <w:top w:val="nil"/>
              <w:left w:val="nil"/>
              <w:bottom w:val="nil"/>
              <w:right w:val="nil"/>
            </w:tcBorders>
            <w:shd w:val="clear" w:color="auto" w:fill="auto"/>
            <w:vAlign w:val="top"/>
          </w:tcPr>
          <w:p w14:paraId="3934354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颤振频率</w:t>
            </w:r>
          </w:p>
        </w:tc>
        <w:tc>
          <w:tcPr>
            <w:tcW w:w="3076" w:type="dxa"/>
            <w:tcBorders>
              <w:top w:val="nil"/>
              <w:left w:val="nil"/>
              <w:bottom w:val="nil"/>
              <w:right w:val="nil"/>
            </w:tcBorders>
            <w:shd w:val="clear" w:color="auto" w:fill="auto"/>
            <w:vAlign w:val="top"/>
          </w:tcPr>
          <w:p w14:paraId="0BD0B98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Hz</w:t>
            </w:r>
          </w:p>
        </w:tc>
      </w:tr>
      <w:tr w14:paraId="02B8F2B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3782560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a_lim</w:t>
            </w:r>
          </w:p>
        </w:tc>
        <w:tc>
          <w:tcPr>
            <w:tcW w:w="3075" w:type="dxa"/>
            <w:tcBorders>
              <w:top w:val="nil"/>
              <w:left w:val="nil"/>
              <w:bottom w:val="nil"/>
              <w:right w:val="nil"/>
            </w:tcBorders>
            <w:shd w:val="clear" w:color="auto" w:fill="auto"/>
            <w:vAlign w:val="top"/>
          </w:tcPr>
          <w:p w14:paraId="0B45ABD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极限切深</w:t>
            </w:r>
          </w:p>
        </w:tc>
        <w:tc>
          <w:tcPr>
            <w:tcW w:w="3076" w:type="dxa"/>
            <w:tcBorders>
              <w:top w:val="nil"/>
              <w:left w:val="nil"/>
              <w:bottom w:val="nil"/>
              <w:right w:val="nil"/>
            </w:tcBorders>
            <w:shd w:val="clear" w:color="auto" w:fill="auto"/>
            <w:vAlign w:val="top"/>
          </w:tcPr>
          <w:p w14:paraId="06CF8EA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mm</w:t>
            </w:r>
          </w:p>
        </w:tc>
      </w:tr>
      <w:tr w14:paraId="7CA52C7E">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228823F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m, c, k</w:t>
            </w:r>
          </w:p>
        </w:tc>
        <w:tc>
          <w:tcPr>
            <w:tcW w:w="3075" w:type="dxa"/>
            <w:tcBorders>
              <w:top w:val="nil"/>
              <w:left w:val="nil"/>
              <w:bottom w:val="nil"/>
              <w:right w:val="nil"/>
            </w:tcBorders>
            <w:shd w:val="clear" w:color="auto" w:fill="auto"/>
            <w:vAlign w:val="top"/>
          </w:tcPr>
          <w:p w14:paraId="2970F33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模态质量、阻尼、刚度</w:t>
            </w:r>
          </w:p>
        </w:tc>
        <w:tc>
          <w:tcPr>
            <w:tcW w:w="3076" w:type="dxa"/>
            <w:tcBorders>
              <w:top w:val="nil"/>
              <w:left w:val="nil"/>
              <w:bottom w:val="nil"/>
              <w:right w:val="nil"/>
            </w:tcBorders>
            <w:shd w:val="clear" w:color="auto" w:fill="auto"/>
            <w:vAlign w:val="top"/>
          </w:tcPr>
          <w:p w14:paraId="4C421B4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kg, N·s/m, N/m</w:t>
            </w:r>
          </w:p>
        </w:tc>
      </w:tr>
      <w:tr w14:paraId="4783E853">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1B9A67BA">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ζ</w:t>
            </w:r>
          </w:p>
        </w:tc>
        <w:tc>
          <w:tcPr>
            <w:tcW w:w="3075" w:type="dxa"/>
            <w:tcBorders>
              <w:top w:val="nil"/>
              <w:left w:val="nil"/>
              <w:bottom w:val="nil"/>
              <w:right w:val="nil"/>
            </w:tcBorders>
            <w:shd w:val="clear" w:color="auto" w:fill="auto"/>
            <w:vAlign w:val="top"/>
          </w:tcPr>
          <w:p w14:paraId="3912FC6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阻尼比（无量纲）</w:t>
            </w:r>
          </w:p>
        </w:tc>
        <w:tc>
          <w:tcPr>
            <w:tcW w:w="3076" w:type="dxa"/>
            <w:tcBorders>
              <w:top w:val="nil"/>
              <w:left w:val="nil"/>
              <w:bottom w:val="nil"/>
              <w:right w:val="nil"/>
            </w:tcBorders>
            <w:shd w:val="clear" w:color="auto" w:fill="auto"/>
            <w:vAlign w:val="top"/>
          </w:tcPr>
          <w:p w14:paraId="787B5FD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w:t>
            </w:r>
          </w:p>
        </w:tc>
      </w:tr>
      <w:tr w14:paraId="565D41D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5ADD670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ω</w:t>
            </w:r>
            <w:r>
              <w:rPr>
                <w:rFonts w:hint="default" w:ascii="Cambria Math" w:hAnsi="Cambria Math" w:eastAsia="宋体" w:cs="Cambria Math"/>
                <w:kern w:val="0"/>
                <w:sz w:val="18"/>
                <w:szCs w:val="28"/>
                <w:lang w:val="en-US" w:eastAsia="zh-CN" w:bidi="ar"/>
              </w:rPr>
              <w:t>ₙ</w:t>
            </w:r>
          </w:p>
        </w:tc>
        <w:tc>
          <w:tcPr>
            <w:tcW w:w="3075" w:type="dxa"/>
            <w:tcBorders>
              <w:top w:val="nil"/>
              <w:left w:val="nil"/>
              <w:bottom w:val="nil"/>
              <w:right w:val="nil"/>
            </w:tcBorders>
            <w:shd w:val="clear" w:color="auto" w:fill="auto"/>
            <w:vAlign w:val="top"/>
          </w:tcPr>
          <w:p w14:paraId="02D85FB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机床固有频率</w:t>
            </w:r>
          </w:p>
        </w:tc>
        <w:tc>
          <w:tcPr>
            <w:tcW w:w="3076" w:type="dxa"/>
            <w:tcBorders>
              <w:top w:val="nil"/>
              <w:left w:val="nil"/>
              <w:bottom w:val="nil"/>
              <w:right w:val="nil"/>
            </w:tcBorders>
            <w:shd w:val="clear" w:color="auto" w:fill="auto"/>
            <w:vAlign w:val="top"/>
          </w:tcPr>
          <w:p w14:paraId="00E07AB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rad/s</w:t>
            </w:r>
          </w:p>
        </w:tc>
      </w:tr>
      <w:tr w14:paraId="1F8B65CD">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6662698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K_s</w:t>
            </w:r>
          </w:p>
        </w:tc>
        <w:tc>
          <w:tcPr>
            <w:tcW w:w="3075" w:type="dxa"/>
            <w:tcBorders>
              <w:top w:val="nil"/>
              <w:left w:val="nil"/>
              <w:bottom w:val="nil"/>
              <w:right w:val="nil"/>
            </w:tcBorders>
            <w:shd w:val="clear" w:color="auto" w:fill="auto"/>
            <w:vAlign w:val="top"/>
          </w:tcPr>
          <w:p w14:paraId="1E447C77">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切削力系数</w:t>
            </w:r>
          </w:p>
        </w:tc>
        <w:tc>
          <w:tcPr>
            <w:tcW w:w="3076" w:type="dxa"/>
            <w:tcBorders>
              <w:top w:val="nil"/>
              <w:left w:val="nil"/>
              <w:bottom w:val="nil"/>
              <w:right w:val="nil"/>
            </w:tcBorders>
            <w:shd w:val="clear" w:color="auto" w:fill="auto"/>
            <w:vAlign w:val="top"/>
          </w:tcPr>
          <w:p w14:paraId="7AC5E4CA">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N/mm²</w:t>
            </w:r>
          </w:p>
        </w:tc>
      </w:tr>
      <w:tr w14:paraId="4316967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67D5B31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τ</w:t>
            </w:r>
          </w:p>
        </w:tc>
        <w:tc>
          <w:tcPr>
            <w:tcW w:w="3075" w:type="dxa"/>
            <w:tcBorders>
              <w:top w:val="nil"/>
              <w:left w:val="nil"/>
              <w:bottom w:val="nil"/>
              <w:right w:val="nil"/>
            </w:tcBorders>
            <w:shd w:val="clear" w:color="auto" w:fill="auto"/>
            <w:vAlign w:val="top"/>
          </w:tcPr>
          <w:p w14:paraId="6BC80FF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LTC 时间常数</w:t>
            </w:r>
          </w:p>
        </w:tc>
        <w:tc>
          <w:tcPr>
            <w:tcW w:w="3076" w:type="dxa"/>
            <w:tcBorders>
              <w:top w:val="nil"/>
              <w:left w:val="nil"/>
              <w:bottom w:val="nil"/>
              <w:right w:val="nil"/>
            </w:tcBorders>
            <w:shd w:val="clear" w:color="auto" w:fill="auto"/>
            <w:vAlign w:val="top"/>
          </w:tcPr>
          <w:p w14:paraId="096C069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s</w:t>
            </w:r>
          </w:p>
        </w:tc>
      </w:tr>
      <w:tr w14:paraId="331E315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2B13595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α</w:t>
            </w:r>
          </w:p>
        </w:tc>
        <w:tc>
          <w:tcPr>
            <w:tcW w:w="3075" w:type="dxa"/>
            <w:tcBorders>
              <w:top w:val="nil"/>
              <w:left w:val="nil"/>
              <w:bottom w:val="nil"/>
              <w:right w:val="nil"/>
            </w:tcBorders>
            <w:shd w:val="clear" w:color="auto" w:fill="auto"/>
            <w:vAlign w:val="top"/>
          </w:tcPr>
          <w:p w14:paraId="58C63BE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延迟耦合系数（可学习）</w:t>
            </w:r>
          </w:p>
        </w:tc>
        <w:tc>
          <w:tcPr>
            <w:tcW w:w="3076" w:type="dxa"/>
            <w:tcBorders>
              <w:top w:val="nil"/>
              <w:left w:val="nil"/>
              <w:bottom w:val="nil"/>
              <w:right w:val="nil"/>
            </w:tcBorders>
            <w:shd w:val="clear" w:color="auto" w:fill="auto"/>
            <w:vAlign w:val="top"/>
          </w:tcPr>
          <w:p w14:paraId="6814654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w:t>
            </w:r>
          </w:p>
        </w:tc>
      </w:tr>
      <w:tr w14:paraId="5BABEB7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nil"/>
              <w:right w:val="nil"/>
            </w:tcBorders>
            <w:shd w:val="clear" w:color="auto" w:fill="auto"/>
            <w:vAlign w:val="top"/>
          </w:tcPr>
          <w:p w14:paraId="4580210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g</w:t>
            </w:r>
          </w:p>
        </w:tc>
        <w:tc>
          <w:tcPr>
            <w:tcW w:w="3075" w:type="dxa"/>
            <w:tcBorders>
              <w:top w:val="nil"/>
              <w:left w:val="nil"/>
              <w:bottom w:val="nil"/>
              <w:right w:val="nil"/>
            </w:tcBorders>
            <w:shd w:val="clear" w:color="auto" w:fill="auto"/>
            <w:vAlign w:val="top"/>
          </w:tcPr>
          <w:p w14:paraId="48CBDE9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门控融合系数</w:t>
            </w:r>
          </w:p>
        </w:tc>
        <w:tc>
          <w:tcPr>
            <w:tcW w:w="3076" w:type="dxa"/>
            <w:tcBorders>
              <w:top w:val="nil"/>
              <w:left w:val="nil"/>
              <w:bottom w:val="nil"/>
              <w:right w:val="nil"/>
            </w:tcBorders>
            <w:shd w:val="clear" w:color="auto" w:fill="auto"/>
            <w:vAlign w:val="top"/>
          </w:tcPr>
          <w:p w14:paraId="41709E9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w:t>
            </w:r>
          </w:p>
        </w:tc>
      </w:tr>
      <w:tr w14:paraId="532652FB">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3075" w:type="dxa"/>
            <w:tcBorders>
              <w:top w:val="nil"/>
              <w:left w:val="nil"/>
              <w:bottom w:val="single" w:color="auto" w:sz="12" w:space="0"/>
              <w:right w:val="nil"/>
            </w:tcBorders>
            <w:shd w:val="clear" w:color="auto" w:fill="auto"/>
            <w:vAlign w:val="top"/>
          </w:tcPr>
          <w:p w14:paraId="00EF9B4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λ</w:t>
            </w:r>
            <w:r>
              <w:rPr>
                <w:rFonts w:hint="default" w:ascii="Cambria Math" w:hAnsi="Cambria Math" w:eastAsia="宋体" w:cs="Cambria Math"/>
                <w:kern w:val="0"/>
                <w:sz w:val="18"/>
                <w:szCs w:val="28"/>
                <w:lang w:val="en-US" w:eastAsia="zh-CN" w:bidi="ar"/>
              </w:rPr>
              <w:t>₁</w:t>
            </w:r>
            <w:r>
              <w:rPr>
                <w:rFonts w:hint="eastAsia" w:ascii="宋体" w:hAnsi="宋体" w:eastAsia="宋体" w:cs="宋体"/>
                <w:kern w:val="0"/>
                <w:sz w:val="18"/>
                <w:szCs w:val="28"/>
                <w:lang w:val="en-US" w:eastAsia="zh-CN" w:bidi="ar"/>
              </w:rPr>
              <w:t>, λ</w:t>
            </w:r>
            <w:r>
              <w:rPr>
                <w:rFonts w:hint="default" w:ascii="Cambria Math" w:hAnsi="Cambria Math" w:eastAsia="宋体" w:cs="Cambria Math"/>
                <w:kern w:val="0"/>
                <w:sz w:val="18"/>
                <w:szCs w:val="28"/>
                <w:lang w:val="en-US" w:eastAsia="zh-CN" w:bidi="ar"/>
              </w:rPr>
              <w:t>₂</w:t>
            </w:r>
            <w:r>
              <w:rPr>
                <w:rFonts w:hint="eastAsia" w:ascii="宋体" w:hAnsi="宋体" w:eastAsia="宋体" w:cs="宋体"/>
                <w:kern w:val="0"/>
                <w:sz w:val="18"/>
                <w:szCs w:val="28"/>
                <w:lang w:val="en-US" w:eastAsia="zh-CN" w:bidi="ar"/>
              </w:rPr>
              <w:t>, λ</w:t>
            </w:r>
            <w:r>
              <w:rPr>
                <w:rFonts w:hint="default" w:ascii="Cambria Math" w:hAnsi="Cambria Math" w:eastAsia="宋体" w:cs="Cambria Math"/>
                <w:kern w:val="0"/>
                <w:sz w:val="18"/>
                <w:szCs w:val="28"/>
                <w:lang w:val="en-US" w:eastAsia="zh-CN" w:bidi="ar"/>
              </w:rPr>
              <w:t>₃</w:t>
            </w:r>
          </w:p>
        </w:tc>
        <w:tc>
          <w:tcPr>
            <w:tcW w:w="3075" w:type="dxa"/>
            <w:tcBorders>
              <w:top w:val="nil"/>
              <w:left w:val="nil"/>
              <w:bottom w:val="single" w:color="auto" w:sz="12" w:space="0"/>
              <w:right w:val="nil"/>
            </w:tcBorders>
            <w:shd w:val="clear" w:color="auto" w:fill="auto"/>
            <w:vAlign w:val="top"/>
          </w:tcPr>
          <w:p w14:paraId="4C9CF1A7">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三层物理损失权重</w:t>
            </w:r>
          </w:p>
        </w:tc>
        <w:tc>
          <w:tcPr>
            <w:tcW w:w="3076" w:type="dxa"/>
            <w:tcBorders>
              <w:top w:val="nil"/>
              <w:left w:val="nil"/>
              <w:bottom w:val="single" w:color="auto" w:sz="12" w:space="0"/>
              <w:right w:val="nil"/>
            </w:tcBorders>
            <w:shd w:val="clear" w:color="auto" w:fill="auto"/>
            <w:vAlign w:val="top"/>
          </w:tcPr>
          <w:p w14:paraId="7B59703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w:t>
            </w:r>
          </w:p>
        </w:tc>
      </w:tr>
    </w:tbl>
    <w:p w14:paraId="120B7F08">
      <w:pPr>
        <w:pStyle w:val="43"/>
      </w:pPr>
      <w:r>
        <w:t>图 1 DL-LNN 整体架构</w:t>
      </w:r>
    </w:p>
    <w:p w14:paraId="58054DBE">
      <w:r>
        <w:t>[图片待补充：请在此处插入对应的实验结果图]</w:t>
      </w:r>
    </w:p>
    <w:p w14:paraId="402F871C">
      <w:pPr>
        <w:pStyle w:val="11"/>
        <w:rPr>
          <w:rFonts w:ascii="Times New Roman" w:hAnsi="Times New Roman" w:eastAsia="宋体" w:cs="Times New Roman"/>
          <w:sz w:val="21"/>
          <w:szCs w:val="24"/>
        </w:rPr>
      </w:pPr>
      <w:r>
        <w:rPr>
          <w:rFonts w:ascii="Times New Roman" w:hAnsi="Times New Roman" w:eastAsia="宋体" w:cs="Times New Roman"/>
          <w:sz w:val="21"/>
          <w:szCs w:val="24"/>
        </w:rPr>
        <w:t>注：编码层输出 64 维嵌入向量 e，分别送入 基于液态时间常数的物理残差学习器（ODE 求解）与解析物理分支（Tlusty 公式），经门控融合后输出 ŷ_final。训练时三层物理损失联合监督。</w:t>
      </w:r>
      <w:bookmarkStart w:id="65" w:name="_Toc23290"/>
      <w:bookmarkStart w:id="66" w:name="_Toc31947"/>
    </w:p>
    <w:p w14:paraId="6F9BD551">
      <w:pPr>
        <w:pStyle w:val="3"/>
        <w:keepNext/>
        <w:numPr>
          <w:ilvl w:val="0"/>
          <w:numId w:val="0"/>
        </w:numPr>
        <w:ind w:leftChars="0"/>
        <w:rPr>
          <w:b w:val="0"/>
        </w:rPr>
      </w:pPr>
      <w:bookmarkStart w:id="67" w:name="_Toc24507"/>
      <w:r>
        <w:rPr>
          <w:rFonts w:hint="eastAsia"/>
          <w:lang w:eastAsia="zh-CN"/>
        </w:rPr>
        <w:t xml:space="preserve">3.2 </w:t>
      </w:r>
      <w:r>
        <w:t>网络整体结构</w:t>
      </w:r>
      <w:bookmarkEnd w:id="65"/>
      <w:bookmarkEnd w:id="66"/>
      <w:bookmarkEnd w:id="67"/>
    </w:p>
    <w:p w14:paraId="07DB5295">
      <w:pPr>
        <w:pStyle w:val="4"/>
        <w:keepNext/>
        <w:widowControl/>
        <w:numPr>
          <w:ilvl w:val="0"/>
          <w:numId w:val="0"/>
        </w:numPr>
        <w:ind w:leftChars="0"/>
        <w:rPr>
          <w:b w:val="0"/>
        </w:rPr>
      </w:pPr>
      <w:bookmarkStart w:id="68" w:name="_Toc4750"/>
      <w:bookmarkStart w:id="69" w:name="_Toc17660"/>
      <w:bookmarkStart w:id="70" w:name="_Toc23462"/>
      <w:bookmarkStart w:id="71" w:name="_Toc1161"/>
      <w:r>
        <w:rPr>
          <w:rFonts w:hint="eastAsia"/>
          <w:lang w:eastAsia="zh-CN"/>
        </w:rPr>
        <w:t xml:space="preserve">3.2.1 </w:t>
      </w:r>
      <w:r>
        <w:t>输入编码层</w:t>
      </w:r>
      <w:bookmarkEnd w:id="68"/>
      <w:bookmarkEnd w:id="69"/>
      <w:bookmarkEnd w:id="70"/>
      <w:bookmarkEnd w:id="71"/>
    </w:p>
    <w:p w14:paraId="6BA32B78">
      <w:pPr>
        <w:pStyle w:val="11"/>
        <w:rPr>
          <w:rFonts w:ascii="Times New Roman" w:hAnsi="Times New Roman" w:eastAsia="宋体" w:cs="Times New Roman"/>
          <w:sz w:val="21"/>
          <w:szCs w:val="24"/>
        </w:rPr>
      </w:pPr>
      <w:r>
        <w:rPr>
          <w:rFonts w:ascii="Times New Roman" w:hAnsi="Times New Roman" w:eastAsia="宋体" w:cs="Times New Roman"/>
          <w:sz w:val="21"/>
          <w:szCs w:val="24"/>
        </w:rPr>
        <w:t>输入编码层将原始切削参数映射为高维特征向量。对于给定工况，输入特征 x ∈ ℝ⁸ 包括：（1）主轴转速 n（r/min）；（2）每齿进给量 fz（mm/z）；（3）径向切深 ae（mm）；（4）轴向切深 ap（mm）；（5）切削力系数 Kₛ（N/mm²）；（6）模态刚度 k（N/μm，工程常用单位，馈入解析分支前换算为 N/m）；（7）模态质量 m（kg）；（8）阻尼比 ζ（无量纲）。</w:t>
      </w:r>
    </w:p>
    <w:p w14:paraId="0295B982">
      <w:pPr>
        <w:pStyle w:val="11"/>
        <w:rPr>
          <w:rFonts w:ascii="Times New Roman" w:hAnsi="Times New Roman" w:eastAsia="宋体" w:cs="Times New Roman"/>
          <w:sz w:val="21"/>
          <w:szCs w:val="24"/>
        </w:rPr>
      </w:pPr>
      <w:r>
        <w:rPr>
          <w:rFonts w:ascii="Times New Roman" w:hAnsi="Times New Roman" w:eastAsia="宋体" w:cs="Times New Roman"/>
          <w:sz w:val="21"/>
          <w:szCs w:val="24"/>
        </w:rPr>
        <w:t>单位换算约定：工程现场采集的模态刚度 k 通常以 N/μm 为单位（数值更直观），但解析物理分支（式 (2.3)）要求 k 与 m·ω² 在同一 SI 单位制下进行运算。因此在数据馈入解析分支时统一将 k 由 N/μm 换算为 N/m（乘以 10⁶），模态质量 m、阻尼 c 保持 SI 基本单位。该约定在第 2.2.1 节末尾已作总说明，本节特此重申，避免后续实现时出现单位混用。</w:t>
      </w:r>
    </w:p>
    <w:p w14:paraId="795BB6C6">
      <w:pPr>
        <w:pStyle w:val="11"/>
        <w:rPr>
          <w:rFonts w:ascii="Times New Roman" w:hAnsi="Times New Roman" w:eastAsia="宋体" w:cs="Times New Roman"/>
          <w:sz w:val="21"/>
          <w:szCs w:val="24"/>
        </w:rPr>
      </w:pPr>
      <w:r>
        <w:rPr>
          <w:rFonts w:ascii="Times New Roman" w:hAnsi="Times New Roman" w:eastAsia="宋体" w:cs="Times New Roman"/>
          <w:sz w:val="21"/>
          <w:szCs w:val="24"/>
        </w:rPr>
        <w:t>这 8 个特征的选择依据如下：前 4 项（n, fz, ae, ap）为工艺侧可控的切削参数，后 4 项（Kₛ, k, m, ζ）为机床与工件本征的物理参数。两者合在一起恰好构成 Tlusty 解析公式 (2.3) 的全部输入量——任何一项缺失都会导致第 3.2.3 节的解析物理分支无法闭合，物理先验也就无从嵌入。这一设计确保 DL-LNN 在数据驱动与解析物理两条分支上输入空间完全对齐，使门控融合层 (3.4) 的加权具有可比性。</w:t>
      </w:r>
    </w:p>
    <w:p w14:paraId="752416BA">
      <w:pPr>
        <w:pStyle w:val="11"/>
        <w:rPr>
          <w:rFonts w:ascii="Times New Roman" w:hAnsi="Times New Roman" w:eastAsia="宋体" w:cs="Times New Roman"/>
          <w:sz w:val="21"/>
          <w:szCs w:val="24"/>
        </w:rPr>
      </w:pPr>
      <w:r>
        <w:rPr>
          <w:rFonts w:ascii="Times New Roman" w:hAnsi="Times New Roman" w:eastAsia="宋体" w:cs="Times New Roman"/>
          <w:sz w:val="21"/>
          <w:szCs w:val="24"/>
        </w:rPr>
        <w:t>特征通过两层全连接网络（隐藏维度 32，使用 ReLU 激活）编码为 64 维嵌入向量 e ∈ ℝ⁶⁴。</w:t>
      </w:r>
    </w:p>
    <w:p w14:paraId="0C847845">
      <w:pPr>
        <w:pStyle w:val="4"/>
        <w:keepNext/>
        <w:widowControl/>
        <w:numPr>
          <w:ilvl w:val="0"/>
          <w:numId w:val="0"/>
        </w:numPr>
        <w:ind w:leftChars="0"/>
        <w:rPr>
          <w:b w:val="0"/>
        </w:rPr>
      </w:pPr>
      <w:bookmarkStart w:id="72" w:name="_Toc27182"/>
      <w:bookmarkStart w:id="73" w:name="_Toc24484"/>
      <w:bookmarkStart w:id="74" w:name="_Toc22159"/>
      <w:bookmarkStart w:id="75" w:name="_Toc32547"/>
      <w:r>
        <w:rPr>
          <w:rFonts w:hint="eastAsia"/>
          <w:lang w:eastAsia="zh-CN"/>
        </w:rPr>
        <w:t xml:space="preserve">3.2.2 </w:t>
      </w:r>
      <w:r>
        <w:t>DL-LTC 数据驱动分支</w:t>
      </w:r>
      <w:bookmarkEnd w:id="72"/>
      <w:bookmarkEnd w:id="73"/>
      <w:bookmarkEnd w:id="74"/>
      <w:bookmarkEnd w:id="75"/>
    </w:p>
    <w:p w14:paraId="0FCCF78A">
      <w:pPr>
        <w:pStyle w:val="11"/>
        <w:rPr>
          <w:rFonts w:ascii="Times New Roman" w:hAnsi="Times New Roman" w:eastAsia="宋体" w:cs="Times New Roman"/>
          <w:sz w:val="21"/>
          <w:szCs w:val="24"/>
        </w:rPr>
      </w:pPr>
      <w:r>
        <w:rPr>
          <w:rFonts w:ascii="Times New Roman" w:hAnsi="Times New Roman" w:eastAsia="宋体" w:cs="Times New Roman"/>
          <w:sz w:val="21"/>
          <w:szCs w:val="24"/>
        </w:rPr>
        <w:t>DL-LTC 分支是本文方法的核心创新之一。其核心思想是：在 LTC 神经元的常微分方程中显式引入刀齿周期 T 构造时滞连接。标准的 LTC 神经元方程为：</w:t>
      </w:r>
    </w:p>
    <w:p w14:paraId="04BE122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dx(t)/dt = −[1/τ + f(x(t), I(t), θ)]·x(t) + f(x(t), I(t), θ)·A        (3.1)</w:t>
      </w:r>
    </w:p>
    <w:p w14:paraId="69875D41">
      <w:pPr>
        <w:pStyle w:val="11"/>
        <w:rPr>
          <w:rFonts w:ascii="Times New Roman" w:hAnsi="Times New Roman" w:eastAsia="宋体" w:cs="Times New Roman"/>
          <w:sz w:val="21"/>
          <w:szCs w:val="24"/>
        </w:rPr>
      </w:pPr>
      <w:r>
        <w:rPr>
          <w:rFonts w:ascii="Times New Roman" w:hAnsi="Times New Roman" w:eastAsia="宋体" w:cs="Times New Roman"/>
          <w:sz w:val="21"/>
          <w:szCs w:val="24"/>
        </w:rPr>
        <w:t>DL-LTC 在此基础上引入「延迟嵌入」项，使用受 Zhu 等</w:t>
      </w:r>
      <w:r>
        <w:rPr>
          <w:rFonts w:ascii="Times New Roman" w:hAnsi="Times New Roman" w:eastAsia="宋体" w:cs="Times New Roman"/>
          <w:sz w:val="21"/>
          <w:szCs w:val="24"/>
          <w:vertAlign w:val="superscript"/>
        </w:rPr>
        <w:t>[12]</w:t>
      </w:r>
      <w:r>
        <w:rPr>
          <w:rFonts w:ascii="Times New Roman" w:hAnsi="Times New Roman" w:eastAsia="宋体" w:cs="Times New Roman"/>
          <w:sz w:val="21"/>
          <w:szCs w:val="24"/>
        </w:rPr>
        <w:t>（NPCDDE，AAAI 2022）启发的分段常数时滞形式，将状态量在 t−T 时刻的值显式作为额外输入：</w:t>
      </w:r>
    </w:p>
    <w:p w14:paraId="4B1B6D30">
      <w:pPr>
        <w:keepNext w:val="0"/>
        <w:keepLines w:val="0"/>
        <w:widowControl w:val="0"/>
        <w:suppressLineNumbers w:val="0"/>
        <w:spacing w:before="0" w:beforeAutospacing="0" w:after="0" w:afterAutospacing="0"/>
        <w:ind w:left="0" w:right="0"/>
        <w:jc w:val="both"/>
        <w:rPr>
          <w:rFonts w:hint="eastAsia" w:ascii="宋体" w:hAnsi="宋体" w:eastAsia="宋体" w:cs="宋体"/>
          <w:sz w:val="32"/>
          <w:szCs w:val="32"/>
          <w:lang w:val="en-US"/>
        </w:rPr>
      </w:pPr>
    </w:p>
    <w:p w14:paraId="37B76A1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t>dx(t)/dt = −[1/τ + f(x(t), x(t−T), I(t), θ)]·x(t) + f(x(t), x(t−T), I(t), θ)·A + α·x(t−T)        (3.2)</w:t>
      </w:r>
    </w:p>
    <w:p w14:paraId="0E8FBA7D">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T = 60/n 为刀齿旋转周期，α 为可学习的延迟耦合系数。</w:t>
      </w:r>
    </w:p>
    <w:p w14:paraId="2DF7BFCF">
      <w:pPr>
        <w:pStyle w:val="11"/>
        <w:rPr>
          <w:rFonts w:ascii="Times New Roman" w:hAnsi="Times New Roman" w:eastAsia="宋体" w:cs="Times New Roman"/>
          <w:sz w:val="21"/>
          <w:szCs w:val="24"/>
        </w:rPr>
      </w:pPr>
      <w:r>
        <w:t>与 NPCDDE 的关系与区别：Zhu 等[12]首次将分段常数时滞引入 ODE 网络，用于一般时滞物理过程；本文则将该思想用于铣削再生颤振领域，并通过 α 参数显式控制「再生」耦合强度（与切削力系数 Kₛ 物理对应）。这一延迟嵌入使网络更好地匹配「刀齿每转一圈形成再生」的连续时间再生机制，且无需人为设计额外的「再生」特征工程。</w:t>
      </w:r>
    </w:p>
    <w:p w14:paraId="2AAAF9D6">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f₁(·) 负责回复动力学（与机床刚度 k、阻尼 c 对应），f₂(·) 负责再生动力学（与切削力系数 Kₛ、延迟 T 对应），二者各自独立拟合，α 与 Kₛ·a 物理对应。该解耦与 NPCDDE 的分段常数时滞思路保持一致，同时避免了"两个独立机制被同一 f 耦合"的物理混淆。</w:t>
      </w:r>
    </w:p>
    <w:p w14:paraId="01CFC9E2">
      <w:pPr>
        <w:pStyle w:val="11"/>
        <w:rPr>
          <w:rFonts w:ascii="Times New Roman" w:hAnsi="Times New Roman" w:eastAsia="宋体" w:cs="Times New Roman"/>
          <w:sz w:val="21"/>
          <w:szCs w:val="24"/>
        </w:rPr>
      </w:pPr>
      <w:r>
        <w:rPr>
          <w:rFonts w:ascii="Times New Roman" w:hAnsi="Times New Roman" w:eastAsia="宋体" w:cs="Times New Roman"/>
          <w:sz w:val="21"/>
          <w:szCs w:val="24"/>
        </w:rPr>
        <w:t>DL-LTC 分支的具体结构为：64 维嵌入向量 e 作为输入，经过 8 个 DL-LTC 神经元（隐藏维度 16）按时间步展开，最后通过一个全连接层输出极限切深预测 ŷ_data。</w:t>
      </w:r>
      <w:bookmarkStart w:id="76" w:name="_Toc3138"/>
      <w:bookmarkStart w:id="77" w:name="_Toc30379"/>
    </w:p>
    <w:p w14:paraId="1E2C7852">
      <w:pPr>
        <w:pStyle w:val="4"/>
        <w:keepNext/>
        <w:numPr>
          <w:ilvl w:val="0"/>
          <w:numId w:val="0"/>
        </w:numPr>
        <w:ind w:leftChars="0"/>
        <w:rPr>
          <w:b w:val="0"/>
        </w:rPr>
      </w:pPr>
      <w:bookmarkStart w:id="78" w:name="_Toc6152"/>
      <w:r>
        <w:rPr>
          <w:rFonts w:hint="eastAsia"/>
          <w:lang w:eastAsia="zh-CN"/>
        </w:rPr>
        <w:t xml:space="preserve">3.2.3 </w:t>
      </w:r>
      <w:r>
        <w:t>解析物理分支</w:t>
      </w:r>
      <w:bookmarkEnd w:id="76"/>
      <w:bookmarkEnd w:id="77"/>
      <w:bookmarkEnd w:id="78"/>
    </w:p>
    <w:p w14:paraId="2F1AEB06">
      <w:pPr>
        <w:pStyle w:val="11"/>
        <w:rPr>
          <w:rFonts w:ascii="Times New Roman" w:hAnsi="Times New Roman" w:eastAsia="宋体" w:cs="Times New Roman"/>
          <w:sz w:val="21"/>
          <w:szCs w:val="24"/>
        </w:rPr>
      </w:pPr>
      <w:r>
        <w:rPr>
          <w:rFonts w:ascii="Times New Roman" w:hAnsi="Times New Roman" w:eastAsia="宋体" w:cs="Times New Roman"/>
          <w:sz w:val="21"/>
          <w:szCs w:val="24"/>
        </w:rPr>
        <w:t>解析物理分支基于 Tlusty 解析公式直接计算极限切深：</w:t>
      </w:r>
    </w:p>
    <w:p w14:paraId="60FBA70F">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a_lim = −1 / (2·K_s · Re[G(jω)])        (3.3)</w:t>
      </w:r>
    </w:p>
    <w:p w14:paraId="37FB9044">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G(jω) = 1/(k − mω² + jcω) 为机床方向频率响应函数。该分支无任何可学习参数，但其输出 ŷ_phys 严格满足物理一致性。</w:t>
      </w:r>
    </w:p>
    <w:p w14:paraId="1C16E206">
      <w:pPr>
        <w:pStyle w:val="4"/>
        <w:keepNext/>
        <w:widowControl/>
        <w:numPr>
          <w:ilvl w:val="0"/>
          <w:numId w:val="0"/>
        </w:numPr>
        <w:ind w:leftChars="0"/>
        <w:rPr>
          <w:b w:val="0"/>
        </w:rPr>
      </w:pPr>
      <w:bookmarkStart w:id="79" w:name="_Toc9195"/>
      <w:bookmarkStart w:id="80" w:name="_Toc627"/>
      <w:bookmarkStart w:id="81" w:name="_Toc4122"/>
      <w:bookmarkStart w:id="82" w:name="_Toc27008"/>
      <w:r>
        <w:rPr>
          <w:rFonts w:hint="eastAsia"/>
          <w:lang w:eastAsia="zh-CN"/>
        </w:rPr>
        <w:t xml:space="preserve">3.2.4 </w:t>
      </w:r>
      <w:r>
        <w:t>门控融合层</w:t>
      </w:r>
      <w:bookmarkEnd w:id="79"/>
      <w:bookmarkEnd w:id="80"/>
      <w:bookmarkEnd w:id="81"/>
      <w:bookmarkEnd w:id="82"/>
    </w:p>
    <w:p w14:paraId="71690166">
      <w:pPr>
        <w:pStyle w:val="11"/>
        <w:rPr>
          <w:rFonts w:ascii="Times New Roman" w:hAnsi="Times New Roman" w:eastAsia="宋体" w:cs="Times New Roman"/>
          <w:sz w:val="21"/>
          <w:szCs w:val="24"/>
        </w:rPr>
      </w:pPr>
      <w:r>
        <w:rPr>
          <w:rFonts w:ascii="Times New Roman" w:hAnsi="Times New Roman" w:eastAsia="宋体" w:cs="Times New Roman"/>
          <w:sz w:val="21"/>
          <w:szCs w:val="24"/>
        </w:rPr>
        <w:t>门控融合层将两分支输出通过可学习门控系数 g ∈ [0, 1] 加权融合：</w:t>
      </w:r>
    </w:p>
    <w:p w14:paraId="6ED51FCA">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ŷ_final = g·ŷ_data + (1−g)·ŷ_phys        (3.4)</w:t>
      </w:r>
    </w:p>
    <w:p w14:paraId="7360D562">
      <w:pPr>
        <w:pStyle w:val="11"/>
        <w:rPr>
          <w:rFonts w:ascii="Times New Roman" w:hAnsi="Times New Roman" w:eastAsia="宋体" w:cs="Times New Roman"/>
          <w:sz w:val="21"/>
          <w:szCs w:val="24"/>
        </w:rPr>
      </w:pPr>
      <w:r>
        <w:rPr>
          <w:rFonts w:ascii="Times New Roman" w:hAnsi="Times New Roman" w:eastAsia="宋体" w:cs="Times New Roman"/>
          <w:sz w:val="21"/>
          <w:szCs w:val="24"/>
        </w:rPr>
        <w:t>门控系数 g 由小型门控网络（2 层全连接，隐藏维度 16，使用 Sigmoid 输出）根据输入特征动态生成。为验证门控机制的有效性，本文在 5 个数据集的测试集上统计了 g 的分布：在全量训练集（每个数据集 ≥ 200 组样本）下，g 的均值为 0.78，标准差 0.11；而在主动学习阶段（已标注样本数 &lt; 50 组）下，g 降至 0.35--0.45 区间（均值为 0.41，标准差 0.09）。这一「数据多则信任数据、数据少则信任物理」的自适应行为验证了门控机制符合设计预期。</w:t>
      </w:r>
    </w:p>
    <w:p w14:paraId="4B790EDF">
      <w:pPr>
        <w:pStyle w:val="11"/>
        <w:rPr>
          <w:rFonts w:ascii="Times New Roman" w:hAnsi="Times New Roman" w:eastAsia="宋体" w:cs="Times New Roman"/>
          <w:sz w:val="21"/>
          <w:szCs w:val="24"/>
        </w:rPr>
      </w:pPr>
      <w:r>
        <w:rPr>
          <w:rFonts w:ascii="Times New Roman" w:hAnsi="Times New Roman" w:eastAsia="宋体" w:cs="Times New Roman"/>
          <w:sz w:val="21"/>
          <w:szCs w:val="24"/>
        </w:rPr>
        <w:t>需要说明的是，g 的取值不可被人为设定，而是在网络前向传播中由门控网络根据输入特征 (n, fz, ae, ap, Kₛ, k, m, ζ) 动态计算——这意味着同一模型在不同工况下会自然地选择信任物理还是信任数据。</w:t>
      </w:r>
    </w:p>
    <w:p w14:paraId="70BB27D5">
      <w:pPr>
        <w:pStyle w:val="3"/>
        <w:keepNext/>
        <w:widowControl/>
        <w:numPr>
          <w:ilvl w:val="0"/>
          <w:numId w:val="0"/>
        </w:numPr>
        <w:ind w:leftChars="0"/>
        <w:rPr>
          <w:b w:val="0"/>
        </w:rPr>
      </w:pPr>
      <w:bookmarkStart w:id="83" w:name="_Toc5749"/>
      <w:bookmarkStart w:id="84" w:name="_Toc22410"/>
      <w:bookmarkStart w:id="85" w:name="_Toc13258"/>
      <w:bookmarkStart w:id="86" w:name="_Toc9817"/>
      <w:r>
        <w:rPr>
          <w:rFonts w:hint="eastAsia"/>
          <w:lang w:eastAsia="zh-CN"/>
        </w:rPr>
        <w:t xml:space="preserve">3.3 </w:t>
      </w:r>
      <w:r>
        <w:t>多物理场耦合配置</w:t>
      </w:r>
      <w:bookmarkEnd w:id="83"/>
      <w:bookmarkEnd w:id="84"/>
      <w:bookmarkEnd w:id="85"/>
      <w:bookmarkEnd w:id="86"/>
    </w:p>
    <w:p w14:paraId="150F002C">
      <w:pPr>
        <w:pStyle w:val="4"/>
        <w:keepNext/>
        <w:widowControl/>
        <w:numPr>
          <w:ilvl w:val="0"/>
          <w:numId w:val="0"/>
        </w:numPr>
        <w:ind w:leftChars="0"/>
        <w:rPr>
          <w:b w:val="0"/>
        </w:rPr>
      </w:pPr>
      <w:bookmarkStart w:id="87" w:name="_Toc14251"/>
      <w:bookmarkStart w:id="88" w:name="_Toc5314"/>
      <w:bookmarkStart w:id="89" w:name="_Toc546"/>
      <w:bookmarkStart w:id="90" w:name="_Toc25014"/>
      <w:r>
        <w:rPr>
          <w:rFonts w:hint="eastAsia"/>
          <w:lang w:eastAsia="zh-CN"/>
        </w:rPr>
        <w:t xml:space="preserve">3.3.1 </w:t>
      </w:r>
      <w:r>
        <w:t>数值层物理损失 L_phys</w:t>
      </w:r>
      <w:bookmarkEnd w:id="87"/>
      <w:bookmarkEnd w:id="88"/>
      <w:bookmarkEnd w:id="89"/>
      <w:bookmarkEnd w:id="90"/>
    </w:p>
    <w:p w14:paraId="37A7AECB">
      <w:pPr>
        <w:pStyle w:val="11"/>
        <w:rPr>
          <w:rFonts w:ascii="Times New Roman" w:hAnsi="Times New Roman" w:eastAsia="宋体" w:cs="Times New Roman"/>
          <w:sz w:val="21"/>
          <w:szCs w:val="24"/>
        </w:rPr>
      </w:pPr>
      <w:r>
        <w:rPr>
          <w:rFonts w:ascii="Times New Roman" w:hAnsi="Times New Roman" w:eastAsia="宋体" w:cs="Times New Roman"/>
          <w:sz w:val="21"/>
          <w:szCs w:val="24"/>
        </w:rPr>
        <w:t>数值层物理损失约束预测值贴近解析值：</w:t>
      </w:r>
    </w:p>
    <w:p w14:paraId="2C2DF92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L_phys = (1/N) · ∑ᵢ₌₁ᴺ max(0, |ŷᵢ − yᵢ^Tlusty| − ε_phys)        (3.5)</w:t>
      </w:r>
    </w:p>
    <w:p w14:paraId="483370F9">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ε_phys 为允许的物理偏差阈值（默认 0.05 mm），N 为样本数。该损失采用 hinge 形式，仅当预测值偏离解析值超过 ε_phys 时才施加惩罚，避免在小样本场景下因个别数据噪声而「硬拉」模型到解析解。</w:t>
      </w:r>
    </w:p>
    <w:p w14:paraId="774417D1">
      <w:pPr>
        <w:pStyle w:val="4"/>
        <w:keepNext/>
        <w:widowControl/>
        <w:numPr>
          <w:ilvl w:val="0"/>
          <w:numId w:val="0"/>
        </w:numPr>
        <w:ind w:leftChars="0"/>
        <w:rPr>
          <w:b w:val="0"/>
        </w:rPr>
      </w:pPr>
      <w:bookmarkStart w:id="91" w:name="_Toc15668"/>
      <w:bookmarkStart w:id="92" w:name="_Toc1419"/>
      <w:bookmarkStart w:id="93" w:name="_Toc29303"/>
      <w:bookmarkStart w:id="94" w:name="_Toc30411"/>
      <w:r>
        <w:rPr>
          <w:rFonts w:hint="eastAsia"/>
          <w:lang w:eastAsia="zh-CN"/>
        </w:rPr>
        <w:t xml:space="preserve">3.3.2 </w:t>
      </w:r>
      <w:r>
        <w:t>梯度层物理损失 L_pcc</w:t>
      </w:r>
      <w:bookmarkEnd w:id="91"/>
      <w:bookmarkEnd w:id="92"/>
      <w:bookmarkEnd w:id="93"/>
      <w:bookmarkEnd w:id="94"/>
    </w:p>
    <w:p w14:paraId="496ED111">
      <w:pPr>
        <w:pStyle w:val="11"/>
        <w:rPr>
          <w:rFonts w:ascii="Times New Roman" w:hAnsi="Times New Roman" w:eastAsia="宋体" w:cs="Times New Roman"/>
          <w:sz w:val="21"/>
          <w:szCs w:val="24"/>
        </w:rPr>
      </w:pPr>
      <w:r>
        <w:rPr>
          <w:rFonts w:ascii="Times New Roman" w:hAnsi="Times New Roman" w:eastAsia="宋体" w:cs="Times New Roman"/>
          <w:sz w:val="21"/>
          <w:szCs w:val="24"/>
        </w:rPr>
        <w:t>梯度层物理损失约束预测 SLD 与解析 SLD 的曲线形态一致性，受 Yu 等</w:t>
      </w:r>
      <w:r>
        <w:rPr>
          <w:rFonts w:ascii="Times New Roman" w:hAnsi="Times New Roman" w:eastAsia="宋体" w:cs="Times New Roman"/>
          <w:sz w:val="21"/>
          <w:szCs w:val="24"/>
          <w:vertAlign w:val="superscript"/>
        </w:rPr>
        <w:t>[7]</w:t>
      </w:r>
      <w:r>
        <w:rPr>
          <w:rFonts w:ascii="Times New Roman" w:hAnsi="Times New Roman" w:eastAsia="宋体" w:cs="Times New Roman"/>
          <w:sz w:val="21"/>
          <w:szCs w:val="24"/>
        </w:rPr>
        <w:t>（gPINN，2022）梯度增强思想的启发：</w:t>
      </w:r>
    </w:p>
    <w:p w14:paraId="2DCE5698">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L_pcc = (1/N) · ∑ᵢ₌₁ᴺ |∂ŷᵢ/∂xᵢ − ∂yᵢ^Tlusty/∂xᵢ|²        (3.6)</w:t>
      </w:r>
    </w:p>
    <w:p w14:paraId="67357DCD">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∂y/∂x 为极限切深对输入特征（如转速 n）的偏导数。该项强制预测 SLD 在「切深-转速」空间内的曲线斜率与解析解一致，物理意义是确保 SLD 的「叶瓣」形状（峰值位置、谷值深度）由机床模态参数与切削力系数共同决定。</w:t>
      </w:r>
      <w:bookmarkStart w:id="95" w:name="_Toc4989"/>
      <w:bookmarkStart w:id="96" w:name="_Toc25271"/>
    </w:p>
    <w:p w14:paraId="7FBA9DF4">
      <w:pPr>
        <w:pStyle w:val="4"/>
        <w:keepNext/>
        <w:numPr>
          <w:ilvl w:val="0"/>
          <w:numId w:val="0"/>
        </w:numPr>
        <w:ind w:leftChars="0"/>
        <w:rPr>
          <w:b w:val="0"/>
        </w:rPr>
      </w:pPr>
      <w:bookmarkStart w:id="97" w:name="_Toc12150"/>
      <w:r>
        <w:rPr>
          <w:rFonts w:hint="eastAsia"/>
          <w:lang w:eastAsia="zh-CN"/>
        </w:rPr>
        <w:t xml:space="preserve">3.3.3 </w:t>
      </w:r>
      <w:r>
        <w:t>频域层物理损失 L_freq</w:t>
      </w:r>
      <w:bookmarkEnd w:id="95"/>
      <w:bookmarkEnd w:id="96"/>
      <w:bookmarkEnd w:id="97"/>
    </w:p>
    <w:p w14:paraId="2D40A2FF">
      <w:pPr>
        <w:pStyle w:val="11"/>
        <w:rPr>
          <w:rFonts w:ascii="Times New Roman" w:hAnsi="Times New Roman" w:eastAsia="宋体" w:cs="Times New Roman"/>
          <w:sz w:val="21"/>
          <w:szCs w:val="24"/>
        </w:rPr>
      </w:pPr>
      <w:r>
        <w:rPr>
          <w:rFonts w:ascii="Times New Roman" w:hAnsi="Times New Roman" w:eastAsia="宋体" w:cs="Times New Roman"/>
          <w:sz w:val="21"/>
          <w:szCs w:val="24"/>
        </w:rPr>
        <w:t>频域层物理损失是本文提出的核心物理约束之一。其核心思想是：颤振的极限切深在频谱上应集中在主轴转速的整数倍频处（即 f = n(j+1)/60）。对于某一工况下沿转速轴 n ∈ [n_min, n_max] 采样得到的极限切深序列 {ŷ(nₖ)}ₖ₌₁ᴷ 与解析序列 {y^Tlusty(nₖ)}ₖ₌₁ᴷ（K 为转速采样点数，本文取 K = 64），分别对其做快速傅里叶变换（FFT），在频谱上约束二者的能量分布一致：</w:t>
      </w:r>
    </w:p>
    <w:p w14:paraId="4CA6E64D">
      <w:pPr>
        <w:pStyle w:val="11"/>
        <w:rPr>
          <w:rFonts w:ascii="Times New Roman" w:hAnsi="Times New Roman" w:eastAsia="宋体" w:cs="Times New Roman"/>
          <w:sz w:val="21"/>
          <w:szCs w:val="24"/>
        </w:rPr>
      </w:pPr>
      <w:r>
        <w:rPr>
          <w:rFonts w:ascii="Times New Roman" w:hAnsi="Times New Roman" w:eastAsia="宋体" w:cs="Times New Roman"/>
          <w:sz w:val="21"/>
          <w:szCs w:val="24"/>
        </w:rPr>
        <w:t>L_freq = (1/N) · ∑ᵢ₌₁ᴺ ‖ |FFT({ŷᵢ(nₖ)}ₖ₌₁ᴷ)| − |FFT({yᵢ^Tlusty(nₖ)}ₖ₌₁ᴷ)| ‖²        (3.7)</w:t>
      </w:r>
    </w:p>
    <w:p w14:paraId="76A8E456">
      <w:pPr>
        <w:pStyle w:val="11"/>
        <w:rPr>
          <w:rFonts w:ascii="Times New Roman" w:hAnsi="Times New Roman" w:eastAsia="宋体" w:cs="Times New Roman"/>
          <w:sz w:val="21"/>
          <w:szCs w:val="24"/>
        </w:rPr>
      </w:pPr>
      <w:r>
        <w:rPr>
          <w:rFonts w:ascii="Times New Roman" w:hAnsi="Times New Roman" w:eastAsia="宋体" w:cs="Times New Roman"/>
          <w:sz w:val="21"/>
          <w:szCs w:val="24"/>
        </w:rPr>
        <w:t>原式 (3.7) 对复数 FFT 直接做 L2 范数，等价于同时约束幅值与相位。然而 SLD 的物理可解释量是切深-转速曲线在频域的能量分布，相位并不携带物理信息（同一形状的 SLD 整体平移或镜像，物理上等价，但 FFT 相位差异巨大）。本文将频域约束修订为幅值谱范数（等价于功率谱密度的一致性），即 |FFT(ŷ)| 与 |FFT(y^Tlusty)| 的 L2 距离，避免因相位梯度冲突而误导物理优化方向。</w:t>
      </w:r>
    </w:p>
    <w:p w14:paraId="1B44A77E">
      <w:pPr>
        <w:pStyle w:val="11"/>
        <w:rPr>
          <w:rFonts w:ascii="Times New Roman" w:hAnsi="Times New Roman" w:eastAsia="宋体" w:cs="Times New Roman"/>
          <w:sz w:val="21"/>
          <w:szCs w:val="24"/>
        </w:rPr>
      </w:pPr>
      <w:r>
        <w:rPr>
          <w:rFonts w:ascii="Times New Roman" w:hAnsi="Times New Roman" w:eastAsia="宋体" w:cs="Times New Roman"/>
          <w:sz w:val="21"/>
          <w:szCs w:val="24"/>
        </w:rPr>
        <w:t>其中，{ŷᵢ(nₖ)}ₖ₌₁ᴷ 表示第 i 个工况下沿转速轴的极限切深预测序列（长度为 K 的离散序列），{yᵢ^Tlusty(nₖ)}ₖ₌₁ᴷ 为对应解析序列。该项（修订为幅值谱形式后）强制预测切深的「频域能量分布」与解析解一致，物理意义是确保预测结果不出现虚假的「高频振荡」或「低频漂移」，进一步提升物理一致性。</w:t>
      </w:r>
    </w:p>
    <w:p w14:paraId="6832EC60">
      <w:pPr>
        <w:pStyle w:val="4"/>
        <w:keepNext/>
        <w:widowControl/>
        <w:numPr>
          <w:ilvl w:val="0"/>
          <w:numId w:val="0"/>
        </w:numPr>
        <w:ind w:leftChars="0"/>
        <w:rPr>
          <w:b w:val="0"/>
        </w:rPr>
      </w:pPr>
      <w:bookmarkStart w:id="98" w:name="_Toc29869"/>
      <w:bookmarkStart w:id="99" w:name="_Toc27636"/>
      <w:bookmarkStart w:id="100" w:name="_Toc31800"/>
      <w:bookmarkStart w:id="101" w:name="_Toc4600"/>
      <w:r>
        <w:rPr>
          <w:rFonts w:hint="eastAsia"/>
          <w:lang w:eastAsia="zh-CN"/>
        </w:rPr>
        <w:t xml:space="preserve">3.3.4 </w:t>
      </w:r>
      <w:r>
        <w:t>损失权重设置</w:t>
      </w:r>
      <w:bookmarkEnd w:id="98"/>
      <w:bookmarkEnd w:id="99"/>
      <w:bookmarkEnd w:id="100"/>
      <w:bookmarkEnd w:id="101"/>
    </w:p>
    <w:p w14:paraId="6A18BB7B">
      <w:pPr>
        <w:pStyle w:val="11"/>
        <w:rPr>
          <w:rFonts w:ascii="Times New Roman" w:hAnsi="Times New Roman" w:eastAsia="宋体" w:cs="Times New Roman"/>
          <w:sz w:val="21"/>
          <w:szCs w:val="24"/>
        </w:rPr>
      </w:pPr>
      <w:r>
        <w:rPr>
          <w:rFonts w:ascii="Times New Roman" w:hAnsi="Times New Roman" w:eastAsia="宋体" w:cs="Times New Roman"/>
          <w:sz w:val="21"/>
          <w:szCs w:val="24"/>
        </w:rPr>
        <w:t>三层物理损失联合构成总损失：</w:t>
      </w:r>
    </w:p>
    <w:p w14:paraId="7C4E1E05">
      <w:pPr>
        <w:pStyle w:val="11"/>
        <w:rPr>
          <w:rFonts w:ascii="Times New Roman" w:hAnsi="Times New Roman" w:eastAsia="宋体" w:cs="Times New Roman"/>
          <w:sz w:val="21"/>
          <w:szCs w:val="24"/>
        </w:rPr>
      </w:pPr>
      <w:r>
        <w:rPr>
          <w:rFonts w:ascii="Times New Roman" w:hAnsi="Times New Roman" w:eastAsia="宋体" w:cs="Times New Roman"/>
          <w:sz w:val="21"/>
          <w:szCs w:val="24"/>
        </w:rPr>
        <w:t>L_total = L_data + λ_1·L_phys + λ_2·L_pcc + λ_3·L_freq        (3.8)</w:t>
      </w:r>
    </w:p>
    <w:p w14:paraId="463FCD48">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L_data 为标准数据损失（MSE），λ₁、λ₂、λ₃ 分别为三层物理损失的权重。默认设置为 λ₁=1.0，λ₂=0.5，λ₃=0.3，频域损失权重较低以避免过约束。</w:t>
      </w:r>
    </w:p>
    <w:p w14:paraId="64A3D027">
      <w:pPr>
        <w:pStyle w:val="11"/>
        <w:rPr>
          <w:rFonts w:ascii="Times New Roman" w:hAnsi="Times New Roman" w:eastAsia="宋体" w:cs="Times New Roman"/>
          <w:sz w:val="21"/>
          <w:szCs w:val="24"/>
        </w:rPr>
      </w:pPr>
      <w:r>
        <w:rPr>
          <w:rFonts w:ascii="Times New Roman" w:hAnsi="Times New Roman" w:eastAsia="宋体" w:cs="Times New Roman"/>
          <w:sz w:val="21"/>
          <w:szCs w:val="24"/>
        </w:rPr>
        <w:t>关于模型规模：在合成 6061-T6 占位数据集上，DL-LNN 训练后的 INT8 量化模型大小约为 8.7 KB（不含图结构元数据；转换为标准 ONNX 运行时所需的完整 runtime artifact 约 1 MB）。该规模与单变量 LSTM（约 35 KB）、Transformer-base（约 480 KB）相比显著紧凑。</w:t>
      </w:r>
    </w:p>
    <w:p w14:paraId="0C3F6B5A">
      <w:pPr>
        <w:pStyle w:val="3"/>
        <w:keepNext/>
        <w:widowControl/>
        <w:numPr>
          <w:ilvl w:val="0"/>
          <w:numId w:val="0"/>
        </w:numPr>
        <w:ind w:leftChars="0"/>
        <w:rPr>
          <w:b w:val="0"/>
        </w:rPr>
      </w:pPr>
      <w:bookmarkStart w:id="102" w:name="_Toc19559"/>
      <w:bookmarkStart w:id="103" w:name="_Toc13973"/>
      <w:bookmarkStart w:id="104" w:name="_Toc17326"/>
      <w:bookmarkStart w:id="105" w:name="_Toc504"/>
      <w:r>
        <w:rPr>
          <w:rFonts w:hint="eastAsia"/>
          <w:lang w:eastAsia="zh-CN"/>
        </w:rPr>
        <w:t xml:space="preserve">3.4 </w:t>
      </w:r>
      <w:r>
        <w:t>三阶段训练策略</w:t>
      </w:r>
      <w:bookmarkEnd w:id="102"/>
      <w:bookmarkEnd w:id="103"/>
      <w:bookmarkEnd w:id="104"/>
      <w:bookmarkEnd w:id="105"/>
    </w:p>
    <w:p w14:paraId="313EBEB6">
      <w:pPr>
        <w:pStyle w:val="4"/>
        <w:keepNext/>
        <w:widowControl/>
        <w:numPr>
          <w:ilvl w:val="0"/>
          <w:numId w:val="0"/>
        </w:numPr>
        <w:ind w:leftChars="0"/>
        <w:rPr>
          <w:b w:val="0"/>
        </w:rPr>
      </w:pPr>
      <w:bookmarkStart w:id="106" w:name="_Toc13178"/>
      <w:bookmarkStart w:id="107" w:name="_Toc24918"/>
      <w:bookmarkStart w:id="108" w:name="_Toc8463"/>
      <w:bookmarkStart w:id="109" w:name="_Toc9565"/>
      <w:r>
        <w:rPr>
          <w:rFonts w:hint="eastAsia"/>
          <w:lang w:eastAsia="zh-CN"/>
        </w:rPr>
        <w:t xml:space="preserve">3.4.1 </w:t>
      </w:r>
      <w:r>
        <w:t>阶段一：解析预训练</w:t>
      </w:r>
      <w:bookmarkEnd w:id="106"/>
      <w:bookmarkEnd w:id="107"/>
      <w:bookmarkEnd w:id="108"/>
      <w:bookmarkEnd w:id="109"/>
    </w:p>
    <w:p w14:paraId="34E34917">
      <w:pPr>
        <w:pStyle w:val="11"/>
        <w:rPr>
          <w:rFonts w:ascii="Times New Roman" w:hAnsi="Times New Roman" w:eastAsia="宋体" w:cs="Times New Roman"/>
          <w:sz w:val="21"/>
          <w:szCs w:val="24"/>
        </w:rPr>
      </w:pPr>
      <w:r>
        <w:rPr>
          <w:rFonts w:ascii="Times New Roman" w:hAnsi="Times New Roman" w:eastAsia="宋体" w:cs="Times New Roman"/>
          <w:sz w:val="21"/>
          <w:szCs w:val="24"/>
        </w:rPr>
        <w:t>使用 Tlusty 解析公式生成 10 000 组合成数据（v、f、ap、mat、tool 随机采样），对 DL-LNN 进行「解析预训练」，使其先收敛到「物理可行域」。为保证可复现性，本节明确给出合成数据的采样范围：主轴转速 n ∈ [2 000, 12 000] r/min，轴向切深 ap ∈ [0.2, 5.0] mm，每齿进给量 fz ∈ [0.02, 0.15] mm/z，模态刚度 k ∈ [5, 50] N/μm（馈入解析分支前换算为 N/m），模态质量 m ∈ [0.1, 1.0] kg，阻尼比 ζ ∈ [0.01, 0.08]。该阶段仅使用 L_phys + L_data，不使用 L_pcc 与 L_freq（避免一开始就过约束）。学习率 1×10⁻³，训练 100 epoch。</w:t>
      </w:r>
    </w:p>
    <w:p w14:paraId="5A8A8461">
      <w:pPr>
        <w:pStyle w:val="4"/>
        <w:keepNext/>
        <w:widowControl/>
        <w:numPr>
          <w:ilvl w:val="0"/>
          <w:numId w:val="0"/>
        </w:numPr>
        <w:ind w:leftChars="0"/>
        <w:rPr>
          <w:b w:val="0"/>
        </w:rPr>
      </w:pPr>
      <w:bookmarkStart w:id="110" w:name="_Toc11852"/>
      <w:bookmarkStart w:id="111" w:name="_Toc8209"/>
      <w:bookmarkStart w:id="112" w:name="_Toc17910"/>
      <w:bookmarkStart w:id="113" w:name="_Toc6728"/>
      <w:r>
        <w:rPr>
          <w:rFonts w:hint="eastAsia"/>
          <w:lang w:eastAsia="zh-CN"/>
        </w:rPr>
        <w:t xml:space="preserve">3.4.2 </w:t>
      </w:r>
      <w:r>
        <w:t>阶段二：物理残差微调</w:t>
      </w:r>
      <w:bookmarkEnd w:id="110"/>
      <w:bookmarkEnd w:id="111"/>
      <w:bookmarkEnd w:id="112"/>
      <w:bookmarkEnd w:id="113"/>
    </w:p>
    <w:p w14:paraId="20473DE2">
      <w:pPr>
        <w:pStyle w:val="11"/>
        <w:rPr>
          <w:rFonts w:ascii="Times New Roman" w:hAnsi="Times New Roman" w:eastAsia="宋体" w:cs="Times New Roman"/>
          <w:sz w:val="21"/>
          <w:szCs w:val="24"/>
        </w:rPr>
      </w:pPr>
      <w:r>
        <w:rPr>
          <w:rFonts w:ascii="Times New Roman" w:hAnsi="Times New Roman" w:eastAsia="宋体" w:cs="Times New Roman"/>
          <w:sz w:val="21"/>
          <w:szCs w:val="24"/>
        </w:rPr>
        <w:t>在真实数据上微调并叠加 L_pcc 与 L_freq 物理损失。该阶段使用全部三层物理损失 + L_data，使模型在真实数据与物理先验之间取得平衡。学习率 1×10⁻⁴，训练 200 epoch，使用早停机制（patience=20）。</w:t>
      </w:r>
    </w:p>
    <w:p w14:paraId="566A6459">
      <w:pPr>
        <w:pStyle w:val="4"/>
        <w:keepNext/>
        <w:pageBreakBefore/>
        <w:widowControl/>
        <w:numPr>
          <w:ilvl w:val="0"/>
          <w:numId w:val="0"/>
        </w:numPr>
        <w:ind w:leftChars="0"/>
        <w:rPr>
          <w:b w:val="0"/>
        </w:rPr>
      </w:pPr>
      <w:bookmarkStart w:id="114" w:name="_Toc19597"/>
      <w:bookmarkStart w:id="115" w:name="_Toc15882"/>
      <w:bookmarkStart w:id="116" w:name="_Toc14607"/>
      <w:bookmarkStart w:id="117" w:name="_Toc18655"/>
      <w:r>
        <w:rPr>
          <w:rFonts w:hint="eastAsia"/>
          <w:lang w:eastAsia="zh-CN"/>
        </w:rPr>
        <w:t xml:space="preserve">3.4.3 </w:t>
      </w:r>
      <w:r>
        <w:t>阶段三：主动学习</w:t>
      </w:r>
      <w:bookmarkEnd w:id="114"/>
      <w:bookmarkEnd w:id="115"/>
      <w:bookmarkEnd w:id="116"/>
      <w:bookmarkEnd w:id="117"/>
    </w:p>
    <w:p w14:paraId="008CD1ED">
      <w:pPr>
        <w:pStyle w:val="11"/>
        <w:rPr>
          <w:rFonts w:ascii="Times New Roman" w:hAnsi="Times New Roman" w:eastAsia="宋体" w:cs="Times New Roman"/>
          <w:sz w:val="21"/>
          <w:szCs w:val="24"/>
        </w:rPr>
      </w:pPr>
      <w:r>
        <w:rPr>
          <w:rFonts w:ascii="Times New Roman" w:hAnsi="Times New Roman" w:eastAsia="宋体" w:cs="Times New Roman"/>
          <w:sz w:val="21"/>
          <w:szCs w:val="24"/>
        </w:rPr>
        <w:t>在预测不确定性高的工况上主动请求工艺人员标注（模拟实际场景下「专家反馈」），每次请求 10 组样本。本实验中所谓「标注」特指：通过铣削力信号与频谱分析（结合工件表面振纹检视），离线标定该工况下的临界极限切深 a_lim，即工艺人员给出「在此工况下不发生颤振的最大安全切深」的实测数值；该数值在工业上可由车间实验员在试切工序中获取，但单点获取成本（数小时至一天）显著高于二分类（是否颤振）标注，故本节特意澄清。该阶段使用贝叶斯 dropout 估计预测方差，按方差从大到小选择待查询样本。主动学习迭代 5 轮。</w:t>
      </w:r>
    </w:p>
    <w:p w14:paraId="7FC6C885">
      <w:pPr>
        <w:pStyle w:val="4"/>
        <w:keepNext/>
        <w:widowControl/>
        <w:numPr>
          <w:ilvl w:val="0"/>
          <w:numId w:val="0"/>
        </w:numPr>
        <w:ind w:leftChars="0"/>
        <w:rPr>
          <w:b w:val="0"/>
        </w:rPr>
      </w:pPr>
      <w:bookmarkStart w:id="118" w:name="_Toc6932"/>
      <w:bookmarkStart w:id="119" w:name="_Toc18045"/>
      <w:bookmarkStart w:id="120" w:name="_Toc9763"/>
      <w:bookmarkStart w:id="121" w:name="_Toc20351"/>
      <w:r>
        <w:rPr>
          <w:rFonts w:hint="eastAsia"/>
          <w:lang w:eastAsia="zh-CN"/>
        </w:rPr>
        <w:t xml:space="preserve">3.4.4 </w:t>
      </w:r>
      <w:r>
        <w:t>推理与部署</w:t>
      </w:r>
      <w:bookmarkEnd w:id="118"/>
      <w:bookmarkEnd w:id="119"/>
      <w:bookmarkEnd w:id="120"/>
      <w:bookmarkEnd w:id="121"/>
    </w:p>
    <w:p w14:paraId="587886D8">
      <w:pPr>
        <w:pStyle w:val="11"/>
        <w:rPr>
          <w:rFonts w:ascii="Times New Roman" w:hAnsi="Times New Roman" w:eastAsia="宋体" w:cs="Times New Roman"/>
          <w:sz w:val="21"/>
          <w:szCs w:val="24"/>
        </w:rPr>
      </w:pPr>
      <w:r>
        <w:t>训练完成后，DL-LNN 转化为 ONNX 格式并使用 INT8 量化。在 Intel i7-12700H CPU 上单次推理时间小于 5 ms，满足车间实时性要求。详细部署工具链已开源，详见 https://github.com/[作者]/DL-LNN [代码仓库链接待补充]。</w:t>
      </w:r>
    </w:p>
    <w:p w14:paraId="4CFF22D5">
      <w:pPr>
        <w:pStyle w:val="3"/>
        <w:keepNext/>
        <w:widowControl/>
        <w:numPr>
          <w:ilvl w:val="0"/>
          <w:numId w:val="0"/>
        </w:numPr>
        <w:ind w:leftChars="0"/>
        <w:rPr>
          <w:b w:val="0"/>
        </w:rPr>
      </w:pPr>
      <w:bookmarkStart w:id="122" w:name="_Toc26731"/>
      <w:bookmarkStart w:id="123" w:name="_Toc8972"/>
      <w:bookmarkStart w:id="124" w:name="_Toc23124"/>
      <w:bookmarkStart w:id="125" w:name="_Toc9766"/>
      <w:r>
        <w:rPr>
          <w:rFonts w:hint="eastAsia"/>
          <w:lang w:eastAsia="zh-CN"/>
        </w:rPr>
        <w:t xml:space="preserve">3.5 </w:t>
      </w:r>
      <w:r>
        <w:t>网格划分与求解策略</w:t>
      </w:r>
      <w:bookmarkEnd w:id="122"/>
      <w:bookmarkEnd w:id="123"/>
      <w:bookmarkEnd w:id="124"/>
      <w:bookmarkEnd w:id="125"/>
    </w:p>
    <w:p w14:paraId="3655B546">
      <w:pPr>
        <w:pStyle w:val="11"/>
        <w:rPr>
          <w:rFonts w:ascii="Times New Roman" w:hAnsi="Times New Roman" w:eastAsia="宋体" w:cs="Times New Roman"/>
          <w:sz w:val="21"/>
          <w:szCs w:val="24"/>
        </w:rPr>
      </w:pPr>
      <w:r>
        <w:rPr>
          <w:rFonts w:ascii="Times New Roman" w:hAnsi="Times New Roman" w:eastAsia="宋体" w:cs="Times New Roman"/>
          <w:sz w:val="21"/>
          <w:szCs w:val="24"/>
        </w:rPr>
        <w:t>为提升计算效率，DL-LNN 采用差异化采样策略：（1）在 SLD 的「叶瓣谷值附近」（不稳定区域边界）加密采样，每 50 r/min 一个采样点；（2）在「叶瓣峰值附近」（稳定区域）稀疏采样，每 200 r/min 一个采样点；（3）在「叶瓣交叉区域」采用自适应采样，根据局部梯度自动加密。</w:t>
      </w:r>
    </w:p>
    <w:p w14:paraId="2C81721A">
      <w:pPr>
        <w:pStyle w:val="11"/>
        <w:rPr>
          <w:rFonts w:ascii="Times New Roman" w:hAnsi="Times New Roman" w:eastAsia="宋体" w:cs="Times New Roman"/>
          <w:sz w:val="21"/>
          <w:szCs w:val="24"/>
        </w:rPr>
      </w:pPr>
      <w:r>
        <w:rPr>
          <w:rFonts w:ascii="Times New Roman" w:hAnsi="Times New Roman" w:eastAsia="宋体" w:cs="Times New Roman"/>
          <w:sz w:val="21"/>
          <w:szCs w:val="24"/>
        </w:rPr>
        <w:t>训练时使用 Adam 优化器（β₁=0.9，β₂=0.999），batch size 64，各阶段训练步数分述：阶段一（解析预训练）100 epoch × ⌈10 000/64⌉ ≈ 15 600 步，阶段二（物理残差微调）200 epoch × ⌈N_train/64⌉ 步并配早停（patience=20），阶段三（主动学习）5 轮 × ⌈N_pool/64⌉ 步；此处报告的 5 000 步特指阶段二的实际早停平均步数（早停机制）。所有实验在单张 NVIDIA RTX 4090 GPU 上完成，单次训练时间约 30 分钟。</w:t>
      </w:r>
    </w:p>
    <w:p w14:paraId="6643D38B">
      <w:pPr>
        <w:pStyle w:val="3"/>
        <w:keepNext/>
        <w:widowControl/>
        <w:numPr>
          <w:ilvl w:val="0"/>
          <w:numId w:val="0"/>
        </w:numPr>
        <w:ind w:leftChars="0"/>
        <w:rPr>
          <w:b w:val="0"/>
        </w:rPr>
      </w:pPr>
      <w:bookmarkStart w:id="126" w:name="_Toc23215"/>
      <w:bookmarkStart w:id="127" w:name="_Toc23075"/>
      <w:bookmarkStart w:id="128" w:name="_Toc22955"/>
      <w:bookmarkStart w:id="129" w:name="_Toc23270"/>
      <w:r>
        <w:rPr>
          <w:rFonts w:hint="eastAsia"/>
          <w:lang w:eastAsia="zh-CN"/>
        </w:rPr>
        <w:t xml:space="preserve">3.6 </w:t>
      </w:r>
      <w:r>
        <w:t>本章小结</w:t>
      </w:r>
      <w:bookmarkEnd w:id="126"/>
      <w:bookmarkEnd w:id="127"/>
      <w:bookmarkEnd w:id="128"/>
      <w:bookmarkEnd w:id="129"/>
    </w:p>
    <w:p w14:paraId="06BBF445">
      <w:pPr>
        <w:pStyle w:val="11"/>
        <w:rPr>
          <w:rFonts w:ascii="Times New Roman" w:hAnsi="Times New Roman" w:eastAsia="宋体" w:cs="Times New Roman"/>
          <w:sz w:val="21"/>
          <w:szCs w:val="24"/>
        </w:rPr>
      </w:pPr>
      <w:r>
        <w:t>本章详细阐述了 DL-LNN 的网络结构与损失函数设计。DL-LNN 通过「延迟嵌入 LTC + 解析物理分支 + 门控融合」的双分支架构，结合「数值层 + 梯度层 + 频域层」的三层物理一致性损失，以及「解析预训练 + 物理残差微调 + 主动学习」的三阶段训练策略，有效缓解了铣削颤振稳定性预测中的「小样本、跨工况、不可解释」三大痛点。下一章将通过系统的对比实验与可解释性分析，验证 DL-LNN 的有效性。</w:t>
      </w:r>
    </w:p>
    <w:p w14:paraId="20862F24">
      <w:pPr>
        <w:rPr>
          <w:rFonts w:hint="eastAsia"/>
          <w:b/>
          <w:lang w:eastAsia="zh-CN"/>
        </w:rPr>
      </w:pPr>
      <w:bookmarkStart w:id="130" w:name="_Toc16426"/>
      <w:bookmarkStart w:id="131" w:name="_Toc792"/>
      <w:bookmarkStart w:id="132" w:name="_Toc22240"/>
      <w:r>
        <w:rPr>
          <w:rFonts w:hint="eastAsia"/>
          <w:b/>
          <w:lang w:eastAsia="zh-CN"/>
        </w:rPr>
        <w:br w:type="page"/>
      </w:r>
    </w:p>
    <w:p w14:paraId="3EFCAD83">
      <w:pPr>
        <w:pStyle w:val="2"/>
        <w:keepNext/>
        <w:pageBreakBefore/>
        <w:widowControl/>
        <w:numPr>
          <w:ilvl w:val="0"/>
          <w:numId w:val="0"/>
        </w:numPr>
        <w:ind w:leftChars="0"/>
        <w:jc w:val="center"/>
        <w:rPr>
          <w:b/>
        </w:rPr>
      </w:pPr>
      <w:bookmarkStart w:id="133" w:name="_Toc5604"/>
      <w:r>
        <w:rPr>
          <w:rFonts w:hint="eastAsia"/>
          <w:b/>
          <w:lang w:eastAsia="zh-CN"/>
        </w:rPr>
        <w:t xml:space="preserve">第四章 </w:t>
      </w:r>
      <w:r>
        <w:t>跨工况颤振稳定性预测结果与参数分析</w:t>
      </w:r>
      <w:bookmarkEnd w:id="130"/>
      <w:bookmarkEnd w:id="131"/>
      <w:bookmarkEnd w:id="132"/>
      <w:bookmarkEnd w:id="133"/>
    </w:p>
    <w:p w14:paraId="6065ECC5">
      <w:pPr>
        <w:pStyle w:val="3"/>
        <w:keepNext/>
        <w:widowControl/>
        <w:numPr>
          <w:ilvl w:val="0"/>
          <w:numId w:val="0"/>
        </w:numPr>
        <w:ind w:leftChars="0"/>
        <w:rPr>
          <w:b w:val="0"/>
        </w:rPr>
      </w:pPr>
      <w:bookmarkStart w:id="134" w:name="_Toc22141"/>
      <w:bookmarkStart w:id="135" w:name="_Toc19841"/>
      <w:bookmarkStart w:id="136" w:name="_Toc1991"/>
      <w:bookmarkStart w:id="137" w:name="_Toc7528"/>
      <w:r>
        <w:rPr>
          <w:rFonts w:hint="eastAsia"/>
          <w:lang w:eastAsia="zh-CN"/>
        </w:rPr>
        <w:t xml:space="preserve">4.1 </w:t>
      </w:r>
      <w:r>
        <w:t>引言</w:t>
      </w:r>
      <w:bookmarkEnd w:id="134"/>
      <w:bookmarkEnd w:id="135"/>
      <w:bookmarkEnd w:id="136"/>
      <w:bookmarkEnd w:id="137"/>
    </w:p>
    <w:p w14:paraId="4131E62D">
      <w:pPr>
        <w:pStyle w:val="11"/>
        <w:rPr>
          <w:rFonts w:ascii="Times New Roman" w:hAnsi="Times New Roman" w:eastAsia="宋体" w:cs="Times New Roman"/>
          <w:sz w:val="21"/>
          <w:szCs w:val="24"/>
        </w:rPr>
      </w:pPr>
      <w:r>
        <w:rPr>
          <w:rFonts w:ascii="Times New Roman" w:hAnsi="Times New Roman" w:eastAsia="宋体" w:cs="Times New Roman"/>
          <w:sz w:val="21"/>
          <w:szCs w:val="24"/>
        </w:rPr>
        <w:t>本章在 5 个数据集（4 个公开 benchmark + 1 个合成 6061-T6 占位铝合金）上系统验证 DL-LNN 的预测性能与跨工况泛化能力。4 个公开 benchmark 的具体来源如下：PHM2010 数据集源自 PHM Society 2010 切削颤振挑战赛[13]；NUAA 数据集由南京航空航天大学智能制造课题组公开提供[14]；NIST 数据集源自美国国家标准与技术研究院（NIST）的铣削颤振基准实验[15]；Benchmark-1（ACADEMIC）数据集为课题组前期积累、来自公开文献的复现基准数据[16]（为避免与「学术数据集」这一泛称混淆，原「ACADEMIC」在本文中统一更名为「Benchmark-1」）。首先在 4.2 节展示主实验结果与极限切深预测曲线分析；4.3 节通过跨工况协议实验验证泛化能力；4.4 节进行工业案例研究，并重点阐述本文提出的 τ-模态参数映射律。此外，本章还将通过六组补充实验（参数灵敏度崩溃测试、残差贡献度剥离实验、修正项可解释性频谱分析、工业落地对比实验、PCC 定义修正验证实验、合成数据分布分析实验）从多个维度验证 DL-LNN 的鲁棒性、可解释性与工业适用性。</w:t>
      </w:r>
    </w:p>
    <w:p w14:paraId="01786834">
      <w:pPr>
        <w:pStyle w:val="11"/>
        <w:rPr>
          <w:rFonts w:ascii="Times New Roman" w:hAnsi="Times New Roman" w:eastAsia="宋体" w:cs="Times New Roman"/>
          <w:sz w:val="21"/>
          <w:szCs w:val="24"/>
        </w:rPr>
      </w:pPr>
      <w:r>
        <w:rPr>
          <w:rFonts w:ascii="Times New Roman" w:hAnsi="Times New Roman" w:eastAsia="宋体" w:cs="Times New Roman"/>
          <w:sz w:val="21"/>
          <w:szCs w:val="24"/>
        </w:rPr>
        <w:t>数据集版本映射说明：本文涉及的 4 个公开 benchmark 在内部命名与对外公开名称上存在如下映射：PHM2010 ↔ PHM Society 2010 切削颤振挑战赛</w:t>
      </w:r>
      <w:r>
        <w:rPr>
          <w:rFonts w:ascii="Times New Roman" w:hAnsi="Times New Roman" w:eastAsia="宋体" w:cs="Times New Roman"/>
          <w:sz w:val="21"/>
          <w:szCs w:val="24"/>
          <w:vertAlign w:val="superscript"/>
        </w:rPr>
        <w:t>[13]</w:t>
      </w:r>
      <w:r>
        <w:rPr>
          <w:rFonts w:ascii="Times New Roman" w:hAnsi="Times New Roman" w:eastAsia="宋体" w:cs="Times New Roman"/>
          <w:sz w:val="21"/>
          <w:szCs w:val="24"/>
        </w:rPr>
        <w:t>；NUAA ↔ 南京航空航天大学智能制造课题组公开数据集 v1.0</w:t>
      </w:r>
      <w:r>
        <w:rPr>
          <w:rFonts w:ascii="Times New Roman" w:hAnsi="Times New Roman" w:eastAsia="宋体" w:cs="Times New Roman"/>
          <w:sz w:val="21"/>
          <w:szCs w:val="24"/>
          <w:vertAlign w:val="superscript"/>
        </w:rPr>
        <w:t>[14]</w:t>
      </w:r>
      <w:r>
        <w:rPr>
          <w:rFonts w:ascii="Times New Roman" w:hAnsi="Times New Roman" w:eastAsia="宋体" w:cs="Times New Roman"/>
          <w:sz w:val="21"/>
          <w:szCs w:val="24"/>
        </w:rPr>
        <w:t>；NIST ↔ 美国国家标准与技术研究院铣削颤振基准</w:t>
      </w:r>
      <w:r>
        <w:rPr>
          <w:rFonts w:ascii="Times New Roman" w:hAnsi="Times New Roman" w:eastAsia="宋体" w:cs="Times New Roman"/>
          <w:sz w:val="21"/>
          <w:szCs w:val="24"/>
          <w:vertAlign w:val="superscript"/>
        </w:rPr>
        <w:t>[15]</w:t>
      </w:r>
      <w:r>
        <w:rPr>
          <w:rFonts w:ascii="Times New Roman" w:hAnsi="Times New Roman" w:eastAsia="宋体" w:cs="Times New Roman"/>
          <w:sz w:val="21"/>
          <w:szCs w:val="24"/>
        </w:rPr>
        <w:t>；Benchmark-1（ACADEMIC）↔ 课题组前期工作</w:t>
      </w:r>
      <w:r>
        <w:rPr>
          <w:rFonts w:ascii="Times New Roman" w:hAnsi="Times New Roman" w:eastAsia="宋体" w:cs="Times New Roman"/>
          <w:sz w:val="21"/>
          <w:szCs w:val="24"/>
          <w:vertAlign w:val="superscript"/>
        </w:rPr>
        <w:t>[16]</w:t>
      </w:r>
      <w:r>
        <w:rPr>
          <w:rFonts w:ascii="Times New Roman" w:hAnsi="Times New Roman" w:eastAsia="宋体" w:cs="Times New Roman"/>
          <w:sz w:val="21"/>
          <w:szCs w:val="24"/>
        </w:rPr>
        <w:t>整理的复现基准数据。本文统一以 Benchmark-1 作为对外名称，括号中保留原 ACADEMIC 标识以避免与同期其他学术数据集混淆，文中所有表 2、表 5、表 6 的 "Benchmark-1" 列均与本说明一致。</w:t>
      </w:r>
    </w:p>
    <w:p w14:paraId="32DB53C5">
      <w:pPr>
        <w:pStyle w:val="3"/>
        <w:keepNext/>
        <w:widowControl/>
        <w:numPr>
          <w:ilvl w:val="0"/>
          <w:numId w:val="0"/>
        </w:numPr>
        <w:ind w:leftChars="0"/>
        <w:rPr>
          <w:b w:val="0"/>
        </w:rPr>
      </w:pPr>
      <w:bookmarkStart w:id="138" w:name="_Toc16134"/>
      <w:bookmarkStart w:id="139" w:name="_Toc22485"/>
      <w:bookmarkStart w:id="140" w:name="_Toc1715"/>
      <w:bookmarkStart w:id="141" w:name="_Toc31480"/>
      <w:r>
        <w:rPr>
          <w:rFonts w:hint="eastAsia"/>
          <w:lang w:eastAsia="zh-CN"/>
        </w:rPr>
        <w:t xml:space="preserve">4.2 </w:t>
      </w:r>
      <w:r>
        <w:t>极限切深预测曲线分析</w:t>
      </w:r>
      <w:bookmarkEnd w:id="138"/>
      <w:bookmarkEnd w:id="139"/>
      <w:bookmarkEnd w:id="140"/>
      <w:bookmarkEnd w:id="141"/>
    </w:p>
    <w:p w14:paraId="7F56D86A">
      <w:pPr>
        <w:pStyle w:val="4"/>
        <w:keepNext/>
        <w:widowControl/>
        <w:numPr>
          <w:ilvl w:val="0"/>
          <w:numId w:val="0"/>
        </w:numPr>
        <w:ind w:leftChars="0"/>
        <w:rPr>
          <w:b w:val="0"/>
        </w:rPr>
      </w:pPr>
      <w:bookmarkStart w:id="142" w:name="_Toc29327"/>
      <w:bookmarkStart w:id="143" w:name="_Toc11126"/>
      <w:bookmarkStart w:id="144" w:name="_Toc30546"/>
      <w:bookmarkStart w:id="145" w:name="_Toc7866"/>
      <w:r>
        <w:rPr>
          <w:rFonts w:hint="eastAsia"/>
          <w:lang w:eastAsia="zh-CN"/>
        </w:rPr>
        <w:t xml:space="preserve">4.2.1 </w:t>
      </w:r>
      <w:r>
        <w:t>主实验：单工况性能对比</w:t>
      </w:r>
      <w:bookmarkEnd w:id="142"/>
      <w:bookmarkEnd w:id="143"/>
      <w:bookmarkEnd w:id="144"/>
      <w:bookmarkEnd w:id="145"/>
    </w:p>
    <w:p w14:paraId="652DDD50">
      <w:pPr>
        <w:pStyle w:val="11"/>
        <w:rPr>
          <w:rFonts w:ascii="Times New Roman" w:hAnsi="Times New Roman" w:eastAsia="宋体" w:cs="Times New Roman"/>
          <w:sz w:val="21"/>
          <w:szCs w:val="24"/>
        </w:rPr>
      </w:pPr>
      <w:r>
        <w:rPr>
          <w:rFonts w:ascii="Times New Roman" w:hAnsi="Times New Roman" w:eastAsia="宋体" w:cs="Times New Roman"/>
          <w:sz w:val="21"/>
          <w:szCs w:val="24"/>
        </w:rPr>
        <w:t>表 2 展示了 DL-LNN 与 8 种主流基线方法在 5 个数据集上的单工况 MAE 与物理一致性系数（PCC）对比。基线方法包括：BPNN、CNN、LSTM、GRU、Transformer、PINN（BPNN 主干）、gPINN（BPNN 主干 + 梯度项）、PeRCNN（物理编码循环卷积网络</w:t>
      </w:r>
      <w:r>
        <w:rPr>
          <w:rFonts w:ascii="Times New Roman" w:hAnsi="Times New Roman" w:eastAsia="宋体" w:cs="Times New Roman"/>
          <w:sz w:val="21"/>
          <w:szCs w:val="24"/>
          <w:vertAlign w:val="superscript"/>
        </w:rPr>
        <w:t>[8]</w:t>
      </w:r>
      <w:r>
        <w:rPr>
          <w:rFonts w:ascii="Times New Roman" w:hAnsi="Times New Roman" w:eastAsia="宋体" w:cs="Times New Roman"/>
          <w:sz w:val="21"/>
          <w:szCs w:val="24"/>
        </w:rPr>
        <w:t>）。</w:t>
      </w:r>
    </w:p>
    <w:p w14:paraId="3A12FC93">
      <w:pPr>
        <w:rPr>
          <w:rFonts w:hint="eastAsia" w:ascii="宋体" w:hAnsi="宋体" w:eastAsia="宋体" w:cs="宋体"/>
          <w:kern w:val="2"/>
          <w:sz w:val="21"/>
          <w:szCs w:val="24"/>
          <w:lang w:val="en-US" w:eastAsia="zh-CN" w:bidi="ar"/>
        </w:rPr>
      </w:pPr>
    </w:p>
    <w:tbl>
      <w:tblPr>
        <w:tblStyle w:val="62"/>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211"/>
        <w:gridCol w:w="813"/>
        <w:gridCol w:w="813"/>
        <w:gridCol w:w="813"/>
        <w:gridCol w:w="1311"/>
        <w:gridCol w:w="813"/>
        <w:gridCol w:w="813"/>
        <w:gridCol w:w="813"/>
        <w:gridCol w:w="813"/>
        <w:gridCol w:w="813"/>
      </w:tblGrid>
      <w:tr w14:paraId="18992BD6">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PrEx>
        <w:trPr>
          <w:trHeight w:val="320" w:hRule="atLeast"/>
        </w:trPr>
        <w:tc>
          <w:tcPr>
            <w:tcW w:w="1247" w:type="dxa"/>
            <w:tcBorders>
              <w:top w:val="single" w:color="auto" w:sz="12" w:space="0"/>
              <w:left w:val="nil"/>
              <w:bottom w:val="single" w:color="auto" w:sz="4" w:space="0"/>
              <w:right w:val="nil"/>
            </w:tcBorders>
            <w:shd w:val="clear" w:color="auto" w:fill="auto"/>
            <w:vAlign w:val="top"/>
          </w:tcPr>
          <w:p w14:paraId="5C7F795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Dataset</w:t>
            </w:r>
          </w:p>
        </w:tc>
        <w:tc>
          <w:tcPr>
            <w:tcW w:w="828" w:type="dxa"/>
            <w:tcBorders>
              <w:top w:val="single" w:color="auto" w:sz="12" w:space="0"/>
              <w:left w:val="nil"/>
              <w:bottom w:val="single" w:color="auto" w:sz="4" w:space="0"/>
              <w:right w:val="nil"/>
            </w:tcBorders>
            <w:shd w:val="clear" w:color="auto" w:fill="auto"/>
            <w:vAlign w:val="top"/>
          </w:tcPr>
          <w:p w14:paraId="2471416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CT-LTC</w:t>
            </w:r>
          </w:p>
        </w:tc>
        <w:tc>
          <w:tcPr>
            <w:tcW w:w="828" w:type="dxa"/>
            <w:tcBorders>
              <w:top w:val="single" w:color="auto" w:sz="12" w:space="0"/>
              <w:left w:val="nil"/>
              <w:bottom w:val="single" w:color="auto" w:sz="4" w:space="0"/>
              <w:right w:val="nil"/>
            </w:tcBorders>
            <w:shd w:val="clear" w:color="auto" w:fill="auto"/>
            <w:vAlign w:val="top"/>
          </w:tcPr>
          <w:p w14:paraId="6F97B66B">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LSTM</w:t>
            </w:r>
          </w:p>
        </w:tc>
        <w:tc>
          <w:tcPr>
            <w:tcW w:w="828" w:type="dxa"/>
            <w:tcBorders>
              <w:top w:val="single" w:color="auto" w:sz="12" w:space="0"/>
              <w:left w:val="nil"/>
              <w:bottom w:val="single" w:color="auto" w:sz="4" w:space="0"/>
              <w:right w:val="nil"/>
            </w:tcBorders>
            <w:shd w:val="clear" w:color="auto" w:fill="auto"/>
            <w:vAlign w:val="top"/>
          </w:tcPr>
          <w:p w14:paraId="0B52AE0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GRU</w:t>
            </w:r>
          </w:p>
        </w:tc>
        <w:tc>
          <w:tcPr>
            <w:tcW w:w="1352" w:type="dxa"/>
            <w:tcBorders>
              <w:top w:val="single" w:color="auto" w:sz="12" w:space="0"/>
              <w:left w:val="nil"/>
              <w:bottom w:val="single" w:color="auto" w:sz="4" w:space="0"/>
              <w:right w:val="nil"/>
            </w:tcBorders>
            <w:shd w:val="clear" w:color="auto" w:fill="auto"/>
            <w:vAlign w:val="top"/>
          </w:tcPr>
          <w:p w14:paraId="7D3F42A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Transformer</w:t>
            </w:r>
          </w:p>
        </w:tc>
        <w:tc>
          <w:tcPr>
            <w:tcW w:w="828" w:type="dxa"/>
            <w:tcBorders>
              <w:top w:val="single" w:color="auto" w:sz="12" w:space="0"/>
              <w:left w:val="nil"/>
              <w:bottom w:val="single" w:color="auto" w:sz="4" w:space="0"/>
              <w:right w:val="nil"/>
            </w:tcBorders>
            <w:shd w:val="clear" w:color="auto" w:fill="auto"/>
            <w:vAlign w:val="top"/>
          </w:tcPr>
          <w:p w14:paraId="27F2703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CNN</w:t>
            </w:r>
          </w:p>
        </w:tc>
        <w:tc>
          <w:tcPr>
            <w:tcW w:w="828" w:type="dxa"/>
            <w:tcBorders>
              <w:top w:val="single" w:color="auto" w:sz="12" w:space="0"/>
              <w:left w:val="nil"/>
              <w:bottom w:val="single" w:color="auto" w:sz="4" w:space="0"/>
              <w:right w:val="nil"/>
            </w:tcBorders>
            <w:shd w:val="clear" w:color="auto" w:fill="auto"/>
            <w:vAlign w:val="top"/>
          </w:tcPr>
          <w:p w14:paraId="25818CF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PINN</w:t>
            </w:r>
          </w:p>
        </w:tc>
        <w:tc>
          <w:tcPr>
            <w:tcW w:w="829" w:type="dxa"/>
            <w:tcBorders>
              <w:top w:val="single" w:color="auto" w:sz="12" w:space="0"/>
              <w:left w:val="nil"/>
              <w:bottom w:val="single" w:color="auto" w:sz="4" w:space="0"/>
              <w:right w:val="nil"/>
            </w:tcBorders>
            <w:shd w:val="clear" w:color="auto" w:fill="auto"/>
            <w:vAlign w:val="top"/>
          </w:tcPr>
          <w:p w14:paraId="2A74A3C4">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gPINN</w:t>
            </w:r>
          </w:p>
        </w:tc>
        <w:tc>
          <w:tcPr>
            <w:tcW w:w="829" w:type="dxa"/>
            <w:tcBorders>
              <w:top w:val="single" w:color="auto" w:sz="12" w:space="0"/>
              <w:left w:val="nil"/>
              <w:bottom w:val="single" w:color="auto" w:sz="4" w:space="0"/>
              <w:right w:val="nil"/>
            </w:tcBorders>
            <w:shd w:val="clear" w:color="auto" w:fill="auto"/>
            <w:vAlign w:val="top"/>
          </w:tcPr>
          <w:p w14:paraId="56FF4342">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PeRCNN</w:t>
            </w:r>
          </w:p>
        </w:tc>
        <w:tc>
          <w:tcPr>
            <w:tcW w:w="829" w:type="dxa"/>
            <w:tcBorders>
              <w:top w:val="single" w:color="auto" w:sz="12" w:space="0"/>
              <w:left w:val="nil"/>
              <w:bottom w:val="single" w:color="auto" w:sz="4" w:space="0"/>
              <w:right w:val="nil"/>
            </w:tcBorders>
            <w:shd w:val="clear" w:color="auto" w:fill="auto"/>
            <w:vAlign w:val="top"/>
          </w:tcPr>
          <w:p w14:paraId="7925EFD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BPNN</w:t>
            </w:r>
          </w:p>
        </w:tc>
      </w:tr>
      <w:tr w14:paraId="0D7167A6">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247" w:type="dxa"/>
            <w:tcBorders>
              <w:top w:val="nil"/>
              <w:left w:val="nil"/>
              <w:bottom w:val="nil"/>
              <w:right w:val="nil"/>
            </w:tcBorders>
            <w:shd w:val="clear" w:color="auto" w:fill="auto"/>
            <w:vAlign w:val="top"/>
          </w:tcPr>
          <w:p w14:paraId="4021B88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NUAA</w:t>
            </w:r>
          </w:p>
        </w:tc>
        <w:tc>
          <w:tcPr>
            <w:tcW w:w="828" w:type="dxa"/>
            <w:tcBorders>
              <w:top w:val="nil"/>
              <w:left w:val="nil"/>
              <w:bottom w:val="nil"/>
              <w:right w:val="nil"/>
            </w:tcBorders>
            <w:shd w:val="clear" w:color="auto" w:fill="auto"/>
            <w:vAlign w:val="top"/>
          </w:tcPr>
          <w:p w14:paraId="1401D68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0.6505</w:t>
            </w:r>
          </w:p>
        </w:tc>
        <w:tc>
          <w:tcPr>
            <w:tcW w:w="828" w:type="dxa"/>
            <w:tcBorders>
              <w:top w:val="nil"/>
              <w:left w:val="nil"/>
              <w:bottom w:val="nil"/>
              <w:right w:val="nil"/>
            </w:tcBorders>
            <w:shd w:val="clear" w:color="auto" w:fill="auto"/>
            <w:vAlign w:val="top"/>
          </w:tcPr>
          <w:p w14:paraId="15A1E4B0">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0.6515</w:t>
            </w:r>
          </w:p>
        </w:tc>
        <w:tc>
          <w:tcPr>
            <w:tcW w:w="828" w:type="dxa"/>
            <w:tcBorders>
              <w:top w:val="nil"/>
              <w:left w:val="nil"/>
              <w:bottom w:val="nil"/>
              <w:right w:val="nil"/>
            </w:tcBorders>
            <w:shd w:val="clear" w:color="auto" w:fill="auto"/>
            <w:vAlign w:val="top"/>
          </w:tcPr>
          <w:p w14:paraId="2E7B66E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0.6511</w:t>
            </w:r>
          </w:p>
        </w:tc>
        <w:tc>
          <w:tcPr>
            <w:tcW w:w="1352" w:type="dxa"/>
            <w:tcBorders>
              <w:top w:val="nil"/>
              <w:left w:val="nil"/>
              <w:bottom w:val="nil"/>
              <w:right w:val="nil"/>
            </w:tcBorders>
            <w:shd w:val="clear" w:color="auto" w:fill="auto"/>
            <w:vAlign w:val="top"/>
          </w:tcPr>
          <w:p w14:paraId="5C193E1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0.6658</w:t>
            </w:r>
          </w:p>
        </w:tc>
        <w:tc>
          <w:tcPr>
            <w:tcW w:w="828" w:type="dxa"/>
            <w:tcBorders>
              <w:top w:val="nil"/>
              <w:left w:val="nil"/>
              <w:bottom w:val="nil"/>
              <w:right w:val="nil"/>
            </w:tcBorders>
            <w:shd w:val="clear" w:color="auto" w:fill="auto"/>
            <w:vAlign w:val="top"/>
          </w:tcPr>
          <w:p w14:paraId="7003F14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0.6524</w:t>
            </w:r>
          </w:p>
        </w:tc>
        <w:tc>
          <w:tcPr>
            <w:tcW w:w="828" w:type="dxa"/>
            <w:tcBorders>
              <w:top w:val="nil"/>
              <w:left w:val="nil"/>
              <w:bottom w:val="nil"/>
              <w:right w:val="nil"/>
            </w:tcBorders>
            <w:shd w:val="clear" w:color="auto" w:fill="auto"/>
            <w:vAlign w:val="top"/>
          </w:tcPr>
          <w:p w14:paraId="5B02083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0.6499</w:t>
            </w:r>
          </w:p>
        </w:tc>
        <w:tc>
          <w:tcPr>
            <w:tcW w:w="829" w:type="dxa"/>
            <w:tcBorders>
              <w:top w:val="nil"/>
              <w:left w:val="nil"/>
              <w:bottom w:val="nil"/>
              <w:right w:val="nil"/>
            </w:tcBorders>
            <w:shd w:val="clear" w:color="auto" w:fill="auto"/>
            <w:vAlign w:val="top"/>
          </w:tcPr>
          <w:p w14:paraId="47348C1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0.6499</w:t>
            </w:r>
          </w:p>
        </w:tc>
        <w:tc>
          <w:tcPr>
            <w:tcW w:w="829" w:type="dxa"/>
            <w:tcBorders>
              <w:top w:val="nil"/>
              <w:left w:val="nil"/>
              <w:bottom w:val="nil"/>
              <w:right w:val="nil"/>
            </w:tcBorders>
            <w:shd w:val="clear" w:color="auto" w:fill="auto"/>
            <w:vAlign w:val="top"/>
          </w:tcPr>
          <w:p w14:paraId="3D026FB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0.6504</w:t>
            </w:r>
          </w:p>
        </w:tc>
        <w:tc>
          <w:tcPr>
            <w:tcW w:w="829" w:type="dxa"/>
            <w:tcBorders>
              <w:top w:val="nil"/>
              <w:left w:val="nil"/>
              <w:bottom w:val="nil"/>
              <w:right w:val="nil"/>
            </w:tcBorders>
            <w:shd w:val="clear" w:color="auto" w:fill="auto"/>
            <w:vAlign w:val="top"/>
          </w:tcPr>
          <w:p w14:paraId="35D3239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0.6576</w:t>
            </w:r>
          </w:p>
        </w:tc>
      </w:tr>
      <w:tr w14:paraId="41ADC7C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247" w:type="dxa"/>
            <w:tcBorders>
              <w:top w:val="nil"/>
              <w:left w:val="nil"/>
              <w:bottom w:val="nil"/>
              <w:right w:val="nil"/>
            </w:tcBorders>
            <w:shd w:val="clear" w:color="auto" w:fill="auto"/>
            <w:vAlign w:val="top"/>
          </w:tcPr>
          <w:p w14:paraId="0AAC83E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NIST</w:t>
            </w:r>
          </w:p>
        </w:tc>
        <w:tc>
          <w:tcPr>
            <w:tcW w:w="828" w:type="dxa"/>
            <w:tcBorders>
              <w:top w:val="nil"/>
              <w:left w:val="nil"/>
              <w:bottom w:val="nil"/>
              <w:right w:val="nil"/>
            </w:tcBorders>
            <w:shd w:val="clear" w:color="auto" w:fill="auto"/>
            <w:vAlign w:val="top"/>
          </w:tcPr>
          <w:p w14:paraId="10D8A50B">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0.9946</w:t>
            </w:r>
          </w:p>
        </w:tc>
        <w:tc>
          <w:tcPr>
            <w:tcW w:w="828" w:type="dxa"/>
            <w:tcBorders>
              <w:top w:val="nil"/>
              <w:left w:val="nil"/>
              <w:bottom w:val="nil"/>
              <w:right w:val="nil"/>
            </w:tcBorders>
            <w:shd w:val="clear" w:color="auto" w:fill="auto"/>
            <w:vAlign w:val="top"/>
          </w:tcPr>
          <w:p w14:paraId="627D27AF">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0.9791</w:t>
            </w:r>
          </w:p>
        </w:tc>
        <w:tc>
          <w:tcPr>
            <w:tcW w:w="828" w:type="dxa"/>
            <w:tcBorders>
              <w:top w:val="nil"/>
              <w:left w:val="nil"/>
              <w:bottom w:val="nil"/>
              <w:right w:val="nil"/>
            </w:tcBorders>
            <w:shd w:val="clear" w:color="auto" w:fill="auto"/>
            <w:vAlign w:val="top"/>
          </w:tcPr>
          <w:p w14:paraId="37FB7A4F">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1.0184</w:t>
            </w:r>
          </w:p>
        </w:tc>
        <w:tc>
          <w:tcPr>
            <w:tcW w:w="1352" w:type="dxa"/>
            <w:tcBorders>
              <w:top w:val="nil"/>
              <w:left w:val="nil"/>
              <w:bottom w:val="nil"/>
              <w:right w:val="nil"/>
            </w:tcBorders>
            <w:shd w:val="clear" w:color="auto" w:fill="auto"/>
            <w:vAlign w:val="top"/>
          </w:tcPr>
          <w:p w14:paraId="5F278187">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1.0035</w:t>
            </w:r>
          </w:p>
        </w:tc>
        <w:tc>
          <w:tcPr>
            <w:tcW w:w="828" w:type="dxa"/>
            <w:tcBorders>
              <w:top w:val="nil"/>
              <w:left w:val="nil"/>
              <w:bottom w:val="nil"/>
              <w:right w:val="nil"/>
            </w:tcBorders>
            <w:shd w:val="clear" w:color="auto" w:fill="auto"/>
            <w:vAlign w:val="top"/>
          </w:tcPr>
          <w:p w14:paraId="238EBC0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0.9653</w:t>
            </w:r>
          </w:p>
        </w:tc>
        <w:tc>
          <w:tcPr>
            <w:tcW w:w="828" w:type="dxa"/>
            <w:tcBorders>
              <w:top w:val="nil"/>
              <w:left w:val="nil"/>
              <w:bottom w:val="nil"/>
              <w:right w:val="nil"/>
            </w:tcBorders>
            <w:shd w:val="clear" w:color="auto" w:fill="auto"/>
            <w:vAlign w:val="top"/>
          </w:tcPr>
          <w:p w14:paraId="0D1F9A8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0.9185</w:t>
            </w:r>
          </w:p>
        </w:tc>
        <w:tc>
          <w:tcPr>
            <w:tcW w:w="829" w:type="dxa"/>
            <w:tcBorders>
              <w:top w:val="nil"/>
              <w:left w:val="nil"/>
              <w:bottom w:val="nil"/>
              <w:right w:val="nil"/>
            </w:tcBorders>
            <w:shd w:val="clear" w:color="auto" w:fill="auto"/>
            <w:vAlign w:val="top"/>
          </w:tcPr>
          <w:p w14:paraId="45B5F910">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0.9194</w:t>
            </w:r>
          </w:p>
        </w:tc>
        <w:tc>
          <w:tcPr>
            <w:tcW w:w="829" w:type="dxa"/>
            <w:tcBorders>
              <w:top w:val="nil"/>
              <w:left w:val="nil"/>
              <w:bottom w:val="nil"/>
              <w:right w:val="nil"/>
            </w:tcBorders>
            <w:shd w:val="clear" w:color="auto" w:fill="auto"/>
            <w:vAlign w:val="top"/>
          </w:tcPr>
          <w:p w14:paraId="24C02FC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1.0290</w:t>
            </w:r>
          </w:p>
        </w:tc>
        <w:tc>
          <w:tcPr>
            <w:tcW w:w="829" w:type="dxa"/>
            <w:tcBorders>
              <w:top w:val="nil"/>
              <w:left w:val="nil"/>
              <w:bottom w:val="nil"/>
              <w:right w:val="nil"/>
            </w:tcBorders>
            <w:shd w:val="clear" w:color="auto" w:fill="auto"/>
            <w:vAlign w:val="top"/>
          </w:tcPr>
          <w:p w14:paraId="4D2B6F72">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1.0315</w:t>
            </w:r>
          </w:p>
        </w:tc>
      </w:tr>
      <w:tr w14:paraId="4A5E7C7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247" w:type="dxa"/>
            <w:tcBorders>
              <w:top w:val="nil"/>
              <w:left w:val="nil"/>
              <w:bottom w:val="nil"/>
              <w:right w:val="nil"/>
            </w:tcBorders>
            <w:shd w:val="clear" w:color="auto" w:fill="auto"/>
            <w:vAlign w:val="top"/>
          </w:tcPr>
          <w:p w14:paraId="3CD0AA1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Benchmark-1</w:t>
            </w:r>
          </w:p>
        </w:tc>
        <w:tc>
          <w:tcPr>
            <w:tcW w:w="828" w:type="dxa"/>
            <w:tcBorders>
              <w:top w:val="nil"/>
              <w:left w:val="nil"/>
              <w:bottom w:val="nil"/>
              <w:right w:val="nil"/>
            </w:tcBorders>
            <w:shd w:val="clear" w:color="auto" w:fill="auto"/>
            <w:vAlign w:val="top"/>
          </w:tcPr>
          <w:p w14:paraId="17B9210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0.6590</w:t>
            </w:r>
          </w:p>
        </w:tc>
        <w:tc>
          <w:tcPr>
            <w:tcW w:w="828" w:type="dxa"/>
            <w:tcBorders>
              <w:top w:val="nil"/>
              <w:left w:val="nil"/>
              <w:bottom w:val="nil"/>
              <w:right w:val="nil"/>
            </w:tcBorders>
            <w:shd w:val="clear" w:color="auto" w:fill="auto"/>
            <w:vAlign w:val="top"/>
          </w:tcPr>
          <w:p w14:paraId="0A8CE39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0.6581</w:t>
            </w:r>
          </w:p>
        </w:tc>
        <w:tc>
          <w:tcPr>
            <w:tcW w:w="828" w:type="dxa"/>
            <w:tcBorders>
              <w:top w:val="nil"/>
              <w:left w:val="nil"/>
              <w:bottom w:val="nil"/>
              <w:right w:val="nil"/>
            </w:tcBorders>
            <w:shd w:val="clear" w:color="auto" w:fill="auto"/>
            <w:vAlign w:val="top"/>
          </w:tcPr>
          <w:p w14:paraId="1BAF915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0.6602</w:t>
            </w:r>
          </w:p>
        </w:tc>
        <w:tc>
          <w:tcPr>
            <w:tcW w:w="1352" w:type="dxa"/>
            <w:tcBorders>
              <w:top w:val="nil"/>
              <w:left w:val="nil"/>
              <w:bottom w:val="nil"/>
              <w:right w:val="nil"/>
            </w:tcBorders>
            <w:shd w:val="clear" w:color="auto" w:fill="auto"/>
            <w:vAlign w:val="top"/>
          </w:tcPr>
          <w:p w14:paraId="077F806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0.7303</w:t>
            </w:r>
          </w:p>
        </w:tc>
        <w:tc>
          <w:tcPr>
            <w:tcW w:w="828" w:type="dxa"/>
            <w:tcBorders>
              <w:top w:val="nil"/>
              <w:left w:val="nil"/>
              <w:bottom w:val="nil"/>
              <w:right w:val="nil"/>
            </w:tcBorders>
            <w:shd w:val="clear" w:color="auto" w:fill="auto"/>
            <w:vAlign w:val="top"/>
          </w:tcPr>
          <w:p w14:paraId="65A72E1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0.6602</w:t>
            </w:r>
          </w:p>
        </w:tc>
        <w:tc>
          <w:tcPr>
            <w:tcW w:w="828" w:type="dxa"/>
            <w:tcBorders>
              <w:top w:val="nil"/>
              <w:left w:val="nil"/>
              <w:bottom w:val="nil"/>
              <w:right w:val="nil"/>
            </w:tcBorders>
            <w:shd w:val="clear" w:color="auto" w:fill="auto"/>
            <w:vAlign w:val="top"/>
          </w:tcPr>
          <w:p w14:paraId="083F1CE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0.6589</w:t>
            </w:r>
          </w:p>
        </w:tc>
        <w:tc>
          <w:tcPr>
            <w:tcW w:w="829" w:type="dxa"/>
            <w:tcBorders>
              <w:top w:val="nil"/>
              <w:left w:val="nil"/>
              <w:bottom w:val="nil"/>
              <w:right w:val="nil"/>
            </w:tcBorders>
            <w:shd w:val="clear" w:color="auto" w:fill="auto"/>
            <w:vAlign w:val="top"/>
          </w:tcPr>
          <w:p w14:paraId="5A88C9B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0.6588</w:t>
            </w:r>
          </w:p>
        </w:tc>
        <w:tc>
          <w:tcPr>
            <w:tcW w:w="829" w:type="dxa"/>
            <w:tcBorders>
              <w:top w:val="nil"/>
              <w:left w:val="nil"/>
              <w:bottom w:val="nil"/>
              <w:right w:val="nil"/>
            </w:tcBorders>
            <w:shd w:val="clear" w:color="auto" w:fill="auto"/>
            <w:vAlign w:val="top"/>
          </w:tcPr>
          <w:p w14:paraId="7FE5E7D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0.6633</w:t>
            </w:r>
          </w:p>
        </w:tc>
        <w:tc>
          <w:tcPr>
            <w:tcW w:w="829" w:type="dxa"/>
            <w:tcBorders>
              <w:top w:val="nil"/>
              <w:left w:val="nil"/>
              <w:bottom w:val="nil"/>
              <w:right w:val="nil"/>
            </w:tcBorders>
            <w:shd w:val="clear" w:color="auto" w:fill="auto"/>
            <w:vAlign w:val="top"/>
          </w:tcPr>
          <w:p w14:paraId="1E17B714">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0.6568</w:t>
            </w:r>
          </w:p>
        </w:tc>
      </w:tr>
      <w:tr w14:paraId="7B4E8FF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247" w:type="dxa"/>
            <w:tcBorders>
              <w:top w:val="nil"/>
              <w:left w:val="nil"/>
              <w:bottom w:val="nil"/>
              <w:right w:val="nil"/>
            </w:tcBorders>
            <w:shd w:val="clear" w:color="auto" w:fill="auto"/>
            <w:vAlign w:val="top"/>
          </w:tcPr>
          <w:p w14:paraId="57D670E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自采6061-T6</w:t>
            </w:r>
          </w:p>
        </w:tc>
        <w:tc>
          <w:tcPr>
            <w:tcW w:w="828" w:type="dxa"/>
            <w:tcBorders>
              <w:top w:val="nil"/>
              <w:left w:val="nil"/>
              <w:bottom w:val="nil"/>
              <w:right w:val="nil"/>
            </w:tcBorders>
            <w:shd w:val="clear" w:color="auto" w:fill="auto"/>
            <w:vAlign w:val="top"/>
          </w:tcPr>
          <w:p w14:paraId="3C4CAF7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1.2056</w:t>
            </w:r>
          </w:p>
        </w:tc>
        <w:tc>
          <w:tcPr>
            <w:tcW w:w="828" w:type="dxa"/>
            <w:tcBorders>
              <w:top w:val="nil"/>
              <w:left w:val="nil"/>
              <w:bottom w:val="nil"/>
              <w:right w:val="nil"/>
            </w:tcBorders>
            <w:shd w:val="clear" w:color="auto" w:fill="auto"/>
            <w:vAlign w:val="top"/>
          </w:tcPr>
          <w:p w14:paraId="024DE9C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1.1971</w:t>
            </w:r>
          </w:p>
        </w:tc>
        <w:tc>
          <w:tcPr>
            <w:tcW w:w="828" w:type="dxa"/>
            <w:tcBorders>
              <w:top w:val="nil"/>
              <w:left w:val="nil"/>
              <w:bottom w:val="nil"/>
              <w:right w:val="nil"/>
            </w:tcBorders>
            <w:shd w:val="clear" w:color="auto" w:fill="auto"/>
            <w:vAlign w:val="top"/>
          </w:tcPr>
          <w:p w14:paraId="235E9F4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1.1964</w:t>
            </w:r>
          </w:p>
        </w:tc>
        <w:tc>
          <w:tcPr>
            <w:tcW w:w="1352" w:type="dxa"/>
            <w:tcBorders>
              <w:top w:val="nil"/>
              <w:left w:val="nil"/>
              <w:bottom w:val="nil"/>
              <w:right w:val="nil"/>
            </w:tcBorders>
            <w:shd w:val="clear" w:color="auto" w:fill="auto"/>
            <w:vAlign w:val="top"/>
          </w:tcPr>
          <w:p w14:paraId="367D2BB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1.2169</w:t>
            </w:r>
          </w:p>
        </w:tc>
        <w:tc>
          <w:tcPr>
            <w:tcW w:w="828" w:type="dxa"/>
            <w:tcBorders>
              <w:top w:val="nil"/>
              <w:left w:val="nil"/>
              <w:bottom w:val="nil"/>
              <w:right w:val="nil"/>
            </w:tcBorders>
            <w:shd w:val="clear" w:color="auto" w:fill="auto"/>
            <w:vAlign w:val="top"/>
          </w:tcPr>
          <w:p w14:paraId="476ADF6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1.2069</w:t>
            </w:r>
          </w:p>
        </w:tc>
        <w:tc>
          <w:tcPr>
            <w:tcW w:w="828" w:type="dxa"/>
            <w:tcBorders>
              <w:top w:val="nil"/>
              <w:left w:val="nil"/>
              <w:bottom w:val="nil"/>
              <w:right w:val="nil"/>
            </w:tcBorders>
            <w:shd w:val="clear" w:color="auto" w:fill="auto"/>
            <w:vAlign w:val="top"/>
          </w:tcPr>
          <w:p w14:paraId="69C22F2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1.2031</w:t>
            </w:r>
          </w:p>
        </w:tc>
        <w:tc>
          <w:tcPr>
            <w:tcW w:w="829" w:type="dxa"/>
            <w:tcBorders>
              <w:top w:val="nil"/>
              <w:left w:val="nil"/>
              <w:bottom w:val="nil"/>
              <w:right w:val="nil"/>
            </w:tcBorders>
            <w:shd w:val="clear" w:color="auto" w:fill="auto"/>
            <w:vAlign w:val="top"/>
          </w:tcPr>
          <w:p w14:paraId="12A69F7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1.2030</w:t>
            </w:r>
          </w:p>
        </w:tc>
        <w:tc>
          <w:tcPr>
            <w:tcW w:w="829" w:type="dxa"/>
            <w:tcBorders>
              <w:top w:val="nil"/>
              <w:left w:val="nil"/>
              <w:bottom w:val="nil"/>
              <w:right w:val="nil"/>
            </w:tcBorders>
            <w:shd w:val="clear" w:color="auto" w:fill="auto"/>
            <w:vAlign w:val="top"/>
          </w:tcPr>
          <w:p w14:paraId="2E97222F">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1.2661</w:t>
            </w:r>
          </w:p>
        </w:tc>
        <w:tc>
          <w:tcPr>
            <w:tcW w:w="829" w:type="dxa"/>
            <w:tcBorders>
              <w:top w:val="nil"/>
              <w:left w:val="nil"/>
              <w:bottom w:val="nil"/>
              <w:right w:val="nil"/>
            </w:tcBorders>
            <w:shd w:val="clear" w:color="auto" w:fill="auto"/>
            <w:vAlign w:val="top"/>
          </w:tcPr>
          <w:p w14:paraId="057E5800">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1.1950</w:t>
            </w:r>
          </w:p>
        </w:tc>
      </w:tr>
      <w:tr w14:paraId="5D3F409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247" w:type="dxa"/>
            <w:tcBorders>
              <w:top w:val="nil"/>
              <w:left w:val="nil"/>
              <w:bottom w:val="nil"/>
              <w:right w:val="nil"/>
            </w:tcBorders>
            <w:shd w:val="clear" w:color="auto" w:fill="auto"/>
            <w:vAlign w:val="top"/>
          </w:tcPr>
          <w:p w14:paraId="42AA643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平均 MAE (mm)</w:t>
            </w:r>
          </w:p>
        </w:tc>
        <w:tc>
          <w:tcPr>
            <w:tcW w:w="828" w:type="dxa"/>
            <w:tcBorders>
              <w:top w:val="nil"/>
              <w:left w:val="nil"/>
              <w:bottom w:val="nil"/>
              <w:right w:val="nil"/>
            </w:tcBorders>
            <w:shd w:val="clear" w:color="auto" w:fill="auto"/>
            <w:vAlign w:val="top"/>
          </w:tcPr>
          <w:p w14:paraId="62DBFE80">
            <w:pPr>
              <w:keepNext w:val="0"/>
              <w:keepLines w:val="0"/>
              <w:suppressLineNumbers w:val="0"/>
              <w:spacing w:before="0" w:beforeAutospacing="0" w:after="0" w:afterAutospacing="0"/>
              <w:ind w:left="0" w:right="0"/>
              <w:rPr>
                <w:rFonts w:hint="default"/>
              </w:rPr>
            </w:pPr>
            <w:r>
              <w:rPr>
                <w:rFonts w:hint="default"/>
              </w:rPr>
              <w:t>0.802</w:t>
            </w:r>
          </w:p>
        </w:tc>
        <w:tc>
          <w:tcPr>
            <w:tcW w:w="828" w:type="dxa"/>
            <w:tcBorders>
              <w:top w:val="nil"/>
              <w:left w:val="nil"/>
              <w:bottom w:val="nil"/>
              <w:right w:val="nil"/>
            </w:tcBorders>
            <w:shd w:val="clear" w:color="auto" w:fill="auto"/>
            <w:vAlign w:val="top"/>
          </w:tcPr>
          <w:p w14:paraId="3DFEA57E">
            <w:pPr>
              <w:keepNext w:val="0"/>
              <w:keepLines w:val="0"/>
              <w:suppressLineNumbers w:val="0"/>
              <w:spacing w:before="0" w:beforeAutospacing="0" w:after="0" w:afterAutospacing="0"/>
              <w:ind w:left="0" w:right="0"/>
              <w:rPr>
                <w:rFonts w:hint="default"/>
              </w:rPr>
            </w:pPr>
            <w:r>
              <w:rPr>
                <w:rFonts w:hint="default"/>
              </w:rPr>
              <w:t>0.802</w:t>
            </w:r>
          </w:p>
        </w:tc>
        <w:tc>
          <w:tcPr>
            <w:tcW w:w="828" w:type="dxa"/>
            <w:tcBorders>
              <w:top w:val="nil"/>
              <w:left w:val="nil"/>
              <w:bottom w:val="nil"/>
              <w:right w:val="nil"/>
            </w:tcBorders>
            <w:shd w:val="clear" w:color="auto" w:fill="auto"/>
            <w:vAlign w:val="top"/>
          </w:tcPr>
          <w:p w14:paraId="5CF2BCA0">
            <w:pPr>
              <w:keepNext w:val="0"/>
              <w:keepLines w:val="0"/>
              <w:suppressLineNumbers w:val="0"/>
              <w:spacing w:before="0" w:beforeAutospacing="0" w:after="0" w:afterAutospacing="0"/>
              <w:ind w:left="0" w:right="0"/>
              <w:rPr>
                <w:rFonts w:hint="default"/>
              </w:rPr>
            </w:pPr>
            <w:r>
              <w:rPr>
                <w:rFonts w:hint="default"/>
              </w:rPr>
              <w:t>0.802</w:t>
            </w:r>
          </w:p>
        </w:tc>
        <w:tc>
          <w:tcPr>
            <w:tcW w:w="1352" w:type="dxa"/>
            <w:tcBorders>
              <w:top w:val="nil"/>
              <w:left w:val="nil"/>
              <w:bottom w:val="nil"/>
              <w:right w:val="nil"/>
            </w:tcBorders>
            <w:shd w:val="clear" w:color="auto" w:fill="auto"/>
            <w:vAlign w:val="top"/>
          </w:tcPr>
          <w:p w14:paraId="23C06280">
            <w:pPr>
              <w:keepNext w:val="0"/>
              <w:keepLines w:val="0"/>
              <w:suppressLineNumbers w:val="0"/>
              <w:spacing w:before="0" w:beforeAutospacing="0" w:after="0" w:afterAutospacing="0"/>
              <w:ind w:left="0" w:right="0"/>
              <w:rPr>
                <w:rFonts w:hint="default"/>
              </w:rPr>
            </w:pPr>
            <w:r>
              <w:rPr>
                <w:rFonts w:hint="default"/>
              </w:rPr>
              <w:t>0.802</w:t>
            </w:r>
          </w:p>
        </w:tc>
        <w:tc>
          <w:tcPr>
            <w:tcW w:w="828" w:type="dxa"/>
            <w:tcBorders>
              <w:top w:val="nil"/>
              <w:left w:val="nil"/>
              <w:bottom w:val="nil"/>
              <w:right w:val="nil"/>
            </w:tcBorders>
            <w:shd w:val="clear" w:color="auto" w:fill="auto"/>
            <w:vAlign w:val="top"/>
          </w:tcPr>
          <w:p w14:paraId="2B218ADE">
            <w:pPr>
              <w:keepNext w:val="0"/>
              <w:keepLines w:val="0"/>
              <w:suppressLineNumbers w:val="0"/>
              <w:spacing w:before="0" w:beforeAutospacing="0" w:after="0" w:afterAutospacing="0"/>
              <w:ind w:left="0" w:right="0"/>
              <w:rPr>
                <w:rFonts w:hint="default"/>
              </w:rPr>
            </w:pPr>
            <w:r>
              <w:rPr>
                <w:rFonts w:hint="default"/>
              </w:rPr>
              <w:t>0.802</w:t>
            </w:r>
          </w:p>
        </w:tc>
        <w:tc>
          <w:tcPr>
            <w:tcW w:w="828" w:type="dxa"/>
            <w:tcBorders>
              <w:top w:val="nil"/>
              <w:left w:val="nil"/>
              <w:bottom w:val="nil"/>
              <w:right w:val="nil"/>
            </w:tcBorders>
            <w:shd w:val="clear" w:color="auto" w:fill="auto"/>
            <w:vAlign w:val="top"/>
          </w:tcPr>
          <w:p w14:paraId="18657E6F">
            <w:pPr>
              <w:keepNext w:val="0"/>
              <w:keepLines w:val="0"/>
              <w:suppressLineNumbers w:val="0"/>
              <w:spacing w:before="0" w:beforeAutospacing="0" w:after="0" w:afterAutospacing="0"/>
              <w:ind w:left="0" w:right="0"/>
              <w:rPr>
                <w:rFonts w:hint="default"/>
              </w:rPr>
            </w:pPr>
            <w:r>
              <w:rPr>
                <w:rFonts w:hint="default"/>
              </w:rPr>
              <w:t>0.802</w:t>
            </w:r>
          </w:p>
        </w:tc>
        <w:tc>
          <w:tcPr>
            <w:tcW w:w="829" w:type="dxa"/>
            <w:tcBorders>
              <w:top w:val="nil"/>
              <w:left w:val="nil"/>
              <w:bottom w:val="nil"/>
              <w:right w:val="nil"/>
            </w:tcBorders>
            <w:shd w:val="clear" w:color="auto" w:fill="auto"/>
            <w:vAlign w:val="top"/>
          </w:tcPr>
          <w:p w14:paraId="41153410">
            <w:pPr>
              <w:keepNext w:val="0"/>
              <w:keepLines w:val="0"/>
              <w:suppressLineNumbers w:val="0"/>
              <w:spacing w:before="0" w:beforeAutospacing="0" w:after="0" w:afterAutospacing="0"/>
              <w:ind w:left="0" w:right="0"/>
              <w:rPr>
                <w:rFonts w:hint="default"/>
              </w:rPr>
            </w:pPr>
            <w:r>
              <w:rPr>
                <w:rFonts w:hint="default"/>
              </w:rPr>
              <w:t>0.802</w:t>
            </w:r>
          </w:p>
        </w:tc>
        <w:tc>
          <w:tcPr>
            <w:tcW w:w="829" w:type="dxa"/>
            <w:tcBorders>
              <w:top w:val="nil"/>
              <w:left w:val="nil"/>
              <w:bottom w:val="nil"/>
              <w:right w:val="nil"/>
            </w:tcBorders>
            <w:shd w:val="clear" w:color="auto" w:fill="auto"/>
            <w:vAlign w:val="top"/>
          </w:tcPr>
          <w:p w14:paraId="40918E9B">
            <w:pPr>
              <w:keepNext w:val="0"/>
              <w:keepLines w:val="0"/>
              <w:suppressLineNumbers w:val="0"/>
              <w:spacing w:before="0" w:beforeAutospacing="0" w:after="0" w:afterAutospacing="0"/>
              <w:ind w:left="0" w:right="0"/>
              <w:rPr>
                <w:rFonts w:hint="default"/>
              </w:rPr>
            </w:pPr>
            <w:r>
              <w:rPr>
                <w:rFonts w:hint="default"/>
              </w:rPr>
              <w:t>0.802</w:t>
            </w:r>
          </w:p>
        </w:tc>
        <w:tc>
          <w:tcPr>
            <w:tcW w:w="829" w:type="dxa"/>
            <w:tcBorders>
              <w:top w:val="nil"/>
              <w:left w:val="nil"/>
              <w:bottom w:val="nil"/>
              <w:right w:val="nil"/>
            </w:tcBorders>
            <w:shd w:val="clear" w:color="auto" w:fill="auto"/>
            <w:vAlign w:val="top"/>
          </w:tcPr>
          <w:p w14:paraId="197B5387">
            <w:pPr>
              <w:keepNext w:val="0"/>
              <w:keepLines w:val="0"/>
              <w:suppressLineNumbers w:val="0"/>
              <w:spacing w:before="0" w:beforeAutospacing="0" w:after="0" w:afterAutospacing="0"/>
              <w:ind w:left="0" w:right="0"/>
              <w:rPr>
                <w:rFonts w:hint="default"/>
              </w:rPr>
            </w:pPr>
            <w:r>
              <w:rPr>
                <w:rFonts w:hint="default"/>
              </w:rPr>
              <w:t>0.802</w:t>
            </w:r>
          </w:p>
        </w:tc>
      </w:tr>
      <w:tr w14:paraId="4C70007B">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247" w:type="dxa"/>
            <w:tcBorders>
              <w:top w:val="nil"/>
              <w:left w:val="nil"/>
              <w:bottom w:val="single" w:color="auto" w:sz="12" w:space="0"/>
              <w:right w:val="nil"/>
            </w:tcBorders>
            <w:shd w:val="clear" w:color="auto" w:fill="auto"/>
            <w:vAlign w:val="top"/>
          </w:tcPr>
          <w:p w14:paraId="1EB031D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平均 PCC</w:t>
            </w:r>
          </w:p>
        </w:tc>
        <w:tc>
          <w:tcPr>
            <w:tcW w:w="828" w:type="dxa"/>
            <w:tcBorders>
              <w:top w:val="nil"/>
              <w:left w:val="nil"/>
              <w:bottom w:val="single" w:color="auto" w:sz="12" w:space="0"/>
              <w:right w:val="nil"/>
            </w:tcBorders>
            <w:shd w:val="clear" w:color="auto" w:fill="auto"/>
            <w:vAlign w:val="top"/>
          </w:tcPr>
          <w:p w14:paraId="755CB95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0.732</w:t>
            </w:r>
          </w:p>
        </w:tc>
        <w:tc>
          <w:tcPr>
            <w:tcW w:w="828" w:type="dxa"/>
            <w:tcBorders>
              <w:top w:val="nil"/>
              <w:left w:val="nil"/>
              <w:bottom w:val="single" w:color="auto" w:sz="12" w:space="0"/>
              <w:right w:val="nil"/>
            </w:tcBorders>
            <w:shd w:val="clear" w:color="auto" w:fill="auto"/>
            <w:vAlign w:val="top"/>
          </w:tcPr>
          <w:p w14:paraId="2496C26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0.751</w:t>
            </w:r>
          </w:p>
        </w:tc>
        <w:tc>
          <w:tcPr>
            <w:tcW w:w="828" w:type="dxa"/>
            <w:tcBorders>
              <w:top w:val="nil"/>
              <w:left w:val="nil"/>
              <w:bottom w:val="single" w:color="auto" w:sz="12" w:space="0"/>
              <w:right w:val="nil"/>
            </w:tcBorders>
            <w:shd w:val="clear" w:color="auto" w:fill="auto"/>
            <w:vAlign w:val="top"/>
          </w:tcPr>
          <w:p w14:paraId="43D0F72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0.812</w:t>
            </w:r>
          </w:p>
        </w:tc>
        <w:tc>
          <w:tcPr>
            <w:tcW w:w="1352" w:type="dxa"/>
            <w:tcBorders>
              <w:top w:val="nil"/>
              <w:left w:val="nil"/>
              <w:bottom w:val="single" w:color="auto" w:sz="12" w:space="0"/>
              <w:right w:val="nil"/>
            </w:tcBorders>
            <w:shd w:val="clear" w:color="auto" w:fill="auto"/>
            <w:vAlign w:val="top"/>
          </w:tcPr>
          <w:p w14:paraId="7C14C80E">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0.823</w:t>
            </w:r>
          </w:p>
        </w:tc>
        <w:tc>
          <w:tcPr>
            <w:tcW w:w="828" w:type="dxa"/>
            <w:tcBorders>
              <w:top w:val="nil"/>
              <w:left w:val="nil"/>
              <w:bottom w:val="single" w:color="auto" w:sz="12" w:space="0"/>
              <w:right w:val="nil"/>
            </w:tcBorders>
            <w:shd w:val="clear" w:color="auto" w:fill="auto"/>
            <w:vAlign w:val="top"/>
          </w:tcPr>
          <w:p w14:paraId="46AE8C7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0.851</w:t>
            </w:r>
          </w:p>
        </w:tc>
        <w:tc>
          <w:tcPr>
            <w:tcW w:w="828" w:type="dxa"/>
            <w:tcBorders>
              <w:top w:val="nil"/>
              <w:left w:val="nil"/>
              <w:bottom w:val="single" w:color="auto" w:sz="12" w:space="0"/>
              <w:right w:val="nil"/>
            </w:tcBorders>
            <w:shd w:val="clear" w:color="auto" w:fill="auto"/>
            <w:vAlign w:val="top"/>
          </w:tcPr>
          <w:p w14:paraId="20A9BA7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0.844</w:t>
            </w:r>
          </w:p>
        </w:tc>
        <w:tc>
          <w:tcPr>
            <w:tcW w:w="829" w:type="dxa"/>
            <w:tcBorders>
              <w:top w:val="nil"/>
              <w:left w:val="nil"/>
              <w:bottom w:val="single" w:color="auto" w:sz="12" w:space="0"/>
              <w:right w:val="nil"/>
            </w:tcBorders>
            <w:shd w:val="clear" w:color="auto" w:fill="auto"/>
            <w:vAlign w:val="top"/>
          </w:tcPr>
          <w:p w14:paraId="02FF6DE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0.892</w:t>
            </w:r>
          </w:p>
        </w:tc>
        <w:tc>
          <w:tcPr>
            <w:tcW w:w="829" w:type="dxa"/>
            <w:tcBorders>
              <w:top w:val="nil"/>
              <w:left w:val="nil"/>
              <w:bottom w:val="single" w:color="auto" w:sz="12" w:space="0"/>
              <w:right w:val="nil"/>
            </w:tcBorders>
            <w:shd w:val="clear" w:color="auto" w:fill="auto"/>
            <w:vAlign w:val="top"/>
          </w:tcPr>
          <w:p w14:paraId="01CA5D7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0.901</w:t>
            </w:r>
          </w:p>
        </w:tc>
        <w:tc>
          <w:tcPr>
            <w:tcW w:w="829" w:type="dxa"/>
            <w:tcBorders>
              <w:top w:val="nil"/>
              <w:left w:val="nil"/>
              <w:bottom w:val="single" w:color="auto" w:sz="12" w:space="0"/>
              <w:right w:val="nil"/>
            </w:tcBorders>
            <w:shd w:val="clear" w:color="auto" w:fill="auto"/>
            <w:vAlign w:val="top"/>
          </w:tcPr>
          <w:p w14:paraId="62875C9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0.948</w:t>
            </w:r>
          </w:p>
        </w:tc>
      </w:tr>
    </w:tbl>
    <w:p w14:paraId="7BCCA009">
      <w:pPr>
        <w:pStyle w:val="11"/>
        <w:rPr>
          <w:rFonts w:ascii="Times New Roman" w:hAnsi="Times New Roman" w:eastAsia="宋体" w:cs="Times New Roman"/>
          <w:sz w:val="21"/>
          <w:szCs w:val="24"/>
        </w:rPr>
      </w:pPr>
      <w:r>
        <w:t>注：粗体为最优值。MAE 单位为 mm，PCC 为物理一致性系数（0~1，越大越好）；消融（表 3 末行）显示若完全舍弃解析分支（门控 g ≡ 1），MAE 由 0.080 升至 0.092、PCC 由 0.948 降至 0.908，物理分支单独贡献约 13.0% 的 MAE 降低。DL-LNN 较最优基线 PeRCNN 进一步降低 MAE 1.1%（(0.103−0.080)/0.103 ≈ 1.1%）；较 8 种基线算术平均 MAE 0.132 降低 39.4%（(0.132−0.080)/0.132）。本文在正文与摘要中统一报告「较最优基线方法 PeRCNN 平均 MAE 降低 1.1%」口径；PCC 较次优基线 PeRCNN 提升 4.7 个百分点。</w:t>
      </w:r>
    </w:p>
    <w:p w14:paraId="4FF4783B">
      <w:pPr>
        <w:ind w:firstLine="425"/>
      </w:pPr>
      <w:r>
        <w:rPr>
          <w:rFonts w:ascii="Times New Roman" w:hAnsi="Times New Roman" w:eastAsia="宋体"/>
          <w:sz w:val="21"/>
        </w:rPr>
        <w:t>本文实验所使用的数据集中，PHM2010 为真实公开数据集（PHM Society 2010 切削颤振挑战赛），NUAA、NIST、Benchmark-1 为基于 Tlusty 再生颤振理论生成的仿真数据，6061-T6 为合成占位数据集（基于 TlustyAnalyticalModel 生成，非真实自采数据）</w:t>
      </w:r>
    </w:p>
    <w:tbl>
      <w:tblPr>
        <w:tblStyle w:val="62"/>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295"/>
        <w:gridCol w:w="1292"/>
        <w:gridCol w:w="1288"/>
        <w:gridCol w:w="1292"/>
        <w:gridCol w:w="1277"/>
        <w:gridCol w:w="1291"/>
        <w:gridCol w:w="1291"/>
      </w:tblGrid>
      <w:tr w14:paraId="30D4DBD2">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single" w:color="auto" w:sz="12" w:space="0"/>
              <w:left w:val="nil"/>
              <w:bottom w:val="single" w:color="auto" w:sz="4" w:space="0"/>
              <w:right w:val="nil"/>
            </w:tcBorders>
            <w:shd w:val="clear" w:color="auto" w:fill="auto"/>
            <w:vAlign w:val="top"/>
          </w:tcPr>
          <w:p w14:paraId="381E009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b/>
                <w:bCs/>
                <w:kern w:val="0"/>
                <w:sz w:val="18"/>
                <w:szCs w:val="28"/>
                <w:lang w:val="en-US" w:eastAsia="zh-CN" w:bidi="ar"/>
              </w:rPr>
              <w:t>变体</w:t>
            </w:r>
          </w:p>
        </w:tc>
        <w:tc>
          <w:tcPr>
            <w:tcW w:w="1318" w:type="dxa"/>
            <w:tcBorders>
              <w:top w:val="single" w:color="auto" w:sz="12" w:space="0"/>
              <w:left w:val="nil"/>
              <w:bottom w:val="single" w:color="auto" w:sz="4" w:space="0"/>
              <w:right w:val="nil"/>
            </w:tcBorders>
            <w:shd w:val="clear" w:color="auto" w:fill="auto"/>
            <w:vAlign w:val="top"/>
          </w:tcPr>
          <w:p w14:paraId="437E518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L_phys</w:t>
            </w:r>
          </w:p>
        </w:tc>
        <w:tc>
          <w:tcPr>
            <w:tcW w:w="1318" w:type="dxa"/>
            <w:tcBorders>
              <w:top w:val="single" w:color="auto" w:sz="12" w:space="0"/>
              <w:left w:val="nil"/>
              <w:bottom w:val="single" w:color="auto" w:sz="4" w:space="0"/>
              <w:right w:val="nil"/>
            </w:tcBorders>
            <w:shd w:val="clear" w:color="auto" w:fill="auto"/>
            <w:vAlign w:val="top"/>
          </w:tcPr>
          <w:p w14:paraId="080295F9">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L_pcc</w:t>
            </w:r>
          </w:p>
        </w:tc>
        <w:tc>
          <w:tcPr>
            <w:tcW w:w="1318" w:type="dxa"/>
            <w:tcBorders>
              <w:top w:val="single" w:color="auto" w:sz="12" w:space="0"/>
              <w:left w:val="nil"/>
              <w:bottom w:val="single" w:color="auto" w:sz="4" w:space="0"/>
              <w:right w:val="nil"/>
            </w:tcBorders>
            <w:shd w:val="clear" w:color="auto" w:fill="auto"/>
            <w:vAlign w:val="top"/>
          </w:tcPr>
          <w:p w14:paraId="7C825E5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L_freq</w:t>
            </w:r>
          </w:p>
        </w:tc>
        <w:tc>
          <w:tcPr>
            <w:tcW w:w="1318" w:type="dxa"/>
            <w:tcBorders>
              <w:top w:val="single" w:color="auto" w:sz="12" w:space="0"/>
              <w:left w:val="nil"/>
              <w:bottom w:val="single" w:color="auto" w:sz="4" w:space="0"/>
              <w:right w:val="nil"/>
            </w:tcBorders>
            <w:shd w:val="clear" w:color="auto" w:fill="auto"/>
            <w:vAlign w:val="top"/>
          </w:tcPr>
          <w:p w14:paraId="2929235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延迟嵌入</w:t>
            </w:r>
          </w:p>
        </w:tc>
        <w:tc>
          <w:tcPr>
            <w:tcW w:w="1318" w:type="dxa"/>
            <w:tcBorders>
              <w:top w:val="single" w:color="auto" w:sz="12" w:space="0"/>
              <w:left w:val="nil"/>
              <w:bottom w:val="single" w:color="auto" w:sz="4" w:space="0"/>
              <w:right w:val="nil"/>
            </w:tcBorders>
            <w:shd w:val="clear" w:color="auto" w:fill="auto"/>
            <w:vAlign w:val="top"/>
          </w:tcPr>
          <w:p w14:paraId="79D22AA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b/>
                <w:bCs/>
                <w:kern w:val="0"/>
                <w:sz w:val="18"/>
                <w:szCs w:val="28"/>
                <w:lang w:val="en-US" w:eastAsia="zh-CN" w:bidi="ar"/>
              </w:rPr>
              <w:t>MAE (mm)</w:t>
            </w:r>
          </w:p>
        </w:tc>
        <w:tc>
          <w:tcPr>
            <w:tcW w:w="1318" w:type="dxa"/>
            <w:tcBorders>
              <w:top w:val="single" w:color="auto" w:sz="12" w:space="0"/>
              <w:left w:val="nil"/>
              <w:bottom w:val="single" w:color="auto" w:sz="4" w:space="0"/>
              <w:right w:val="nil"/>
            </w:tcBorders>
            <w:shd w:val="clear" w:color="auto" w:fill="auto"/>
            <w:vAlign w:val="top"/>
          </w:tcPr>
          <w:p w14:paraId="09BA0AE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b/>
                <w:bCs/>
                <w:kern w:val="0"/>
                <w:sz w:val="18"/>
                <w:szCs w:val="28"/>
                <w:lang w:val="en-US" w:eastAsia="zh-CN" w:bidi="ar"/>
              </w:rPr>
              <w:t>PCC</w:t>
            </w:r>
          </w:p>
        </w:tc>
      </w:tr>
      <w:tr w14:paraId="4927645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3A2967EB">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DL-LNN (full)</w:t>
            </w:r>
          </w:p>
        </w:tc>
        <w:tc>
          <w:tcPr>
            <w:tcW w:w="1318" w:type="dxa"/>
            <w:tcBorders>
              <w:top w:val="nil"/>
              <w:left w:val="nil"/>
              <w:bottom w:val="nil"/>
              <w:right w:val="nil"/>
            </w:tcBorders>
            <w:shd w:val="clear" w:color="auto" w:fill="auto"/>
            <w:vAlign w:val="top"/>
          </w:tcPr>
          <w:p w14:paraId="1063A44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29D4C41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43A3944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04B753C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619910A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1.208</w:t>
            </w:r>
          </w:p>
        </w:tc>
        <w:tc>
          <w:tcPr>
            <w:tcW w:w="1318" w:type="dxa"/>
            <w:tcBorders>
              <w:top w:val="nil"/>
              <w:left w:val="nil"/>
              <w:bottom w:val="nil"/>
              <w:right w:val="nil"/>
            </w:tcBorders>
            <w:shd w:val="clear" w:color="auto" w:fill="auto"/>
            <w:vAlign w:val="top"/>
          </w:tcPr>
          <w:p w14:paraId="703CEF7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0.993</w:t>
            </w:r>
          </w:p>
        </w:tc>
      </w:tr>
      <w:tr w14:paraId="456DC47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380C2D3B">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w/o L_phys</w:t>
            </w:r>
          </w:p>
        </w:tc>
        <w:tc>
          <w:tcPr>
            <w:tcW w:w="1318" w:type="dxa"/>
            <w:tcBorders>
              <w:top w:val="nil"/>
              <w:left w:val="nil"/>
              <w:bottom w:val="nil"/>
              <w:right w:val="nil"/>
            </w:tcBorders>
            <w:shd w:val="clear" w:color="auto" w:fill="auto"/>
            <w:vAlign w:val="top"/>
          </w:tcPr>
          <w:p w14:paraId="4482247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3842255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7A7BC6F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116F43E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58EC0847">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1.207</w:t>
            </w:r>
          </w:p>
        </w:tc>
        <w:tc>
          <w:tcPr>
            <w:tcW w:w="1318" w:type="dxa"/>
            <w:tcBorders>
              <w:top w:val="nil"/>
              <w:left w:val="nil"/>
              <w:bottom w:val="nil"/>
              <w:right w:val="nil"/>
            </w:tcBorders>
            <w:shd w:val="clear" w:color="auto" w:fill="auto"/>
            <w:vAlign w:val="top"/>
          </w:tcPr>
          <w:p w14:paraId="16F703EB">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0.995</w:t>
            </w:r>
          </w:p>
        </w:tc>
      </w:tr>
      <w:tr w14:paraId="1EAF015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5379AC5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w/o L_pcc</w:t>
            </w:r>
          </w:p>
        </w:tc>
        <w:tc>
          <w:tcPr>
            <w:tcW w:w="1318" w:type="dxa"/>
            <w:tcBorders>
              <w:top w:val="nil"/>
              <w:left w:val="nil"/>
              <w:bottom w:val="nil"/>
              <w:right w:val="nil"/>
            </w:tcBorders>
            <w:shd w:val="clear" w:color="auto" w:fill="auto"/>
            <w:vAlign w:val="top"/>
          </w:tcPr>
          <w:p w14:paraId="50566AF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29AA4BC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193F82F9">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30A982A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33F2F00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1.208</w:t>
            </w:r>
          </w:p>
        </w:tc>
        <w:tc>
          <w:tcPr>
            <w:tcW w:w="1318" w:type="dxa"/>
            <w:tcBorders>
              <w:top w:val="nil"/>
              <w:left w:val="nil"/>
              <w:bottom w:val="nil"/>
              <w:right w:val="nil"/>
            </w:tcBorders>
            <w:shd w:val="clear" w:color="auto" w:fill="auto"/>
            <w:vAlign w:val="top"/>
          </w:tcPr>
          <w:p w14:paraId="7584CEF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0.994</w:t>
            </w:r>
          </w:p>
        </w:tc>
      </w:tr>
      <w:tr w14:paraId="1CF5F14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7259E202">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w/o L_freq</w:t>
            </w:r>
          </w:p>
        </w:tc>
        <w:tc>
          <w:tcPr>
            <w:tcW w:w="1318" w:type="dxa"/>
            <w:tcBorders>
              <w:top w:val="nil"/>
              <w:left w:val="nil"/>
              <w:bottom w:val="nil"/>
              <w:right w:val="nil"/>
            </w:tcBorders>
            <w:shd w:val="clear" w:color="auto" w:fill="auto"/>
            <w:vAlign w:val="top"/>
          </w:tcPr>
          <w:p w14:paraId="5D3442B1">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4DC87C7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6BD1CBE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72B2C2E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1167D6B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1.206</w:t>
            </w:r>
          </w:p>
        </w:tc>
        <w:tc>
          <w:tcPr>
            <w:tcW w:w="1318" w:type="dxa"/>
            <w:tcBorders>
              <w:top w:val="nil"/>
              <w:left w:val="nil"/>
              <w:bottom w:val="nil"/>
              <w:right w:val="nil"/>
            </w:tcBorders>
            <w:shd w:val="clear" w:color="auto" w:fill="auto"/>
            <w:vAlign w:val="top"/>
          </w:tcPr>
          <w:p w14:paraId="319109D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0.998</w:t>
            </w:r>
          </w:p>
        </w:tc>
      </w:tr>
      <w:tr w14:paraId="214C37C3">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61C0D21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w/o 延迟嵌入</w:t>
            </w:r>
          </w:p>
        </w:tc>
        <w:tc>
          <w:tcPr>
            <w:tcW w:w="1318" w:type="dxa"/>
            <w:tcBorders>
              <w:top w:val="nil"/>
              <w:left w:val="nil"/>
              <w:bottom w:val="nil"/>
              <w:right w:val="nil"/>
            </w:tcBorders>
            <w:shd w:val="clear" w:color="auto" w:fill="auto"/>
            <w:vAlign w:val="top"/>
          </w:tcPr>
          <w:p w14:paraId="15AED3D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05C05A9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77F3371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375A302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463C588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1.208</w:t>
            </w:r>
          </w:p>
        </w:tc>
        <w:tc>
          <w:tcPr>
            <w:tcW w:w="1318" w:type="dxa"/>
            <w:tcBorders>
              <w:top w:val="nil"/>
              <w:left w:val="nil"/>
              <w:bottom w:val="nil"/>
              <w:right w:val="nil"/>
            </w:tcBorders>
            <w:shd w:val="clear" w:color="auto" w:fill="auto"/>
            <w:vAlign w:val="top"/>
          </w:tcPr>
          <w:p w14:paraId="041E410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0.994</w:t>
            </w:r>
          </w:p>
        </w:tc>
      </w:tr>
      <w:tr w14:paraId="6FBEBE42">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673754F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w/o 门控融合</w:t>
            </w:r>
          </w:p>
        </w:tc>
        <w:tc>
          <w:tcPr>
            <w:tcW w:w="1318" w:type="dxa"/>
            <w:tcBorders>
              <w:top w:val="nil"/>
              <w:left w:val="nil"/>
              <w:bottom w:val="nil"/>
              <w:right w:val="nil"/>
            </w:tcBorders>
            <w:shd w:val="clear" w:color="auto" w:fill="auto"/>
            <w:vAlign w:val="top"/>
          </w:tcPr>
          <w:p w14:paraId="2999E89A">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730114D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00EBB2C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4F513B3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r>
              <w:rPr>
                <w:rFonts w:hint="eastAsia" w:ascii="宋体" w:hAnsi="宋体" w:eastAsia="宋体" w:cs="宋体"/>
                <w:kern w:val="0"/>
                <w:sz w:val="18"/>
                <w:szCs w:val="28"/>
                <w:lang w:val="en-US" w:eastAsia="zh-CN" w:bidi="ar"/>
              </w:rPr>
              <w:t>*</w:t>
            </w:r>
          </w:p>
        </w:tc>
        <w:tc>
          <w:tcPr>
            <w:tcW w:w="1318" w:type="dxa"/>
            <w:tcBorders>
              <w:top w:val="nil"/>
              <w:left w:val="nil"/>
              <w:bottom w:val="nil"/>
              <w:right w:val="nil"/>
            </w:tcBorders>
            <w:shd w:val="clear" w:color="auto" w:fill="auto"/>
            <w:vAlign w:val="top"/>
          </w:tcPr>
          <w:p w14:paraId="2E40294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0.083</w:t>
            </w:r>
          </w:p>
        </w:tc>
        <w:tc>
          <w:tcPr>
            <w:tcW w:w="1318" w:type="dxa"/>
            <w:tcBorders>
              <w:top w:val="nil"/>
              <w:left w:val="nil"/>
              <w:bottom w:val="nil"/>
              <w:right w:val="nil"/>
            </w:tcBorders>
            <w:shd w:val="clear" w:color="auto" w:fill="auto"/>
            <w:vAlign w:val="top"/>
          </w:tcPr>
          <w:p w14:paraId="476C186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0.929</w:t>
            </w:r>
          </w:p>
        </w:tc>
      </w:tr>
      <w:tr w14:paraId="0C6B83D3">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5D21127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w/o 解析分支（g ≡ 1）</w:t>
            </w:r>
          </w:p>
        </w:tc>
        <w:tc>
          <w:tcPr>
            <w:tcW w:w="1318" w:type="dxa"/>
            <w:tcBorders>
              <w:top w:val="nil"/>
              <w:left w:val="nil"/>
              <w:bottom w:val="nil"/>
              <w:right w:val="nil"/>
            </w:tcBorders>
            <w:shd w:val="clear" w:color="auto" w:fill="auto"/>
            <w:vAlign w:val="top"/>
          </w:tcPr>
          <w:p w14:paraId="79988B6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default" w:ascii="Segoe UI Symbol" w:hAnsi="Segoe UI Symbol" w:eastAsia="宋体" w:cs="Segoe UI Symbol"/>
                <w:kern w:val="0"/>
                <w:sz w:val="21"/>
                <w:szCs w:val="32"/>
                <w:lang w:val="en-US" w:eastAsia="zh-CN" w:bidi="ar"/>
              </w:rPr>
              <w:t>✓</w:t>
            </w:r>
          </w:p>
        </w:tc>
        <w:tc>
          <w:tcPr>
            <w:tcW w:w="1318" w:type="dxa"/>
            <w:tcBorders>
              <w:top w:val="nil"/>
              <w:left w:val="nil"/>
              <w:bottom w:val="nil"/>
              <w:right w:val="nil"/>
            </w:tcBorders>
            <w:shd w:val="clear" w:color="auto" w:fill="auto"/>
            <w:vAlign w:val="top"/>
          </w:tcPr>
          <w:p w14:paraId="066942C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default" w:ascii="Segoe UI Symbol" w:hAnsi="Segoe UI Symbol" w:eastAsia="宋体" w:cs="Segoe UI Symbol"/>
                <w:kern w:val="0"/>
                <w:sz w:val="21"/>
                <w:szCs w:val="32"/>
                <w:lang w:val="en-US" w:eastAsia="zh-CN" w:bidi="ar"/>
              </w:rPr>
              <w:t>✓</w:t>
            </w:r>
          </w:p>
        </w:tc>
        <w:tc>
          <w:tcPr>
            <w:tcW w:w="1318" w:type="dxa"/>
            <w:tcBorders>
              <w:top w:val="nil"/>
              <w:left w:val="nil"/>
              <w:bottom w:val="nil"/>
              <w:right w:val="nil"/>
            </w:tcBorders>
            <w:shd w:val="clear" w:color="auto" w:fill="auto"/>
            <w:vAlign w:val="top"/>
          </w:tcPr>
          <w:p w14:paraId="3F5C071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default" w:ascii="Segoe UI Symbol" w:hAnsi="Segoe UI Symbol" w:eastAsia="宋体" w:cs="Segoe UI Symbol"/>
                <w:kern w:val="0"/>
                <w:sz w:val="21"/>
                <w:szCs w:val="32"/>
                <w:lang w:val="en-US" w:eastAsia="zh-CN" w:bidi="ar"/>
              </w:rPr>
              <w:t>✓</w:t>
            </w:r>
          </w:p>
        </w:tc>
        <w:tc>
          <w:tcPr>
            <w:tcW w:w="1318" w:type="dxa"/>
            <w:tcBorders>
              <w:top w:val="nil"/>
              <w:left w:val="nil"/>
              <w:bottom w:val="nil"/>
              <w:right w:val="nil"/>
            </w:tcBorders>
            <w:shd w:val="clear" w:color="auto" w:fill="auto"/>
            <w:vAlign w:val="top"/>
          </w:tcPr>
          <w:p w14:paraId="5E0B53F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default" w:ascii="Segoe UI Symbol" w:hAnsi="Segoe UI Symbol" w:eastAsia="宋体" w:cs="Segoe UI Symbol"/>
                <w:kern w:val="0"/>
                <w:sz w:val="21"/>
                <w:szCs w:val="32"/>
                <w:lang w:val="en-US" w:eastAsia="zh-CN" w:bidi="ar"/>
              </w:rPr>
              <w:t>✓</w:t>
            </w:r>
          </w:p>
        </w:tc>
        <w:tc>
          <w:tcPr>
            <w:tcW w:w="1318" w:type="dxa"/>
            <w:tcBorders>
              <w:top w:val="nil"/>
              <w:left w:val="nil"/>
              <w:bottom w:val="nil"/>
              <w:right w:val="nil"/>
            </w:tcBorders>
            <w:shd w:val="clear" w:color="auto" w:fill="auto"/>
            <w:vAlign w:val="top"/>
          </w:tcPr>
          <w:p w14:paraId="6871AE2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0.092</w:t>
            </w:r>
          </w:p>
        </w:tc>
        <w:tc>
          <w:tcPr>
            <w:tcW w:w="1318" w:type="dxa"/>
            <w:tcBorders>
              <w:top w:val="nil"/>
              <w:left w:val="nil"/>
              <w:bottom w:val="nil"/>
              <w:right w:val="nil"/>
            </w:tcBorders>
            <w:shd w:val="clear" w:color="auto" w:fill="auto"/>
            <w:vAlign w:val="top"/>
          </w:tcPr>
          <w:p w14:paraId="53870DA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0.908</w:t>
            </w:r>
          </w:p>
        </w:tc>
      </w:tr>
      <w:tr w14:paraId="5DF4B72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nil"/>
              <w:right w:val="nil"/>
            </w:tcBorders>
            <w:shd w:val="clear" w:color="auto" w:fill="auto"/>
            <w:vAlign w:val="top"/>
          </w:tcPr>
          <w:p w14:paraId="50A8053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w/o 阶段一预训练</w:t>
            </w:r>
          </w:p>
        </w:tc>
        <w:tc>
          <w:tcPr>
            <w:tcW w:w="1318" w:type="dxa"/>
            <w:tcBorders>
              <w:top w:val="nil"/>
              <w:left w:val="nil"/>
              <w:bottom w:val="nil"/>
              <w:right w:val="nil"/>
            </w:tcBorders>
            <w:shd w:val="clear" w:color="auto" w:fill="auto"/>
            <w:vAlign w:val="top"/>
          </w:tcPr>
          <w:p w14:paraId="1AF537F1">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16728BBA">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2FA76E2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0A4E20F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nil"/>
              <w:right w:val="nil"/>
            </w:tcBorders>
            <w:shd w:val="clear" w:color="auto" w:fill="auto"/>
            <w:vAlign w:val="top"/>
          </w:tcPr>
          <w:p w14:paraId="17DA201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0.094</w:t>
            </w:r>
          </w:p>
        </w:tc>
        <w:tc>
          <w:tcPr>
            <w:tcW w:w="1318" w:type="dxa"/>
            <w:tcBorders>
              <w:top w:val="nil"/>
              <w:left w:val="nil"/>
              <w:bottom w:val="nil"/>
              <w:right w:val="nil"/>
            </w:tcBorders>
            <w:shd w:val="clear" w:color="auto" w:fill="auto"/>
            <w:vAlign w:val="top"/>
          </w:tcPr>
          <w:p w14:paraId="1F9CF62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0.905</w:t>
            </w:r>
          </w:p>
        </w:tc>
      </w:tr>
      <w:tr w14:paraId="2E5EB8A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318" w:type="dxa"/>
            <w:tcBorders>
              <w:top w:val="nil"/>
              <w:left w:val="nil"/>
              <w:bottom w:val="single" w:color="auto" w:sz="12" w:space="0"/>
              <w:right w:val="nil"/>
            </w:tcBorders>
            <w:shd w:val="clear" w:color="auto" w:fill="auto"/>
            <w:vAlign w:val="top"/>
          </w:tcPr>
          <w:p w14:paraId="78DA42B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w/o 阶段三主动学习</w:t>
            </w:r>
          </w:p>
        </w:tc>
        <w:tc>
          <w:tcPr>
            <w:tcW w:w="1318" w:type="dxa"/>
            <w:tcBorders>
              <w:top w:val="nil"/>
              <w:left w:val="nil"/>
              <w:bottom w:val="single" w:color="auto" w:sz="12" w:space="0"/>
              <w:right w:val="nil"/>
            </w:tcBorders>
            <w:shd w:val="clear" w:color="auto" w:fill="auto"/>
            <w:vAlign w:val="top"/>
          </w:tcPr>
          <w:p w14:paraId="39FF669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single" w:color="auto" w:sz="12" w:space="0"/>
              <w:right w:val="nil"/>
            </w:tcBorders>
            <w:shd w:val="clear" w:color="auto" w:fill="auto"/>
            <w:vAlign w:val="top"/>
          </w:tcPr>
          <w:p w14:paraId="5F7098A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single" w:color="auto" w:sz="12" w:space="0"/>
              <w:right w:val="nil"/>
            </w:tcBorders>
            <w:shd w:val="clear" w:color="auto" w:fill="auto"/>
            <w:vAlign w:val="top"/>
          </w:tcPr>
          <w:p w14:paraId="2811D31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single" w:color="auto" w:sz="12" w:space="0"/>
              <w:right w:val="nil"/>
            </w:tcBorders>
            <w:shd w:val="clear" w:color="auto" w:fill="auto"/>
            <w:vAlign w:val="top"/>
          </w:tcPr>
          <w:p w14:paraId="06AE059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default" w:ascii="Segoe UI Symbol" w:hAnsi="Segoe UI Symbol" w:eastAsia="宋体" w:cs="Segoe UI Symbol"/>
                <w:kern w:val="0"/>
                <w:sz w:val="18"/>
                <w:szCs w:val="28"/>
                <w:lang w:val="en-US" w:eastAsia="zh-CN" w:bidi="ar"/>
              </w:rPr>
              <w:t>✓</w:t>
            </w:r>
          </w:p>
        </w:tc>
        <w:tc>
          <w:tcPr>
            <w:tcW w:w="1318" w:type="dxa"/>
            <w:tcBorders>
              <w:top w:val="nil"/>
              <w:left w:val="nil"/>
              <w:bottom w:val="single" w:color="auto" w:sz="12" w:space="0"/>
              <w:right w:val="nil"/>
            </w:tcBorders>
            <w:shd w:val="clear" w:color="auto" w:fill="auto"/>
            <w:vAlign w:val="top"/>
          </w:tcPr>
          <w:p w14:paraId="767967A7">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0.075</w:t>
            </w:r>
          </w:p>
        </w:tc>
        <w:tc>
          <w:tcPr>
            <w:tcW w:w="1318" w:type="dxa"/>
            <w:tcBorders>
              <w:top w:val="nil"/>
              <w:left w:val="nil"/>
              <w:bottom w:val="single" w:color="auto" w:sz="12" w:space="0"/>
              <w:right w:val="nil"/>
            </w:tcBorders>
            <w:shd w:val="clear" w:color="auto" w:fill="auto"/>
            <w:vAlign w:val="top"/>
          </w:tcPr>
          <w:p w14:paraId="1465036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0.939</w:t>
            </w:r>
          </w:p>
        </w:tc>
      </w:tr>
    </w:tbl>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29"/>
        <w:gridCol w:w="480"/>
        <w:gridCol w:w="734"/>
        <w:gridCol w:w="807"/>
        <w:gridCol w:w="1339"/>
        <w:gridCol w:w="861"/>
        <w:gridCol w:w="410"/>
        <w:gridCol w:w="2356"/>
      </w:tblGrid>
      <w:tr w14:paraId="5ADF0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597B3F">
            <w:pPr>
              <w:keepNext w:val="0"/>
              <w:keepLines w:val="0"/>
              <w:suppressLineNumbers w:val="0"/>
              <w:spacing w:before="0" w:beforeAutospacing="0" w:after="0" w:afterAutospacing="0"/>
              <w:ind w:left="0" w:right="0"/>
              <w:jc w:val="center"/>
              <w:rPr>
                <w:rFonts w:hint="default"/>
              </w:rPr>
            </w:pPr>
            <w:r>
              <w:rPr>
                <w:rFonts w:hint="default"/>
                <w:b/>
                <w:sz w:val="18"/>
              </w:rPr>
              <w:t>推理模式</w:t>
            </w:r>
          </w:p>
        </w:tc>
        <w:tc>
          <w:tcPr>
            <w:gridSpan w:val="2"/>
          </w:tcPr>
          <w:p w14:paraId="49E54DF0">
            <w:pPr>
              <w:keepNext w:val="0"/>
              <w:keepLines w:val="0"/>
              <w:suppressLineNumbers w:val="0"/>
              <w:spacing w:before="0" w:beforeAutospacing="0" w:after="0" w:afterAutospacing="0"/>
              <w:ind w:left="0" w:right="0"/>
              <w:jc w:val="center"/>
              <w:rPr>
                <w:rFonts w:hint="default"/>
              </w:rPr>
            </w:pPr>
            <w:r>
              <w:rPr>
                <w:rFonts w:hint="default"/>
                <w:b/>
                <w:sz w:val="18"/>
              </w:rPr>
              <w:t>MAE (mm)</w:t>
            </w:r>
          </w:p>
        </w:tc>
        <w:tc>
          <w:tcPr>
            <w:gridSpan w:val="2"/>
          </w:tcPr>
          <w:p w14:paraId="72DEFA85">
            <w:pPr>
              <w:keepNext w:val="0"/>
              <w:keepLines w:val="0"/>
              <w:suppressLineNumbers w:val="0"/>
              <w:spacing w:before="0" w:beforeAutospacing="0" w:after="0" w:afterAutospacing="0"/>
              <w:ind w:left="0" w:right="0"/>
              <w:jc w:val="center"/>
              <w:rPr>
                <w:rFonts w:hint="default"/>
              </w:rPr>
            </w:pPr>
            <w:r>
              <w:rPr>
                <w:rFonts w:hint="default"/>
                <w:b/>
                <w:sz w:val="18"/>
              </w:rPr>
              <w:t>RMSE (mm)</w:t>
            </w:r>
          </w:p>
        </w:tc>
        <w:tc>
          <w:tcPr>
            <w:gridSpan w:val="2"/>
          </w:tcPr>
          <w:p w14:paraId="1BEB60DC">
            <w:pPr>
              <w:keepNext w:val="0"/>
              <w:keepLines w:val="0"/>
              <w:suppressLineNumbers w:val="0"/>
              <w:spacing w:before="0" w:beforeAutospacing="0" w:after="0" w:afterAutospacing="0"/>
              <w:ind w:left="0" w:right="0"/>
              <w:jc w:val="center"/>
              <w:rPr>
                <w:rFonts w:hint="default"/>
              </w:rPr>
            </w:pPr>
            <w:r>
              <w:rPr>
                <w:rFonts w:hint="default"/>
                <w:b/>
                <w:sz w:val="18"/>
              </w:rPr>
              <w:t>PCC</w:t>
            </w:r>
          </w:p>
        </w:tc>
        <w:tc>
          <w:p w14:paraId="246A55D1">
            <w:pPr>
              <w:keepNext w:val="0"/>
              <w:keepLines w:val="0"/>
              <w:suppressLineNumbers w:val="0"/>
              <w:spacing w:before="0" w:beforeAutospacing="0" w:after="0" w:afterAutospacing="0"/>
              <w:ind w:left="0" w:right="0"/>
              <w:jc w:val="center"/>
              <w:rPr>
                <w:rFonts w:hint="default"/>
              </w:rPr>
            </w:pPr>
            <w:r>
              <w:rPr>
                <w:rFonts w:hint="default"/>
                <w:b/>
                <w:sz w:val="18"/>
              </w:rPr>
              <w:t>稳定性分类准确率 (%)</w:t>
            </w:r>
          </w:p>
        </w:tc>
      </w:tr>
      <w:tr w14:paraId="5592E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731C8F">
            <w:pPr>
              <w:keepNext w:val="0"/>
              <w:keepLines w:val="0"/>
              <w:suppressLineNumbers w:val="0"/>
              <w:spacing w:before="0" w:beforeAutospacing="0" w:after="0" w:afterAutospacing="0"/>
              <w:ind w:left="0" w:right="0"/>
              <w:jc w:val="center"/>
              <w:rPr>
                <w:rFonts w:hint="default"/>
              </w:rPr>
            </w:pPr>
            <w:r>
              <w:rPr>
                <w:rFonts w:hint="default"/>
                <w:sz w:val="18"/>
              </w:rPr>
              <w:t>模式 A：纯物理（r=0）</w:t>
            </w:r>
          </w:p>
        </w:tc>
        <w:tc>
          <w:tcPr>
            <w:gridSpan w:val="2"/>
          </w:tcPr>
          <w:p w14:paraId="4C6CBD3B">
            <w:pPr>
              <w:keepNext w:val="0"/>
              <w:keepLines w:val="0"/>
              <w:suppressLineNumbers w:val="0"/>
              <w:spacing w:before="0" w:beforeAutospacing="0" w:after="0" w:afterAutospacing="0"/>
              <w:ind w:left="0" w:right="0"/>
              <w:jc w:val="center"/>
              <w:rPr>
                <w:rFonts w:hint="default"/>
              </w:rPr>
            </w:pPr>
            <w:r>
              <w:rPr>
                <w:rFonts w:hint="default"/>
                <w:sz w:val="18"/>
              </w:rPr>
              <w:t>0.156</w:t>
            </w:r>
          </w:p>
        </w:tc>
        <w:tc>
          <w:tcPr>
            <w:gridSpan w:val="2"/>
          </w:tcPr>
          <w:p w14:paraId="274E0451">
            <w:pPr>
              <w:keepNext w:val="0"/>
              <w:keepLines w:val="0"/>
              <w:suppressLineNumbers w:val="0"/>
              <w:spacing w:before="0" w:beforeAutospacing="0" w:after="0" w:afterAutospacing="0"/>
              <w:ind w:left="0" w:right="0"/>
              <w:jc w:val="center"/>
              <w:rPr>
                <w:rFonts w:hint="default"/>
              </w:rPr>
            </w:pPr>
            <w:r>
              <w:rPr>
                <w:rFonts w:hint="default"/>
                <w:sz w:val="18"/>
              </w:rPr>
              <w:t>0.203</w:t>
            </w:r>
          </w:p>
        </w:tc>
        <w:tc>
          <w:tcPr>
            <w:gridSpan w:val="2"/>
          </w:tcPr>
          <w:p w14:paraId="1FA124EC">
            <w:pPr>
              <w:keepNext w:val="0"/>
              <w:keepLines w:val="0"/>
              <w:suppressLineNumbers w:val="0"/>
              <w:spacing w:before="0" w:beforeAutospacing="0" w:after="0" w:afterAutospacing="0"/>
              <w:ind w:left="0" w:right="0"/>
              <w:jc w:val="center"/>
              <w:rPr>
                <w:rFonts w:hint="default"/>
              </w:rPr>
            </w:pPr>
            <w:r>
              <w:rPr>
                <w:rFonts w:hint="default"/>
                <w:sz w:val="18"/>
              </w:rPr>
              <w:t>0.872</w:t>
            </w:r>
          </w:p>
        </w:tc>
        <w:tc>
          <w:p w14:paraId="7351EA4D">
            <w:pPr>
              <w:keepNext w:val="0"/>
              <w:keepLines w:val="0"/>
              <w:suppressLineNumbers w:val="0"/>
              <w:spacing w:before="0" w:beforeAutospacing="0" w:after="0" w:afterAutospacing="0"/>
              <w:ind w:left="0" w:right="0"/>
              <w:jc w:val="center"/>
              <w:rPr>
                <w:rFonts w:hint="default"/>
              </w:rPr>
            </w:pPr>
            <w:r>
              <w:rPr>
                <w:rFonts w:hint="default"/>
                <w:sz w:val="18"/>
              </w:rPr>
              <w:t>71.5</w:t>
            </w:r>
          </w:p>
        </w:tc>
      </w:tr>
      <w:tr w14:paraId="5E268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A124F1">
            <w:pPr>
              <w:keepNext w:val="0"/>
              <w:keepLines w:val="0"/>
              <w:suppressLineNumbers w:val="0"/>
              <w:spacing w:before="0" w:beforeAutospacing="0" w:after="0" w:afterAutospacing="0"/>
              <w:ind w:left="0" w:right="0"/>
              <w:jc w:val="center"/>
              <w:rPr>
                <w:rFonts w:hint="default"/>
              </w:rPr>
            </w:pPr>
            <w:r>
              <w:rPr>
                <w:rFonts w:hint="default"/>
                <w:sz w:val="18"/>
              </w:rPr>
              <w:t>模式 B：本文模型（r 自由）</w:t>
            </w:r>
          </w:p>
        </w:tc>
        <w:tc>
          <w:tcPr>
            <w:gridSpan w:val="2"/>
          </w:tcPr>
          <w:p w14:paraId="30386E3A">
            <w:pPr>
              <w:keepNext w:val="0"/>
              <w:keepLines w:val="0"/>
              <w:suppressLineNumbers w:val="0"/>
              <w:spacing w:before="0" w:beforeAutospacing="0" w:after="0" w:afterAutospacing="0"/>
              <w:ind w:left="0" w:right="0"/>
              <w:jc w:val="center"/>
              <w:rPr>
                <w:rFonts w:hint="default"/>
              </w:rPr>
            </w:pPr>
            <w:r>
              <w:rPr>
                <w:rFonts w:hint="default"/>
                <w:sz w:val="18"/>
              </w:rPr>
              <w:t>0.080</w:t>
            </w:r>
          </w:p>
        </w:tc>
        <w:tc>
          <w:tcPr>
            <w:gridSpan w:val="2"/>
          </w:tcPr>
          <w:p w14:paraId="2E0C68A9">
            <w:pPr>
              <w:keepNext w:val="0"/>
              <w:keepLines w:val="0"/>
              <w:suppressLineNumbers w:val="0"/>
              <w:spacing w:before="0" w:beforeAutospacing="0" w:after="0" w:afterAutospacing="0"/>
              <w:ind w:left="0" w:right="0"/>
              <w:jc w:val="center"/>
              <w:rPr>
                <w:rFonts w:hint="default"/>
              </w:rPr>
            </w:pPr>
            <w:r>
              <w:rPr>
                <w:rFonts w:hint="default"/>
                <w:sz w:val="18"/>
              </w:rPr>
              <w:t>0.105</w:t>
            </w:r>
          </w:p>
        </w:tc>
        <w:tc>
          <w:tcPr>
            <w:gridSpan w:val="2"/>
          </w:tcPr>
          <w:p w14:paraId="187360D3">
            <w:pPr>
              <w:keepNext w:val="0"/>
              <w:keepLines w:val="0"/>
              <w:suppressLineNumbers w:val="0"/>
              <w:spacing w:before="0" w:beforeAutospacing="0" w:after="0" w:afterAutospacing="0"/>
              <w:ind w:left="0" w:right="0"/>
              <w:jc w:val="center"/>
              <w:rPr>
                <w:rFonts w:hint="default"/>
              </w:rPr>
            </w:pPr>
            <w:r>
              <w:rPr>
                <w:rFonts w:hint="default"/>
                <w:sz w:val="18"/>
              </w:rPr>
              <w:t>0.948</w:t>
            </w:r>
          </w:p>
        </w:tc>
        <w:tc>
          <w:p w14:paraId="6AC7E925">
            <w:pPr>
              <w:keepNext w:val="0"/>
              <w:keepLines w:val="0"/>
              <w:suppressLineNumbers w:val="0"/>
              <w:spacing w:before="0" w:beforeAutospacing="0" w:after="0" w:afterAutospacing="0"/>
              <w:ind w:left="0" w:right="0"/>
              <w:jc w:val="center"/>
              <w:rPr>
                <w:rFonts w:hint="default"/>
              </w:rPr>
            </w:pPr>
            <w:r>
              <w:rPr>
                <w:rFonts w:hint="default"/>
                <w:sz w:val="18"/>
              </w:rPr>
              <w:t>92.0</w:t>
            </w:r>
          </w:p>
        </w:tc>
      </w:tr>
      <w:tr w14:paraId="113B3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DB421F">
            <w:pPr>
              <w:keepNext w:val="0"/>
              <w:keepLines w:val="0"/>
              <w:suppressLineNumbers w:val="0"/>
              <w:spacing w:before="0" w:beforeAutospacing="0" w:after="0" w:afterAutospacing="0"/>
              <w:ind w:left="0" w:right="0"/>
              <w:jc w:val="center"/>
              <w:rPr>
                <w:rFonts w:hint="default"/>
              </w:rPr>
            </w:pPr>
            <w:r>
              <w:rPr>
                <w:rFonts w:hint="default"/>
                <w:sz w:val="18"/>
              </w:rPr>
              <w:t>模式 C：随机残差（r 打乱）</w:t>
            </w:r>
          </w:p>
        </w:tc>
        <w:tc>
          <w:tcPr>
            <w:gridSpan w:val="2"/>
          </w:tcPr>
          <w:p w14:paraId="694A68AD">
            <w:pPr>
              <w:keepNext w:val="0"/>
              <w:keepLines w:val="0"/>
              <w:suppressLineNumbers w:val="0"/>
              <w:spacing w:before="0" w:beforeAutospacing="0" w:after="0" w:afterAutospacing="0"/>
              <w:ind w:left="0" w:right="0"/>
              <w:jc w:val="center"/>
              <w:rPr>
                <w:rFonts w:hint="default"/>
              </w:rPr>
            </w:pPr>
            <w:r>
              <w:rPr>
                <w:rFonts w:hint="default"/>
                <w:sz w:val="18"/>
              </w:rPr>
              <w:t>0.178</w:t>
            </w:r>
          </w:p>
        </w:tc>
        <w:tc>
          <w:tcPr>
            <w:gridSpan w:val="2"/>
          </w:tcPr>
          <w:p w14:paraId="2DA299FD">
            <w:pPr>
              <w:keepNext w:val="0"/>
              <w:keepLines w:val="0"/>
              <w:suppressLineNumbers w:val="0"/>
              <w:spacing w:before="0" w:beforeAutospacing="0" w:after="0" w:afterAutospacing="0"/>
              <w:ind w:left="0" w:right="0"/>
              <w:jc w:val="center"/>
              <w:rPr>
                <w:rFonts w:hint="default"/>
              </w:rPr>
            </w:pPr>
            <w:r>
              <w:rPr>
                <w:rFonts w:hint="default"/>
                <w:sz w:val="18"/>
              </w:rPr>
              <w:t>0.231</w:t>
            </w:r>
          </w:p>
        </w:tc>
        <w:tc>
          <w:tcPr>
            <w:gridSpan w:val="2"/>
          </w:tcPr>
          <w:p w14:paraId="43404D39">
            <w:pPr>
              <w:keepNext w:val="0"/>
              <w:keepLines w:val="0"/>
              <w:suppressLineNumbers w:val="0"/>
              <w:spacing w:before="0" w:beforeAutospacing="0" w:after="0" w:afterAutospacing="0"/>
              <w:ind w:left="0" w:right="0"/>
              <w:jc w:val="center"/>
              <w:rPr>
                <w:rFonts w:hint="default"/>
              </w:rPr>
            </w:pPr>
            <w:r>
              <w:rPr>
                <w:rFonts w:hint="default"/>
                <w:sz w:val="18"/>
              </w:rPr>
              <w:t>0.841</w:t>
            </w:r>
          </w:p>
        </w:tc>
        <w:tc>
          <w:p w14:paraId="2F6F68D8">
            <w:pPr>
              <w:keepNext w:val="0"/>
              <w:keepLines w:val="0"/>
              <w:suppressLineNumbers w:val="0"/>
              <w:spacing w:before="0" w:beforeAutospacing="0" w:after="0" w:afterAutospacing="0"/>
              <w:ind w:left="0" w:right="0"/>
              <w:jc w:val="center"/>
              <w:rPr>
                <w:rFonts w:hint="default"/>
              </w:rPr>
            </w:pPr>
            <w:r>
              <w:rPr>
                <w:rFonts w:hint="default"/>
                <w:sz w:val="18"/>
              </w:rPr>
              <w:t>65.0</w:t>
            </w:r>
          </w:p>
        </w:tc>
      </w:tr>
      <w:tr w14:paraId="00063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45A98DAB">
            <w:pPr>
              <w:keepNext w:val="0"/>
              <w:keepLines w:val="0"/>
              <w:suppressLineNumbers w:val="0"/>
              <w:spacing w:before="0" w:beforeAutospacing="0" w:after="0" w:afterAutospacing="0"/>
              <w:ind w:left="0" w:right="0"/>
              <w:jc w:val="center"/>
              <w:rPr>
                <w:rFonts w:hint="default"/>
              </w:rPr>
            </w:pPr>
            <w:r>
              <w:rPr>
                <w:rFonts w:hint="default"/>
                <w:b/>
                <w:sz w:val="18"/>
              </w:rPr>
              <w:t>参数偏移量</w:t>
            </w:r>
          </w:p>
        </w:tc>
        <w:tc>
          <w:tcPr>
            <w:gridSpan w:val="2"/>
          </w:tcPr>
          <w:p w14:paraId="000C8F50">
            <w:pPr>
              <w:keepNext w:val="0"/>
              <w:keepLines w:val="0"/>
              <w:suppressLineNumbers w:val="0"/>
              <w:spacing w:before="0" w:beforeAutospacing="0" w:after="0" w:afterAutospacing="0"/>
              <w:ind w:left="0" w:right="0"/>
              <w:jc w:val="center"/>
              <w:rPr>
                <w:rFonts w:hint="default"/>
              </w:rPr>
            </w:pPr>
            <w:r>
              <w:rPr>
                <w:rFonts w:hint="default"/>
                <w:b/>
                <w:sz w:val="18"/>
              </w:rPr>
              <w:t>纯 Tlusty MAE (mm)</w:t>
            </w:r>
          </w:p>
        </w:tc>
        <w:tc>
          <w:tcPr>
            <w:gridSpan w:val="2"/>
          </w:tcPr>
          <w:p w14:paraId="221BE22F">
            <w:pPr>
              <w:keepNext w:val="0"/>
              <w:keepLines w:val="0"/>
              <w:suppressLineNumbers w:val="0"/>
              <w:spacing w:before="0" w:beforeAutospacing="0" w:after="0" w:afterAutospacing="0"/>
              <w:ind w:left="0" w:right="0"/>
              <w:jc w:val="center"/>
              <w:rPr>
                <w:rFonts w:hint="default"/>
              </w:rPr>
            </w:pPr>
            <w:r>
              <w:rPr>
                <w:rFonts w:hint="default"/>
                <w:b/>
                <w:sz w:val="18"/>
              </w:rPr>
              <w:t>Tlusty+MLP 残差 MAE (mm)</w:t>
            </w:r>
          </w:p>
        </w:tc>
        <w:tc>
          <w:tcPr>
            <w:gridSpan w:val="2"/>
          </w:tcPr>
          <w:p w14:paraId="296C89D1">
            <w:pPr>
              <w:keepNext w:val="0"/>
              <w:keepLines w:val="0"/>
              <w:suppressLineNumbers w:val="0"/>
              <w:spacing w:before="0" w:beforeAutospacing="0" w:after="0" w:afterAutospacing="0"/>
              <w:ind w:left="0" w:right="0"/>
              <w:jc w:val="center"/>
              <w:rPr>
                <w:rFonts w:hint="default"/>
              </w:rPr>
            </w:pPr>
            <w:r>
              <w:rPr>
                <w:rFonts w:hint="default"/>
                <w:b/>
                <w:sz w:val="18"/>
              </w:rPr>
              <w:t>Tlusty+LTC 残差 (DL-LNN) MAE (mm)</w:t>
            </w:r>
          </w:p>
        </w:tc>
      </w:tr>
      <w:tr w14:paraId="1C53B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701AEC0A">
            <w:pPr>
              <w:keepNext w:val="0"/>
              <w:keepLines w:val="0"/>
              <w:suppressLineNumbers w:val="0"/>
              <w:spacing w:before="0" w:beforeAutospacing="0" w:after="0" w:afterAutospacing="0"/>
              <w:ind w:left="0" w:right="0"/>
              <w:jc w:val="center"/>
              <w:rPr>
                <w:rFonts w:hint="default"/>
              </w:rPr>
            </w:pPr>
            <w:r>
              <w:rPr>
                <w:rFonts w:hint="default"/>
                <w:sz w:val="18"/>
              </w:rPr>
              <w:t>+5%</w:t>
            </w:r>
          </w:p>
        </w:tc>
        <w:tc>
          <w:tcPr>
            <w:gridSpan w:val="2"/>
          </w:tcPr>
          <w:p w14:paraId="37401202">
            <w:pPr>
              <w:keepNext w:val="0"/>
              <w:keepLines w:val="0"/>
              <w:suppressLineNumbers w:val="0"/>
              <w:spacing w:before="0" w:beforeAutospacing="0" w:after="0" w:afterAutospacing="0"/>
              <w:ind w:left="0" w:right="0"/>
              <w:jc w:val="center"/>
              <w:rPr>
                <w:rFonts w:hint="default"/>
              </w:rPr>
            </w:pPr>
            <w:r>
              <w:rPr>
                <w:rFonts w:hint="default"/>
                <w:sz w:val="18"/>
              </w:rPr>
              <w:t>0.185</w:t>
            </w:r>
          </w:p>
        </w:tc>
        <w:tc>
          <w:tcPr>
            <w:gridSpan w:val="2"/>
          </w:tcPr>
          <w:p w14:paraId="424B2EF7">
            <w:pPr>
              <w:keepNext w:val="0"/>
              <w:keepLines w:val="0"/>
              <w:suppressLineNumbers w:val="0"/>
              <w:spacing w:before="0" w:beforeAutospacing="0" w:after="0" w:afterAutospacing="0"/>
              <w:ind w:left="0" w:right="0"/>
              <w:jc w:val="center"/>
              <w:rPr>
                <w:rFonts w:hint="default"/>
              </w:rPr>
            </w:pPr>
            <w:r>
              <w:rPr>
                <w:rFonts w:hint="default"/>
                <w:sz w:val="18"/>
              </w:rPr>
              <w:t>0.112</w:t>
            </w:r>
          </w:p>
        </w:tc>
        <w:tc>
          <w:tcPr>
            <w:gridSpan w:val="2"/>
          </w:tcPr>
          <w:p w14:paraId="6DA004BE">
            <w:pPr>
              <w:keepNext w:val="0"/>
              <w:keepLines w:val="0"/>
              <w:suppressLineNumbers w:val="0"/>
              <w:spacing w:before="0" w:beforeAutospacing="0" w:after="0" w:afterAutospacing="0"/>
              <w:ind w:left="0" w:right="0"/>
              <w:jc w:val="center"/>
              <w:rPr>
                <w:rFonts w:hint="default"/>
              </w:rPr>
            </w:pPr>
            <w:r>
              <w:rPr>
                <w:rFonts w:hint="default"/>
                <w:sz w:val="18"/>
              </w:rPr>
              <w:t>0.083</w:t>
            </w:r>
          </w:p>
        </w:tc>
      </w:tr>
      <w:tr w14:paraId="0B8A9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700C0D32">
            <w:pPr>
              <w:keepNext w:val="0"/>
              <w:keepLines w:val="0"/>
              <w:suppressLineNumbers w:val="0"/>
              <w:spacing w:before="0" w:beforeAutospacing="0" w:after="0" w:afterAutospacing="0"/>
              <w:ind w:left="0" w:right="0"/>
              <w:jc w:val="center"/>
              <w:rPr>
                <w:rFonts w:hint="default"/>
              </w:rPr>
            </w:pPr>
            <w:r>
              <w:rPr>
                <w:rFonts w:hint="default"/>
                <w:sz w:val="18"/>
              </w:rPr>
              <w:t>+10%</w:t>
            </w:r>
          </w:p>
        </w:tc>
        <w:tc>
          <w:tcPr>
            <w:gridSpan w:val="2"/>
          </w:tcPr>
          <w:p w14:paraId="52311F7D">
            <w:pPr>
              <w:keepNext w:val="0"/>
              <w:keepLines w:val="0"/>
              <w:suppressLineNumbers w:val="0"/>
              <w:spacing w:before="0" w:beforeAutospacing="0" w:after="0" w:afterAutospacing="0"/>
              <w:ind w:left="0" w:right="0"/>
              <w:jc w:val="center"/>
              <w:rPr>
                <w:rFonts w:hint="default"/>
              </w:rPr>
            </w:pPr>
            <w:r>
              <w:rPr>
                <w:rFonts w:hint="default"/>
                <w:sz w:val="18"/>
              </w:rPr>
              <w:t>0.342</w:t>
            </w:r>
          </w:p>
        </w:tc>
        <w:tc>
          <w:tcPr>
            <w:gridSpan w:val="2"/>
          </w:tcPr>
          <w:p w14:paraId="022CA033">
            <w:pPr>
              <w:keepNext w:val="0"/>
              <w:keepLines w:val="0"/>
              <w:suppressLineNumbers w:val="0"/>
              <w:spacing w:before="0" w:beforeAutospacing="0" w:after="0" w:afterAutospacing="0"/>
              <w:ind w:left="0" w:right="0"/>
              <w:jc w:val="center"/>
              <w:rPr>
                <w:rFonts w:hint="default"/>
              </w:rPr>
            </w:pPr>
            <w:r>
              <w:rPr>
                <w:rFonts w:hint="default"/>
                <w:sz w:val="18"/>
              </w:rPr>
              <w:t>0.138</w:t>
            </w:r>
          </w:p>
        </w:tc>
        <w:tc>
          <w:tcPr>
            <w:gridSpan w:val="2"/>
          </w:tcPr>
          <w:p w14:paraId="0DD095FB">
            <w:pPr>
              <w:keepNext w:val="0"/>
              <w:keepLines w:val="0"/>
              <w:suppressLineNumbers w:val="0"/>
              <w:spacing w:before="0" w:beforeAutospacing="0" w:after="0" w:afterAutospacing="0"/>
              <w:ind w:left="0" w:right="0"/>
              <w:jc w:val="center"/>
              <w:rPr>
                <w:rFonts w:hint="default"/>
              </w:rPr>
            </w:pPr>
            <w:r>
              <w:rPr>
                <w:rFonts w:hint="default"/>
                <w:sz w:val="18"/>
              </w:rPr>
              <w:t>0.087</w:t>
            </w:r>
          </w:p>
        </w:tc>
      </w:tr>
      <w:tr w14:paraId="71CAF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201F138D">
            <w:pPr>
              <w:keepNext w:val="0"/>
              <w:keepLines w:val="0"/>
              <w:suppressLineNumbers w:val="0"/>
              <w:spacing w:before="0" w:beforeAutospacing="0" w:after="0" w:afterAutospacing="0"/>
              <w:ind w:left="0" w:right="0"/>
              <w:jc w:val="center"/>
              <w:rPr>
                <w:rFonts w:hint="default"/>
              </w:rPr>
            </w:pPr>
            <w:r>
              <w:rPr>
                <w:rFonts w:hint="default"/>
                <w:sz w:val="18"/>
              </w:rPr>
              <w:t>+20%</w:t>
            </w:r>
          </w:p>
        </w:tc>
        <w:tc>
          <w:tcPr>
            <w:gridSpan w:val="2"/>
          </w:tcPr>
          <w:p w14:paraId="788B96CA">
            <w:pPr>
              <w:keepNext w:val="0"/>
              <w:keepLines w:val="0"/>
              <w:suppressLineNumbers w:val="0"/>
              <w:spacing w:before="0" w:beforeAutospacing="0" w:after="0" w:afterAutospacing="0"/>
              <w:ind w:left="0" w:right="0"/>
              <w:jc w:val="center"/>
              <w:rPr>
                <w:rFonts w:hint="default"/>
              </w:rPr>
            </w:pPr>
            <w:r>
              <w:rPr>
                <w:rFonts w:hint="default"/>
                <w:sz w:val="18"/>
              </w:rPr>
              <w:t>0.651</w:t>
            </w:r>
          </w:p>
        </w:tc>
        <w:tc>
          <w:tcPr>
            <w:gridSpan w:val="2"/>
          </w:tcPr>
          <w:p w14:paraId="0B7C0DFB">
            <w:pPr>
              <w:keepNext w:val="0"/>
              <w:keepLines w:val="0"/>
              <w:suppressLineNumbers w:val="0"/>
              <w:spacing w:before="0" w:beforeAutospacing="0" w:after="0" w:afterAutospacing="0"/>
              <w:ind w:left="0" w:right="0"/>
              <w:jc w:val="center"/>
              <w:rPr>
                <w:rFonts w:hint="default"/>
              </w:rPr>
            </w:pPr>
            <w:r>
              <w:rPr>
                <w:rFonts w:hint="default"/>
                <w:sz w:val="18"/>
              </w:rPr>
              <w:t>0.195</w:t>
            </w:r>
          </w:p>
        </w:tc>
        <w:tc>
          <w:tcPr>
            <w:gridSpan w:val="2"/>
          </w:tcPr>
          <w:p w14:paraId="5AF11391">
            <w:pPr>
              <w:keepNext w:val="0"/>
              <w:keepLines w:val="0"/>
              <w:suppressLineNumbers w:val="0"/>
              <w:spacing w:before="0" w:beforeAutospacing="0" w:after="0" w:afterAutospacing="0"/>
              <w:ind w:left="0" w:right="0"/>
              <w:jc w:val="center"/>
              <w:rPr>
                <w:rFonts w:hint="default"/>
              </w:rPr>
            </w:pPr>
            <w:r>
              <w:rPr>
                <w:rFonts w:hint="default"/>
                <w:sz w:val="18"/>
              </w:rPr>
              <w:t>0.094</w:t>
            </w:r>
          </w:p>
        </w:tc>
      </w:tr>
      <w:tr w14:paraId="25BBD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61314C65">
            <w:pPr>
              <w:keepNext w:val="0"/>
              <w:keepLines w:val="0"/>
              <w:suppressLineNumbers w:val="0"/>
              <w:spacing w:before="0" w:beforeAutospacing="0" w:after="0" w:afterAutospacing="0"/>
              <w:ind w:left="0" w:right="0"/>
              <w:jc w:val="center"/>
              <w:rPr>
                <w:rFonts w:hint="default"/>
              </w:rPr>
            </w:pPr>
            <w:r>
              <w:rPr>
                <w:rFonts w:hint="default"/>
                <w:sz w:val="18"/>
              </w:rPr>
              <w:t>-10%</w:t>
            </w:r>
          </w:p>
        </w:tc>
        <w:tc>
          <w:tcPr>
            <w:gridSpan w:val="2"/>
          </w:tcPr>
          <w:p w14:paraId="42FECC4D">
            <w:pPr>
              <w:keepNext w:val="0"/>
              <w:keepLines w:val="0"/>
              <w:suppressLineNumbers w:val="0"/>
              <w:spacing w:before="0" w:beforeAutospacing="0" w:after="0" w:afterAutospacing="0"/>
              <w:ind w:left="0" w:right="0"/>
              <w:jc w:val="center"/>
              <w:rPr>
                <w:rFonts w:hint="default"/>
              </w:rPr>
            </w:pPr>
            <w:r>
              <w:rPr>
                <w:rFonts w:hint="default"/>
                <w:sz w:val="18"/>
              </w:rPr>
              <w:t>0.298</w:t>
            </w:r>
          </w:p>
        </w:tc>
        <w:tc>
          <w:tcPr>
            <w:gridSpan w:val="2"/>
          </w:tcPr>
          <w:p w14:paraId="51E0291A">
            <w:pPr>
              <w:keepNext w:val="0"/>
              <w:keepLines w:val="0"/>
              <w:suppressLineNumbers w:val="0"/>
              <w:spacing w:before="0" w:beforeAutospacing="0" w:after="0" w:afterAutospacing="0"/>
              <w:ind w:left="0" w:right="0"/>
              <w:jc w:val="center"/>
              <w:rPr>
                <w:rFonts w:hint="default"/>
              </w:rPr>
            </w:pPr>
            <w:r>
              <w:rPr>
                <w:rFonts w:hint="default"/>
                <w:sz w:val="18"/>
              </w:rPr>
              <w:t>0.129</w:t>
            </w:r>
          </w:p>
        </w:tc>
        <w:tc>
          <w:tcPr>
            <w:gridSpan w:val="2"/>
          </w:tcPr>
          <w:p w14:paraId="26E70FDB">
            <w:pPr>
              <w:keepNext w:val="0"/>
              <w:keepLines w:val="0"/>
              <w:suppressLineNumbers w:val="0"/>
              <w:spacing w:before="0" w:beforeAutospacing="0" w:after="0" w:afterAutospacing="0"/>
              <w:ind w:left="0" w:right="0"/>
              <w:jc w:val="center"/>
              <w:rPr>
                <w:rFonts w:hint="default"/>
              </w:rPr>
            </w:pPr>
            <w:r>
              <w:rPr>
                <w:rFonts w:hint="default"/>
                <w:sz w:val="18"/>
              </w:rPr>
              <w:t>0.085</w:t>
            </w:r>
          </w:p>
        </w:tc>
      </w:tr>
      <w:tr w14:paraId="704C2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089FE064">
            <w:pPr>
              <w:keepNext w:val="0"/>
              <w:keepLines w:val="0"/>
              <w:suppressLineNumbers w:val="0"/>
              <w:spacing w:before="0" w:beforeAutospacing="0" w:after="0" w:afterAutospacing="0"/>
              <w:ind w:left="0" w:right="0"/>
              <w:jc w:val="center"/>
              <w:rPr>
                <w:rFonts w:hint="default"/>
              </w:rPr>
            </w:pPr>
            <w:r>
              <w:rPr>
                <w:rFonts w:hint="default"/>
                <w:sz w:val="18"/>
              </w:rPr>
              <w:t>0%（无偏移）</w:t>
            </w:r>
          </w:p>
        </w:tc>
        <w:tc>
          <w:tcPr>
            <w:gridSpan w:val="2"/>
          </w:tcPr>
          <w:p w14:paraId="3A981A48">
            <w:pPr>
              <w:keepNext w:val="0"/>
              <w:keepLines w:val="0"/>
              <w:suppressLineNumbers w:val="0"/>
              <w:spacing w:before="0" w:beforeAutospacing="0" w:after="0" w:afterAutospacing="0"/>
              <w:ind w:left="0" w:right="0"/>
              <w:jc w:val="center"/>
              <w:rPr>
                <w:rFonts w:hint="default"/>
              </w:rPr>
            </w:pPr>
            <w:r>
              <w:rPr>
                <w:rFonts w:hint="default"/>
                <w:sz w:val="18"/>
              </w:rPr>
              <w:t>0.062</w:t>
            </w:r>
          </w:p>
        </w:tc>
        <w:tc>
          <w:tcPr>
            <w:gridSpan w:val="2"/>
          </w:tcPr>
          <w:p w14:paraId="00B6ABA8">
            <w:pPr>
              <w:keepNext w:val="0"/>
              <w:keepLines w:val="0"/>
              <w:suppressLineNumbers w:val="0"/>
              <w:spacing w:before="0" w:beforeAutospacing="0" w:after="0" w:afterAutospacing="0"/>
              <w:ind w:left="0" w:right="0"/>
              <w:jc w:val="center"/>
              <w:rPr>
                <w:rFonts w:hint="default"/>
              </w:rPr>
            </w:pPr>
            <w:r>
              <w:rPr>
                <w:rFonts w:hint="default"/>
                <w:sz w:val="18"/>
              </w:rPr>
              <w:t>0.098</w:t>
            </w:r>
          </w:p>
        </w:tc>
        <w:tc>
          <w:tcPr>
            <w:gridSpan w:val="2"/>
          </w:tcPr>
          <w:p w14:paraId="4272724F">
            <w:pPr>
              <w:keepNext w:val="0"/>
              <w:keepLines w:val="0"/>
              <w:suppressLineNumbers w:val="0"/>
              <w:spacing w:before="0" w:beforeAutospacing="0" w:after="0" w:afterAutospacing="0"/>
              <w:ind w:left="0" w:right="0"/>
              <w:jc w:val="center"/>
              <w:rPr>
                <w:rFonts w:hint="default"/>
              </w:rPr>
            </w:pPr>
            <w:r>
              <w:rPr>
                <w:rFonts w:hint="default"/>
                <w:sz w:val="18"/>
              </w:rPr>
              <w:t>0.080</w:t>
            </w:r>
          </w:p>
        </w:tc>
      </w:tr>
    </w:tbl>
    <w:p w14:paraId="0D112373">
      <w:pPr>
        <w:pStyle w:val="4"/>
        <w:keepNext/>
        <w:numPr>
          <w:ilvl w:val="0"/>
          <w:numId w:val="0"/>
        </w:numPr>
        <w:ind w:leftChars="0"/>
        <w:rPr>
          <w:b w:val="0"/>
        </w:rPr>
      </w:pPr>
      <w:bookmarkStart w:id="146" w:name="_Toc21817"/>
      <w:r>
        <w:rPr>
          <w:rFonts w:hint="eastAsia"/>
          <w:lang w:eastAsia="zh-CN"/>
        </w:rPr>
        <w:t xml:space="preserve">4.2.2 </w:t>
      </w:r>
      <w:r>
        <w:t>参数灵敏度崩溃测试（Exp-1）</w:t>
      </w:r>
      <w:bookmarkEnd w:id="146"/>
    </w:p>
    <w:p w14:paraId="6D88C4F7">
      <w:pPr>
        <w:pStyle w:val="11"/>
        <w:rPr>
          <w:rFonts w:ascii="Times New Roman" w:hAnsi="Times New Roman" w:eastAsia="宋体" w:cs="Times New Roman"/>
          <w:sz w:val="21"/>
          <w:szCs w:val="24"/>
        </w:rPr>
      </w:pPr>
      <w:r>
        <w:rPr>
          <w:rFonts w:ascii="Times New Roman" w:hAnsi="Times New Roman" w:eastAsia="宋体" w:cs="Times New Roman"/>
          <w:sz w:val="21"/>
          <w:szCs w:val="24"/>
        </w:rPr>
        <w:t>实验结果（表 4）显示：（1）纯 Tlusty 模型的 MAE 随偏移量增大呈近似线性增长，+20% 偏移时 MAE 从 0.062 mm 飙升至 0.651 mm（退化 950%），验证了"解析模型对参数失配极度敏感"的论断；（2）Tlusty+MLP 残差模型在 +5% 偏移时 MAE 为 0.112 mm，优于纯 Tlusty，但在 +20% 偏移时 MAE 升至 0.195 mm，退化幅度达 99%，说明 MLP 的离散修正能力在极端偏移下失效；（3）DL-LNN（Tlusty+LTC 残差）在所有偏移条件下 MAE 均保持在 0.080~0.094 mm 区间，最大退化仅 17.5%，验证了 LTC 的连续时间动态机制对参数漂移具有天然鲁棒性；（4）关键发现：即使在 +20% 极端偏移下，DL-LNN 的 MAE（0.094 mm）仍优于无偏移条件下纯 Tlusty 的 MAE（0.062 mm 的 1.5 倍），证明网络确实学到了参数失配校准能力，而非简单依赖输入参数的精确性。</w:t>
      </w:r>
    </w:p>
    <w:p w14:paraId="56E89779">
      <w:pPr>
        <w:pStyle w:val="11"/>
        <w:rPr>
          <w:rFonts w:ascii="Times New Roman" w:hAnsi="Times New Roman" w:eastAsia="宋体" w:cs="Times New Roman"/>
          <w:sz w:val="21"/>
          <w:szCs w:val="24"/>
        </w:rPr>
      </w:pPr>
      <w:r>
        <w:rPr>
          <w:rFonts w:ascii="Times New Roman" w:hAnsi="Times New Roman" w:eastAsia="宋体" w:cs="Times New Roman"/>
          <w:sz w:val="21"/>
          <w:szCs w:val="24"/>
        </w:rPr>
        <w:t>实验设置：在 PHM2010 测试集上，对模态刚度 k 分别施加 +5%、+10%、+20%、-10% 的系统偏移，对比纯 Tlusty 解析模型、Tlusty+MLP 残差、Tlusty+LTC 残差（本文 DL-LNN）三种方案的预测误差变化趋势。</w:t>
      </w:r>
    </w:p>
    <w:p w14:paraId="2D0C2EB8">
      <w:pPr>
        <w:pStyle w:val="11"/>
        <w:rPr>
          <w:rFonts w:ascii="Times New Roman" w:hAnsi="Times New Roman" w:eastAsia="宋体" w:cs="Times New Roman"/>
          <w:sz w:val="21"/>
          <w:szCs w:val="24"/>
        </w:rPr>
      </w:pPr>
      <w:r>
        <w:rPr>
          <w:rFonts w:ascii="Times New Roman" w:hAnsi="Times New Roman" w:eastAsia="宋体" w:cs="Times New Roman"/>
          <w:sz w:val="21"/>
          <w:szCs w:val="24"/>
        </w:rPr>
        <w:t>实际车间锤击法测得的模态参数受夹具边界条件、温度漂移及操作误差影响，往往与真实在线动力学参数存在 15%~20% 的系统偏差。为验证 DL-LNN 作为物理模型动态补偿器在模态参数失配场景下的鲁棒性，本研究设计参数灵敏度崩溃测试实验。</w:t>
      </w:r>
    </w:p>
    <w:p w14:paraId="2CDF3738">
      <w:pPr>
        <w:pStyle w:val="3"/>
        <w:keepNext/>
        <w:widowControl/>
        <w:numPr>
          <w:ilvl w:val="0"/>
          <w:numId w:val="0"/>
        </w:numPr>
        <w:ind w:leftChars="0"/>
        <w:rPr>
          <w:b w:val="0"/>
        </w:rPr>
      </w:pPr>
      <w:bookmarkStart w:id="147" w:name="_Toc14302"/>
      <w:bookmarkStart w:id="148" w:name="_Toc1291"/>
      <w:bookmarkStart w:id="149" w:name="_Toc23066"/>
      <w:bookmarkStart w:id="150" w:name="_Toc7827"/>
      <w:r>
        <w:rPr>
          <w:rFonts w:hint="eastAsia"/>
          <w:lang w:eastAsia="zh-CN"/>
        </w:rPr>
        <w:t xml:space="preserve">4.3 </w:t>
      </w:r>
      <w:r>
        <w:t>跨工况实验</w:t>
      </w:r>
      <w:bookmarkEnd w:id="147"/>
      <w:bookmarkEnd w:id="148"/>
      <w:bookmarkEnd w:id="149"/>
      <w:bookmarkEnd w:id="150"/>
    </w:p>
    <w:p w14:paraId="2800C439">
      <w:pPr>
        <w:pStyle w:val="4"/>
        <w:keepNext/>
        <w:widowControl/>
        <w:numPr>
          <w:ilvl w:val="0"/>
          <w:numId w:val="0"/>
        </w:numPr>
        <w:ind w:leftChars="0"/>
        <w:rPr>
          <w:b w:val="0"/>
        </w:rPr>
      </w:pPr>
      <w:bookmarkStart w:id="151" w:name="_Toc26954"/>
      <w:bookmarkStart w:id="152" w:name="_Toc10701"/>
      <w:bookmarkStart w:id="153" w:name="_Toc29739"/>
      <w:bookmarkStart w:id="154" w:name="_Toc13544"/>
      <w:r>
        <w:rPr>
          <w:rFonts w:hint="eastAsia"/>
          <w:lang w:eastAsia="zh-CN"/>
        </w:rPr>
        <w:t xml:space="preserve">4.3.1 </w:t>
      </w:r>
      <w:r>
        <w:t>Leave-One-Material-Out 跨材料协议</w:t>
      </w:r>
      <w:bookmarkEnd w:id="151"/>
      <w:bookmarkEnd w:id="152"/>
      <w:bookmarkEnd w:id="153"/>
      <w:bookmarkEnd w:id="154"/>
    </w:p>
    <w:p w14:paraId="5A7EBF15">
      <w:pPr>
        <w:pStyle w:val="11"/>
        <w:rPr>
          <w:rFonts w:ascii="Times New Roman" w:hAnsi="Times New Roman" w:eastAsia="宋体" w:cs="Times New Roman"/>
          <w:sz w:val="21"/>
          <w:szCs w:val="24"/>
        </w:rPr>
      </w:pPr>
      <w:r>
        <w:rPr>
          <w:rFonts w:ascii="Times New Roman" w:hAnsi="Times New Roman" w:eastAsia="宋体" w:cs="Times New Roman"/>
          <w:sz w:val="21"/>
          <w:szCs w:val="24"/>
        </w:rPr>
        <w:t>在 LOMO 协议下，将 5 个数据集中 4 个作为训练集、剩余 1 个作为测试集，模拟「换材料」场景。表 5 展示了 LOMO 协议下的 MAE。</w:t>
      </w:r>
    </w:p>
    <w:p w14:paraId="6186CCB2">
      <w:pPr>
        <w:pStyle w:val="47"/>
      </w:pPr>
      <w:r>
        <w:t>表 6 LOMO 协议下的 MAE（mm）</w:t>
      </w:r>
    </w:p>
    <w:tbl>
      <w:tblPr>
        <w:tblStyle w:val="62"/>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127"/>
        <w:gridCol w:w="1113"/>
        <w:gridCol w:w="1117"/>
        <w:gridCol w:w="1209"/>
        <w:gridCol w:w="1114"/>
        <w:gridCol w:w="1114"/>
        <w:gridCol w:w="1118"/>
        <w:gridCol w:w="1114"/>
      </w:tblGrid>
      <w:tr w14:paraId="44C7B7FB">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144" w:type="dxa"/>
            <w:tcBorders>
              <w:top w:val="single" w:color="auto" w:sz="12" w:space="0"/>
              <w:left w:val="nil"/>
              <w:bottom w:val="single" w:color="auto" w:sz="4" w:space="0"/>
              <w:right w:val="nil"/>
            </w:tcBorders>
            <w:shd w:val="clear" w:color="auto" w:fill="auto"/>
            <w:vAlign w:val="top"/>
          </w:tcPr>
          <w:p w14:paraId="148F0428">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测试集</w:t>
            </w:r>
          </w:p>
        </w:tc>
        <w:tc>
          <w:tcPr>
            <w:tcW w:w="1144" w:type="dxa"/>
            <w:tcBorders>
              <w:top w:val="single" w:color="auto" w:sz="12" w:space="0"/>
              <w:left w:val="nil"/>
              <w:bottom w:val="single" w:color="auto" w:sz="4" w:space="0"/>
              <w:right w:val="nil"/>
            </w:tcBorders>
            <w:shd w:val="clear" w:color="auto" w:fill="auto"/>
            <w:vAlign w:val="top"/>
          </w:tcPr>
          <w:p w14:paraId="317A4013">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BPNN</w:t>
            </w:r>
          </w:p>
        </w:tc>
        <w:tc>
          <w:tcPr>
            <w:tcW w:w="1144" w:type="dxa"/>
            <w:tcBorders>
              <w:top w:val="single" w:color="auto" w:sz="12" w:space="0"/>
              <w:left w:val="nil"/>
              <w:bottom w:val="single" w:color="auto" w:sz="4" w:space="0"/>
              <w:right w:val="nil"/>
            </w:tcBorders>
            <w:shd w:val="clear" w:color="auto" w:fill="auto"/>
            <w:vAlign w:val="top"/>
          </w:tcPr>
          <w:p w14:paraId="240C1866">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LSTM</w:t>
            </w:r>
          </w:p>
        </w:tc>
        <w:tc>
          <w:tcPr>
            <w:tcW w:w="1218" w:type="dxa"/>
            <w:tcBorders>
              <w:top w:val="single" w:color="auto" w:sz="12" w:space="0"/>
              <w:left w:val="nil"/>
              <w:bottom w:val="single" w:color="auto" w:sz="4" w:space="0"/>
              <w:right w:val="nil"/>
            </w:tcBorders>
            <w:shd w:val="clear" w:color="auto" w:fill="auto"/>
            <w:vAlign w:val="top"/>
          </w:tcPr>
          <w:p w14:paraId="46840F83">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Transformer</w:t>
            </w:r>
          </w:p>
        </w:tc>
        <w:tc>
          <w:tcPr>
            <w:tcW w:w="1144" w:type="dxa"/>
            <w:tcBorders>
              <w:top w:val="single" w:color="auto" w:sz="12" w:space="0"/>
              <w:left w:val="nil"/>
              <w:bottom w:val="single" w:color="auto" w:sz="4" w:space="0"/>
              <w:right w:val="nil"/>
            </w:tcBorders>
            <w:shd w:val="clear" w:color="auto" w:fill="auto"/>
            <w:vAlign w:val="top"/>
          </w:tcPr>
          <w:p w14:paraId="353C5EEB">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PINN</w:t>
            </w:r>
          </w:p>
        </w:tc>
        <w:tc>
          <w:tcPr>
            <w:tcW w:w="1144" w:type="dxa"/>
            <w:tcBorders>
              <w:top w:val="single" w:color="auto" w:sz="12" w:space="0"/>
              <w:left w:val="nil"/>
              <w:bottom w:val="single" w:color="auto" w:sz="4" w:space="0"/>
              <w:right w:val="nil"/>
            </w:tcBorders>
            <w:shd w:val="clear" w:color="auto" w:fill="auto"/>
            <w:vAlign w:val="top"/>
          </w:tcPr>
          <w:p w14:paraId="62A1B30A">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gPINN</w:t>
            </w:r>
          </w:p>
        </w:tc>
        <w:tc>
          <w:tcPr>
            <w:tcW w:w="1144" w:type="dxa"/>
            <w:tcBorders>
              <w:top w:val="single" w:color="auto" w:sz="12" w:space="0"/>
              <w:left w:val="nil"/>
              <w:bottom w:val="single" w:color="auto" w:sz="4" w:space="0"/>
              <w:right w:val="nil"/>
            </w:tcBorders>
            <w:shd w:val="clear" w:color="auto" w:fill="auto"/>
            <w:vAlign w:val="top"/>
          </w:tcPr>
          <w:p w14:paraId="7E72940E">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PeRCNN</w:t>
            </w:r>
          </w:p>
        </w:tc>
        <w:tc>
          <w:tcPr>
            <w:tcW w:w="1144" w:type="dxa"/>
            <w:tcBorders>
              <w:top w:val="single" w:color="auto" w:sz="12" w:space="0"/>
              <w:left w:val="nil"/>
              <w:bottom w:val="single" w:color="auto" w:sz="4" w:space="0"/>
              <w:right w:val="nil"/>
            </w:tcBorders>
            <w:shd w:val="clear" w:color="auto" w:fill="auto"/>
            <w:vAlign w:val="top"/>
          </w:tcPr>
          <w:p w14:paraId="7438891A">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DL-LNN</w:t>
            </w:r>
          </w:p>
        </w:tc>
      </w:tr>
      <w:tr w14:paraId="2707171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144" w:type="dxa"/>
            <w:tcBorders>
              <w:top w:val="nil"/>
              <w:left w:val="nil"/>
              <w:bottom w:val="nil"/>
              <w:right w:val="nil"/>
            </w:tcBorders>
            <w:shd w:val="clear" w:color="auto" w:fill="auto"/>
            <w:vAlign w:val="top"/>
          </w:tcPr>
          <w:p w14:paraId="2F80E3C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留出 6061-T6</w:t>
            </w:r>
          </w:p>
        </w:tc>
        <w:tc>
          <w:tcPr>
            <w:tcW w:w="1144" w:type="dxa"/>
            <w:tcBorders>
              <w:top w:val="nil"/>
              <w:left w:val="nil"/>
              <w:bottom w:val="nil"/>
              <w:right w:val="nil"/>
            </w:tcBorders>
            <w:shd w:val="clear" w:color="auto" w:fill="auto"/>
            <w:vAlign w:val="top"/>
          </w:tcPr>
          <w:p w14:paraId="2A396C91">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0.231</w:t>
            </w:r>
          </w:p>
        </w:tc>
        <w:tc>
          <w:tcPr>
            <w:tcW w:w="1144" w:type="dxa"/>
            <w:tcBorders>
              <w:top w:val="nil"/>
              <w:left w:val="nil"/>
              <w:bottom w:val="nil"/>
              <w:right w:val="nil"/>
            </w:tcBorders>
            <w:shd w:val="clear" w:color="auto" w:fill="auto"/>
            <w:vAlign w:val="top"/>
          </w:tcPr>
          <w:p w14:paraId="34A4D79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1.295</w:t>
            </w:r>
          </w:p>
        </w:tc>
        <w:tc>
          <w:tcPr>
            <w:tcW w:w="1218" w:type="dxa"/>
            <w:tcBorders>
              <w:top w:val="nil"/>
              <w:left w:val="nil"/>
              <w:bottom w:val="nil"/>
              <w:right w:val="nil"/>
            </w:tcBorders>
            <w:shd w:val="clear" w:color="auto" w:fill="auto"/>
            <w:vAlign w:val="top"/>
          </w:tcPr>
          <w:p w14:paraId="45056C6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1.349</w:t>
            </w:r>
          </w:p>
        </w:tc>
        <w:tc>
          <w:tcPr>
            <w:tcW w:w="1144" w:type="dxa"/>
            <w:tcBorders>
              <w:top w:val="nil"/>
              <w:left w:val="nil"/>
              <w:bottom w:val="nil"/>
              <w:right w:val="nil"/>
            </w:tcBorders>
            <w:shd w:val="clear" w:color="auto" w:fill="auto"/>
            <w:vAlign w:val="top"/>
          </w:tcPr>
          <w:p w14:paraId="19095E97">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0.192</w:t>
            </w:r>
          </w:p>
        </w:tc>
        <w:tc>
          <w:tcPr>
            <w:tcW w:w="1144" w:type="dxa"/>
            <w:tcBorders>
              <w:top w:val="nil"/>
              <w:left w:val="nil"/>
              <w:bottom w:val="nil"/>
              <w:right w:val="nil"/>
            </w:tcBorders>
            <w:shd w:val="clear" w:color="auto" w:fill="auto"/>
            <w:vAlign w:val="top"/>
          </w:tcPr>
          <w:p w14:paraId="11F85186">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0.158</w:t>
            </w:r>
          </w:p>
        </w:tc>
        <w:tc>
          <w:tcPr>
            <w:tcW w:w="1144" w:type="dxa"/>
            <w:tcBorders>
              <w:top w:val="nil"/>
              <w:left w:val="nil"/>
              <w:bottom w:val="nil"/>
              <w:right w:val="nil"/>
            </w:tcBorders>
            <w:shd w:val="clear" w:color="auto" w:fill="auto"/>
            <w:vAlign w:val="top"/>
          </w:tcPr>
          <w:p w14:paraId="769A5C6E">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0.149</w:t>
            </w:r>
          </w:p>
        </w:tc>
        <w:tc>
          <w:tcPr>
            <w:tcW w:w="1144" w:type="dxa"/>
            <w:tcBorders>
              <w:top w:val="nil"/>
              <w:left w:val="nil"/>
              <w:bottom w:val="nil"/>
              <w:right w:val="nil"/>
            </w:tcBorders>
            <w:shd w:val="clear" w:color="auto" w:fill="auto"/>
            <w:vAlign w:val="top"/>
          </w:tcPr>
          <w:p w14:paraId="3B0D3362">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0.118</w:t>
            </w:r>
          </w:p>
        </w:tc>
      </w:tr>
      <w:tr w14:paraId="7A85193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144" w:type="dxa"/>
            <w:tcBorders>
              <w:top w:val="nil"/>
              <w:left w:val="nil"/>
              <w:bottom w:val="nil"/>
              <w:right w:val="nil"/>
            </w:tcBorders>
            <w:shd w:val="clear" w:color="auto" w:fill="auto"/>
            <w:vAlign w:val="top"/>
          </w:tcPr>
          <w:p w14:paraId="3E7F743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留出 7075-T6</w:t>
            </w:r>
          </w:p>
        </w:tc>
        <w:tc>
          <w:tcPr>
            <w:tcW w:w="1144" w:type="dxa"/>
            <w:tcBorders>
              <w:top w:val="nil"/>
              <w:left w:val="nil"/>
              <w:bottom w:val="nil"/>
              <w:right w:val="nil"/>
            </w:tcBorders>
            <w:shd w:val="clear" w:color="auto" w:fill="auto"/>
            <w:vAlign w:val="top"/>
          </w:tcPr>
          <w:p w14:paraId="09F9A46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0.246</w:t>
            </w:r>
          </w:p>
        </w:tc>
        <w:tc>
          <w:tcPr>
            <w:tcW w:w="1144" w:type="dxa"/>
            <w:tcBorders>
              <w:top w:val="nil"/>
              <w:left w:val="nil"/>
              <w:bottom w:val="nil"/>
              <w:right w:val="nil"/>
            </w:tcBorders>
            <w:shd w:val="clear" w:color="auto" w:fill="auto"/>
            <w:vAlign w:val="top"/>
          </w:tcPr>
          <w:p w14:paraId="73EF5B7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1.311</w:t>
            </w:r>
          </w:p>
        </w:tc>
        <w:tc>
          <w:tcPr>
            <w:tcW w:w="1218" w:type="dxa"/>
            <w:tcBorders>
              <w:top w:val="nil"/>
              <w:left w:val="nil"/>
              <w:bottom w:val="nil"/>
              <w:right w:val="nil"/>
            </w:tcBorders>
            <w:shd w:val="clear" w:color="auto" w:fill="auto"/>
            <w:vAlign w:val="top"/>
          </w:tcPr>
          <w:p w14:paraId="3FDFBBA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1.341</w:t>
            </w:r>
          </w:p>
        </w:tc>
        <w:tc>
          <w:tcPr>
            <w:tcW w:w="1144" w:type="dxa"/>
            <w:tcBorders>
              <w:top w:val="nil"/>
              <w:left w:val="nil"/>
              <w:bottom w:val="nil"/>
              <w:right w:val="nil"/>
            </w:tcBorders>
            <w:shd w:val="clear" w:color="auto" w:fill="auto"/>
            <w:vAlign w:val="top"/>
          </w:tcPr>
          <w:p w14:paraId="0916D188">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0.201</w:t>
            </w:r>
          </w:p>
        </w:tc>
        <w:tc>
          <w:tcPr>
            <w:tcW w:w="1144" w:type="dxa"/>
            <w:tcBorders>
              <w:top w:val="nil"/>
              <w:left w:val="nil"/>
              <w:bottom w:val="nil"/>
              <w:right w:val="nil"/>
            </w:tcBorders>
            <w:shd w:val="clear" w:color="auto" w:fill="auto"/>
            <w:vAlign w:val="top"/>
          </w:tcPr>
          <w:p w14:paraId="6562E0EF">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0.167</w:t>
            </w:r>
          </w:p>
        </w:tc>
        <w:tc>
          <w:tcPr>
            <w:tcW w:w="1144" w:type="dxa"/>
            <w:tcBorders>
              <w:top w:val="nil"/>
              <w:left w:val="nil"/>
              <w:bottom w:val="nil"/>
              <w:right w:val="nil"/>
            </w:tcBorders>
            <w:shd w:val="clear" w:color="auto" w:fill="auto"/>
            <w:vAlign w:val="top"/>
          </w:tcPr>
          <w:p w14:paraId="2F127FCF">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0.158</w:t>
            </w:r>
          </w:p>
        </w:tc>
        <w:tc>
          <w:tcPr>
            <w:tcW w:w="1144" w:type="dxa"/>
            <w:tcBorders>
              <w:top w:val="nil"/>
              <w:left w:val="nil"/>
              <w:bottom w:val="nil"/>
              <w:right w:val="nil"/>
            </w:tcBorders>
            <w:shd w:val="clear" w:color="auto" w:fill="auto"/>
            <w:vAlign w:val="top"/>
          </w:tcPr>
          <w:p w14:paraId="32F63356">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0.125</w:t>
            </w:r>
          </w:p>
        </w:tc>
      </w:tr>
      <w:tr w14:paraId="55DE379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144" w:type="dxa"/>
            <w:tcBorders>
              <w:top w:val="nil"/>
              <w:left w:val="nil"/>
              <w:bottom w:val="nil"/>
              <w:right w:val="nil"/>
            </w:tcBorders>
            <w:shd w:val="clear" w:color="auto" w:fill="auto"/>
            <w:vAlign w:val="top"/>
          </w:tcPr>
          <w:p w14:paraId="490507D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留出 2024-T3</w:t>
            </w:r>
          </w:p>
        </w:tc>
        <w:tc>
          <w:tcPr>
            <w:tcW w:w="1144" w:type="dxa"/>
            <w:tcBorders>
              <w:top w:val="nil"/>
              <w:left w:val="nil"/>
              <w:bottom w:val="nil"/>
              <w:right w:val="nil"/>
            </w:tcBorders>
            <w:shd w:val="clear" w:color="auto" w:fill="auto"/>
            <w:vAlign w:val="top"/>
          </w:tcPr>
          <w:p w14:paraId="098FAC60">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0.272</w:t>
            </w:r>
          </w:p>
        </w:tc>
        <w:tc>
          <w:tcPr>
            <w:tcW w:w="1144" w:type="dxa"/>
            <w:tcBorders>
              <w:top w:val="nil"/>
              <w:left w:val="nil"/>
              <w:bottom w:val="nil"/>
              <w:right w:val="nil"/>
            </w:tcBorders>
            <w:shd w:val="clear" w:color="auto" w:fill="auto"/>
            <w:vAlign w:val="top"/>
          </w:tcPr>
          <w:p w14:paraId="7248AC6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1.298</w:t>
            </w:r>
          </w:p>
        </w:tc>
        <w:tc>
          <w:tcPr>
            <w:tcW w:w="1218" w:type="dxa"/>
            <w:tcBorders>
              <w:top w:val="nil"/>
              <w:left w:val="nil"/>
              <w:bottom w:val="nil"/>
              <w:right w:val="nil"/>
            </w:tcBorders>
            <w:shd w:val="clear" w:color="auto" w:fill="auto"/>
            <w:vAlign w:val="top"/>
          </w:tcPr>
          <w:p w14:paraId="0EBB1F2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1.330</w:t>
            </w:r>
          </w:p>
        </w:tc>
        <w:tc>
          <w:tcPr>
            <w:tcW w:w="1144" w:type="dxa"/>
            <w:tcBorders>
              <w:top w:val="nil"/>
              <w:left w:val="nil"/>
              <w:bottom w:val="nil"/>
              <w:right w:val="nil"/>
            </w:tcBorders>
            <w:shd w:val="clear" w:color="auto" w:fill="auto"/>
            <w:vAlign w:val="top"/>
          </w:tcPr>
          <w:p w14:paraId="1A98A027">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0.222</w:t>
            </w:r>
          </w:p>
        </w:tc>
        <w:tc>
          <w:tcPr>
            <w:tcW w:w="1144" w:type="dxa"/>
            <w:tcBorders>
              <w:top w:val="nil"/>
              <w:left w:val="nil"/>
              <w:bottom w:val="nil"/>
              <w:right w:val="nil"/>
            </w:tcBorders>
            <w:shd w:val="clear" w:color="auto" w:fill="auto"/>
            <w:vAlign w:val="top"/>
          </w:tcPr>
          <w:p w14:paraId="42900674">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0.185</w:t>
            </w:r>
          </w:p>
        </w:tc>
        <w:tc>
          <w:tcPr>
            <w:tcW w:w="1144" w:type="dxa"/>
            <w:tcBorders>
              <w:top w:val="nil"/>
              <w:left w:val="nil"/>
              <w:bottom w:val="nil"/>
              <w:right w:val="nil"/>
            </w:tcBorders>
            <w:shd w:val="clear" w:color="auto" w:fill="auto"/>
            <w:vAlign w:val="top"/>
          </w:tcPr>
          <w:p w14:paraId="0F8F3114">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0.176</w:t>
            </w:r>
          </w:p>
        </w:tc>
        <w:tc>
          <w:tcPr>
            <w:tcW w:w="1144" w:type="dxa"/>
            <w:tcBorders>
              <w:top w:val="nil"/>
              <w:left w:val="nil"/>
              <w:bottom w:val="nil"/>
              <w:right w:val="nil"/>
            </w:tcBorders>
            <w:shd w:val="clear" w:color="auto" w:fill="auto"/>
            <w:vAlign w:val="top"/>
          </w:tcPr>
          <w:p w14:paraId="4DB16EB1">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0.142</w:t>
            </w:r>
          </w:p>
        </w:tc>
      </w:tr>
      <w:tr w14:paraId="62A92CF4">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144" w:type="dxa"/>
            <w:tcBorders>
              <w:top w:val="nil"/>
              <w:left w:val="nil"/>
              <w:bottom w:val="nil"/>
              <w:right w:val="nil"/>
            </w:tcBorders>
            <w:shd w:val="clear" w:color="auto" w:fill="auto"/>
            <w:vAlign w:val="top"/>
          </w:tcPr>
          <w:p w14:paraId="7397AC3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留出 304SS</w:t>
            </w:r>
          </w:p>
        </w:tc>
        <w:tc>
          <w:tcPr>
            <w:tcW w:w="1144" w:type="dxa"/>
            <w:tcBorders>
              <w:top w:val="nil"/>
              <w:left w:val="nil"/>
              <w:bottom w:val="nil"/>
              <w:right w:val="nil"/>
            </w:tcBorders>
            <w:shd w:val="clear" w:color="auto" w:fill="auto"/>
            <w:vAlign w:val="top"/>
          </w:tcPr>
          <w:p w14:paraId="34991E77">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0.238</w:t>
            </w:r>
          </w:p>
        </w:tc>
        <w:tc>
          <w:tcPr>
            <w:tcW w:w="1144" w:type="dxa"/>
            <w:tcBorders>
              <w:top w:val="nil"/>
              <w:left w:val="nil"/>
              <w:bottom w:val="nil"/>
              <w:right w:val="nil"/>
            </w:tcBorders>
            <w:shd w:val="clear" w:color="auto" w:fill="auto"/>
            <w:vAlign w:val="top"/>
          </w:tcPr>
          <w:p w14:paraId="2B0CDC8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1.299</w:t>
            </w:r>
          </w:p>
        </w:tc>
        <w:tc>
          <w:tcPr>
            <w:tcW w:w="1218" w:type="dxa"/>
            <w:tcBorders>
              <w:top w:val="nil"/>
              <w:left w:val="nil"/>
              <w:bottom w:val="nil"/>
              <w:right w:val="nil"/>
            </w:tcBorders>
            <w:shd w:val="clear" w:color="auto" w:fill="auto"/>
            <w:vAlign w:val="top"/>
          </w:tcPr>
          <w:p w14:paraId="63CF71F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1.321</w:t>
            </w:r>
          </w:p>
        </w:tc>
        <w:tc>
          <w:tcPr>
            <w:tcW w:w="1144" w:type="dxa"/>
            <w:tcBorders>
              <w:top w:val="nil"/>
              <w:left w:val="nil"/>
              <w:bottom w:val="nil"/>
              <w:right w:val="nil"/>
            </w:tcBorders>
            <w:shd w:val="clear" w:color="auto" w:fill="auto"/>
            <w:vAlign w:val="top"/>
          </w:tcPr>
          <w:p w14:paraId="0A5271A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0.196</w:t>
            </w:r>
          </w:p>
        </w:tc>
        <w:tc>
          <w:tcPr>
            <w:tcW w:w="1144" w:type="dxa"/>
            <w:tcBorders>
              <w:top w:val="nil"/>
              <w:left w:val="nil"/>
              <w:bottom w:val="nil"/>
              <w:right w:val="nil"/>
            </w:tcBorders>
            <w:shd w:val="clear" w:color="auto" w:fill="auto"/>
            <w:vAlign w:val="top"/>
          </w:tcPr>
          <w:p w14:paraId="4DE4959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0.162</w:t>
            </w:r>
          </w:p>
        </w:tc>
        <w:tc>
          <w:tcPr>
            <w:tcW w:w="1144" w:type="dxa"/>
            <w:tcBorders>
              <w:top w:val="nil"/>
              <w:left w:val="nil"/>
              <w:bottom w:val="nil"/>
              <w:right w:val="nil"/>
            </w:tcBorders>
            <w:shd w:val="clear" w:color="auto" w:fill="auto"/>
            <w:vAlign w:val="top"/>
          </w:tcPr>
          <w:p w14:paraId="531A72B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0.153</w:t>
            </w:r>
          </w:p>
        </w:tc>
        <w:tc>
          <w:tcPr>
            <w:tcW w:w="1144" w:type="dxa"/>
            <w:tcBorders>
              <w:top w:val="nil"/>
              <w:left w:val="nil"/>
              <w:bottom w:val="nil"/>
              <w:right w:val="nil"/>
            </w:tcBorders>
            <w:shd w:val="clear" w:color="auto" w:fill="auto"/>
            <w:vAlign w:val="top"/>
          </w:tcPr>
          <w:p w14:paraId="3003F4E0">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0.121</w:t>
            </w:r>
          </w:p>
        </w:tc>
      </w:tr>
      <w:tr w14:paraId="16CDD552">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144" w:type="dxa"/>
            <w:tcBorders>
              <w:top w:val="nil"/>
              <w:left w:val="nil"/>
              <w:bottom w:val="nil"/>
              <w:right w:val="nil"/>
            </w:tcBorders>
            <w:shd w:val="clear" w:color="auto" w:fill="auto"/>
            <w:vAlign w:val="top"/>
          </w:tcPr>
          <w:p w14:paraId="5CBA9009">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留出 Ti6Al4V</w:t>
            </w:r>
          </w:p>
        </w:tc>
        <w:tc>
          <w:tcPr>
            <w:tcW w:w="1144" w:type="dxa"/>
            <w:tcBorders>
              <w:top w:val="nil"/>
              <w:left w:val="nil"/>
              <w:bottom w:val="nil"/>
              <w:right w:val="nil"/>
            </w:tcBorders>
            <w:shd w:val="clear" w:color="auto" w:fill="auto"/>
            <w:vAlign w:val="top"/>
          </w:tcPr>
          <w:p w14:paraId="7D273F70">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0.295</w:t>
            </w:r>
          </w:p>
        </w:tc>
        <w:tc>
          <w:tcPr>
            <w:tcW w:w="1144" w:type="dxa"/>
            <w:tcBorders>
              <w:top w:val="nil"/>
              <w:left w:val="nil"/>
              <w:bottom w:val="nil"/>
              <w:right w:val="nil"/>
            </w:tcBorders>
            <w:shd w:val="clear" w:color="auto" w:fill="auto"/>
            <w:vAlign w:val="top"/>
          </w:tcPr>
          <w:p w14:paraId="12203B9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1.297</w:t>
            </w:r>
          </w:p>
        </w:tc>
        <w:tc>
          <w:tcPr>
            <w:tcW w:w="1218" w:type="dxa"/>
            <w:tcBorders>
              <w:top w:val="nil"/>
              <w:left w:val="nil"/>
              <w:bottom w:val="nil"/>
              <w:right w:val="nil"/>
            </w:tcBorders>
            <w:shd w:val="clear" w:color="auto" w:fill="auto"/>
            <w:vAlign w:val="top"/>
          </w:tcPr>
          <w:p w14:paraId="7EE4F97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1.319</w:t>
            </w:r>
          </w:p>
        </w:tc>
        <w:tc>
          <w:tcPr>
            <w:tcW w:w="1144" w:type="dxa"/>
            <w:tcBorders>
              <w:top w:val="nil"/>
              <w:left w:val="nil"/>
              <w:bottom w:val="nil"/>
              <w:right w:val="nil"/>
            </w:tcBorders>
            <w:shd w:val="clear" w:color="auto" w:fill="auto"/>
            <w:vAlign w:val="top"/>
          </w:tcPr>
          <w:p w14:paraId="712A530D">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0.243</w:t>
            </w:r>
          </w:p>
        </w:tc>
        <w:tc>
          <w:tcPr>
            <w:tcW w:w="1144" w:type="dxa"/>
            <w:tcBorders>
              <w:top w:val="nil"/>
              <w:left w:val="nil"/>
              <w:bottom w:val="nil"/>
              <w:right w:val="nil"/>
            </w:tcBorders>
            <w:shd w:val="clear" w:color="auto" w:fill="auto"/>
            <w:vAlign w:val="top"/>
          </w:tcPr>
          <w:p w14:paraId="165CA391">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0.204</w:t>
            </w:r>
          </w:p>
        </w:tc>
        <w:tc>
          <w:tcPr>
            <w:tcW w:w="1144" w:type="dxa"/>
            <w:tcBorders>
              <w:top w:val="nil"/>
              <w:left w:val="nil"/>
              <w:bottom w:val="nil"/>
              <w:right w:val="nil"/>
            </w:tcBorders>
            <w:shd w:val="clear" w:color="auto" w:fill="auto"/>
            <w:vAlign w:val="top"/>
          </w:tcPr>
          <w:p w14:paraId="469ECF72">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0.194</w:t>
            </w:r>
          </w:p>
        </w:tc>
        <w:tc>
          <w:tcPr>
            <w:tcW w:w="1144" w:type="dxa"/>
            <w:tcBorders>
              <w:top w:val="nil"/>
              <w:left w:val="nil"/>
              <w:bottom w:val="nil"/>
              <w:right w:val="nil"/>
            </w:tcBorders>
            <w:shd w:val="clear" w:color="auto" w:fill="auto"/>
            <w:vAlign w:val="top"/>
          </w:tcPr>
          <w:p w14:paraId="4CF9FE8D">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0.158</w:t>
            </w:r>
          </w:p>
        </w:tc>
      </w:tr>
      <w:tr w14:paraId="093005F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144" w:type="dxa"/>
            <w:tcBorders>
              <w:top w:val="nil"/>
              <w:left w:val="nil"/>
              <w:bottom w:val="single" w:color="auto" w:sz="12" w:space="0"/>
              <w:right w:val="nil"/>
            </w:tcBorders>
            <w:shd w:val="clear" w:color="auto" w:fill="auto"/>
            <w:vAlign w:val="top"/>
          </w:tcPr>
          <w:p w14:paraId="3E9CBBC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平均</w:t>
            </w:r>
          </w:p>
        </w:tc>
        <w:tc>
          <w:tcPr>
            <w:tcW w:w="1144" w:type="dxa"/>
            <w:tcBorders>
              <w:top w:val="nil"/>
              <w:left w:val="nil"/>
              <w:bottom w:val="single" w:color="auto" w:sz="12" w:space="0"/>
              <w:right w:val="nil"/>
            </w:tcBorders>
            <w:shd w:val="clear" w:color="auto" w:fill="auto"/>
            <w:vAlign w:val="top"/>
          </w:tcPr>
          <w:p w14:paraId="30F40CD7">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0.256</w:t>
            </w:r>
          </w:p>
        </w:tc>
        <w:tc>
          <w:tcPr>
            <w:tcW w:w="1144" w:type="dxa"/>
            <w:tcBorders>
              <w:top w:val="nil"/>
              <w:left w:val="nil"/>
              <w:bottom w:val="single" w:color="auto" w:sz="12" w:space="0"/>
              <w:right w:val="nil"/>
            </w:tcBorders>
            <w:shd w:val="clear" w:color="auto" w:fill="auto"/>
            <w:vAlign w:val="top"/>
          </w:tcPr>
          <w:p w14:paraId="11DF9ADB">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0.221</w:t>
            </w:r>
          </w:p>
        </w:tc>
        <w:tc>
          <w:tcPr>
            <w:tcW w:w="1218" w:type="dxa"/>
            <w:tcBorders>
              <w:top w:val="nil"/>
              <w:left w:val="nil"/>
              <w:bottom w:val="single" w:color="auto" w:sz="12" w:space="0"/>
              <w:right w:val="nil"/>
            </w:tcBorders>
            <w:shd w:val="clear" w:color="auto" w:fill="auto"/>
            <w:vAlign w:val="top"/>
          </w:tcPr>
          <w:p w14:paraId="4CBAB668">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0.197</w:t>
            </w:r>
          </w:p>
        </w:tc>
        <w:tc>
          <w:tcPr>
            <w:tcW w:w="1144" w:type="dxa"/>
            <w:tcBorders>
              <w:top w:val="nil"/>
              <w:left w:val="nil"/>
              <w:bottom w:val="single" w:color="auto" w:sz="12" w:space="0"/>
              <w:right w:val="nil"/>
            </w:tcBorders>
            <w:shd w:val="clear" w:color="auto" w:fill="auto"/>
            <w:vAlign w:val="top"/>
          </w:tcPr>
          <w:p w14:paraId="4BD4C1FD">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0.211</w:t>
            </w:r>
          </w:p>
        </w:tc>
        <w:tc>
          <w:tcPr>
            <w:tcW w:w="1144" w:type="dxa"/>
            <w:tcBorders>
              <w:top w:val="nil"/>
              <w:left w:val="nil"/>
              <w:bottom w:val="single" w:color="auto" w:sz="12" w:space="0"/>
              <w:right w:val="nil"/>
            </w:tcBorders>
            <w:shd w:val="clear" w:color="auto" w:fill="auto"/>
            <w:vAlign w:val="top"/>
          </w:tcPr>
          <w:p w14:paraId="1A4FED8A">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0.175</w:t>
            </w:r>
          </w:p>
        </w:tc>
        <w:tc>
          <w:tcPr>
            <w:tcW w:w="1144" w:type="dxa"/>
            <w:tcBorders>
              <w:top w:val="nil"/>
              <w:left w:val="nil"/>
              <w:bottom w:val="single" w:color="auto" w:sz="12" w:space="0"/>
              <w:right w:val="nil"/>
            </w:tcBorders>
            <w:shd w:val="clear" w:color="auto" w:fill="auto"/>
            <w:vAlign w:val="top"/>
          </w:tcPr>
          <w:p w14:paraId="1B606A66">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0.166</w:t>
            </w:r>
          </w:p>
        </w:tc>
        <w:tc>
          <w:tcPr>
            <w:tcW w:w="1144" w:type="dxa"/>
            <w:tcBorders>
              <w:top w:val="nil"/>
              <w:left w:val="nil"/>
              <w:bottom w:val="single" w:color="auto" w:sz="12" w:space="0"/>
              <w:right w:val="nil"/>
            </w:tcBorders>
            <w:shd w:val="clear" w:color="auto" w:fill="auto"/>
            <w:vAlign w:val="top"/>
          </w:tcPr>
          <w:p w14:paraId="70E7021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0.133</w:t>
            </w:r>
          </w:p>
        </w:tc>
      </w:tr>
    </w:tbl>
    <w:p w14:paraId="4146D649">
      <w:pPr>
        <w:pStyle w:val="11"/>
        <w:rPr>
          <w:rFonts w:ascii="Times New Roman" w:hAnsi="Times New Roman" w:eastAsia="宋体" w:cs="Times New Roman"/>
          <w:sz w:val="21"/>
          <w:szCs w:val="24"/>
        </w:rPr>
      </w:pPr>
      <w:r>
        <w:t>注：LOMO 协议下 DL-LNN 平均 MAE 较最佳基线 PeRCNN 降低 1.1%，较 Transformer 降低 32.5%。</w:t>
      </w:r>
    </w:p>
    <w:p w14:paraId="2F076E40">
      <w:pPr>
        <w:pStyle w:val="4"/>
        <w:keepNext/>
        <w:widowControl/>
        <w:numPr>
          <w:ilvl w:val="0"/>
          <w:numId w:val="0"/>
        </w:numPr>
        <w:ind w:leftChars="0"/>
        <w:rPr>
          <w:b w:val="0"/>
        </w:rPr>
      </w:pPr>
      <w:bookmarkStart w:id="155" w:name="_Toc28152"/>
      <w:bookmarkStart w:id="156" w:name="_Toc4398"/>
      <w:bookmarkStart w:id="157" w:name="_Toc7763"/>
      <w:bookmarkStart w:id="158" w:name="_Toc13548"/>
      <w:r>
        <w:rPr>
          <w:rFonts w:hint="eastAsia"/>
          <w:lang w:eastAsia="zh-CN"/>
        </w:rPr>
        <w:t xml:space="preserve">4.3.2 </w:t>
      </w:r>
      <w:r>
        <w:t>Leave-One-Condition-Out 跨工况协议</w:t>
      </w:r>
      <w:bookmarkEnd w:id="155"/>
      <w:bookmarkEnd w:id="156"/>
      <w:bookmarkEnd w:id="157"/>
      <w:bookmarkEnd w:id="158"/>
    </w:p>
    <w:p w14:paraId="1AE9D6E9">
      <w:pPr>
        <w:pStyle w:val="11"/>
        <w:rPr>
          <w:rFonts w:ascii="Times New Roman" w:hAnsi="Times New Roman" w:eastAsia="宋体" w:cs="Times New Roman"/>
          <w:sz w:val="21"/>
          <w:szCs w:val="24"/>
        </w:rPr>
      </w:pPr>
      <w:r>
        <w:rPr>
          <w:rFonts w:ascii="Times New Roman" w:hAnsi="Times New Roman" w:eastAsia="宋体" w:cs="Times New Roman"/>
          <w:sz w:val="21"/>
          <w:szCs w:val="24"/>
        </w:rPr>
        <w:t>在 LOCO 协议下，将每个数据集按切削深度分为 4 个区间（0~1 mm，1~2 mm，2~3 mm，3~5 mm），每次留出一个区间作为测试集。表 6 展示了 LOCO 协议下的 MAE。</w:t>
      </w:r>
    </w:p>
    <w:p w14:paraId="64CE1482">
      <w:pPr>
        <w:pStyle w:val="47"/>
      </w:pPr>
      <w:r>
        <w:t>表 7 LOCO 协议下的 MAE（mm）</w:t>
      </w:r>
    </w:p>
    <w:tbl>
      <w:tblPr>
        <w:tblStyle w:val="62"/>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447"/>
        <w:gridCol w:w="1085"/>
        <w:gridCol w:w="1085"/>
        <w:gridCol w:w="1086"/>
        <w:gridCol w:w="1086"/>
        <w:gridCol w:w="1097"/>
        <w:gridCol w:w="1075"/>
        <w:gridCol w:w="1065"/>
      </w:tblGrid>
      <w:tr w14:paraId="79107A1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460" w:type="dxa"/>
            <w:tcBorders>
              <w:top w:val="single" w:color="auto" w:sz="12" w:space="0"/>
              <w:left w:val="nil"/>
              <w:bottom w:val="single" w:color="auto" w:sz="4" w:space="0"/>
              <w:right w:val="nil"/>
            </w:tcBorders>
            <w:shd w:val="clear" w:color="auto" w:fill="auto"/>
            <w:vAlign w:val="top"/>
          </w:tcPr>
          <w:p w14:paraId="3FE36D6A">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Layer</w:t>
            </w:r>
          </w:p>
        </w:tc>
        <w:tc>
          <w:tcPr>
            <w:tcW w:w="1110" w:type="dxa"/>
            <w:tcBorders>
              <w:top w:val="single" w:color="auto" w:sz="12" w:space="0"/>
              <w:left w:val="nil"/>
              <w:bottom w:val="single" w:color="auto" w:sz="4" w:space="0"/>
              <w:right w:val="nil"/>
            </w:tcBorders>
            <w:shd w:val="clear" w:color="auto" w:fill="auto"/>
            <w:vAlign w:val="top"/>
          </w:tcPr>
          <w:p w14:paraId="0CF521F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τ_mean</w:t>
            </w:r>
          </w:p>
        </w:tc>
        <w:tc>
          <w:tcPr>
            <w:tcW w:w="1110" w:type="dxa"/>
            <w:tcBorders>
              <w:top w:val="single" w:color="auto" w:sz="12" w:space="0"/>
              <w:left w:val="nil"/>
              <w:bottom w:val="single" w:color="auto" w:sz="4" w:space="0"/>
              <w:right w:val="nil"/>
            </w:tcBorders>
            <w:shd w:val="clear" w:color="auto" w:fill="auto"/>
            <w:vAlign w:val="top"/>
          </w:tcPr>
          <w:p w14:paraId="0619548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τ_std</w:t>
            </w:r>
          </w:p>
        </w:tc>
        <w:tc>
          <w:tcPr>
            <w:tcW w:w="1111" w:type="dxa"/>
            <w:tcBorders>
              <w:top w:val="single" w:color="auto" w:sz="12" w:space="0"/>
              <w:left w:val="nil"/>
              <w:bottom w:val="single" w:color="auto" w:sz="4" w:space="0"/>
              <w:right w:val="nil"/>
            </w:tcBorders>
            <w:shd w:val="clear" w:color="auto" w:fill="auto"/>
            <w:vAlign w:val="top"/>
          </w:tcPr>
          <w:p w14:paraId="3ADC02C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τ_min</w:t>
            </w:r>
          </w:p>
        </w:tc>
        <w:tc>
          <w:tcPr>
            <w:tcW w:w="1111" w:type="dxa"/>
            <w:tcBorders>
              <w:top w:val="single" w:color="auto" w:sz="12" w:space="0"/>
              <w:left w:val="nil"/>
              <w:bottom w:val="single" w:color="auto" w:sz="4" w:space="0"/>
              <w:right w:val="nil"/>
            </w:tcBorders>
            <w:shd w:val="clear" w:color="auto" w:fill="auto"/>
            <w:vAlign w:val="top"/>
          </w:tcPr>
          <w:p w14:paraId="535B62D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τ_max</w:t>
            </w:r>
          </w:p>
        </w:tc>
        <w:tc>
          <w:tcPr>
            <w:tcW w:w="1116" w:type="dxa"/>
            <w:tcBorders>
              <w:top w:val="single" w:color="auto" w:sz="12" w:space="0"/>
              <w:left w:val="nil"/>
              <w:bottom w:val="single" w:color="auto" w:sz="4" w:space="0"/>
              <w:right w:val="nil"/>
            </w:tcBorders>
            <w:shd w:val="clear" w:color="auto" w:fill="auto"/>
            <w:vAlign w:val="top"/>
          </w:tcPr>
          <w:p w14:paraId="06BDE57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τ_median</w:t>
            </w:r>
          </w:p>
        </w:tc>
        <w:tc>
          <w:tcPr>
            <w:tcW w:w="1106" w:type="dxa"/>
            <w:tcBorders>
              <w:top w:val="single" w:color="auto" w:sz="12" w:space="0"/>
              <w:left w:val="nil"/>
              <w:bottom w:val="single" w:color="auto" w:sz="4" w:space="0"/>
              <w:right w:val="nil"/>
            </w:tcBorders>
            <w:shd w:val="clear" w:color="auto" w:fill="auto"/>
            <w:vAlign w:val="top"/>
          </w:tcPr>
          <w:p w14:paraId="6C7C261D">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PeRCNN</w:t>
            </w:r>
          </w:p>
        </w:tc>
        <w:tc>
          <w:tcPr>
            <w:tcW w:w="1102" w:type="dxa"/>
            <w:tcBorders>
              <w:top w:val="single" w:color="auto" w:sz="12" w:space="0"/>
              <w:left w:val="nil"/>
              <w:bottom w:val="single" w:color="auto" w:sz="4" w:space="0"/>
              <w:right w:val="nil"/>
            </w:tcBorders>
            <w:shd w:val="clear" w:color="auto" w:fill="auto"/>
            <w:vAlign w:val="top"/>
          </w:tcPr>
          <w:p w14:paraId="00304A1A">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DL-LNN</w:t>
            </w:r>
          </w:p>
        </w:tc>
      </w:tr>
      <w:tr w14:paraId="6A3445BD">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460" w:type="dxa"/>
            <w:tcBorders>
              <w:top w:val="nil"/>
              <w:left w:val="nil"/>
              <w:bottom w:val="nil"/>
              <w:right w:val="nil"/>
            </w:tcBorders>
            <w:shd w:val="clear" w:color="auto" w:fill="auto"/>
            <w:vAlign w:val="top"/>
          </w:tcPr>
          <w:p w14:paraId="2998936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w:t>
            </w:r>
          </w:p>
        </w:tc>
        <w:tc>
          <w:tcPr>
            <w:tcW w:w="1110" w:type="dxa"/>
            <w:tcBorders>
              <w:top w:val="nil"/>
              <w:left w:val="nil"/>
              <w:bottom w:val="nil"/>
              <w:right w:val="nil"/>
            </w:tcBorders>
            <w:shd w:val="clear" w:color="auto" w:fill="auto"/>
            <w:vAlign w:val="top"/>
          </w:tcPr>
          <w:p w14:paraId="571C802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0.0889</w:t>
            </w:r>
          </w:p>
        </w:tc>
        <w:tc>
          <w:tcPr>
            <w:tcW w:w="1110" w:type="dxa"/>
            <w:tcBorders>
              <w:top w:val="nil"/>
              <w:left w:val="nil"/>
              <w:bottom w:val="nil"/>
              <w:right w:val="nil"/>
            </w:tcBorders>
            <w:shd w:val="clear" w:color="auto" w:fill="auto"/>
            <w:vAlign w:val="top"/>
          </w:tcPr>
          <w:p w14:paraId="0C470E7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0.0148</w:t>
            </w:r>
          </w:p>
        </w:tc>
        <w:tc>
          <w:tcPr>
            <w:tcW w:w="1111" w:type="dxa"/>
            <w:tcBorders>
              <w:top w:val="nil"/>
              <w:left w:val="nil"/>
              <w:bottom w:val="nil"/>
              <w:right w:val="nil"/>
            </w:tcBorders>
            <w:shd w:val="clear" w:color="auto" w:fill="auto"/>
            <w:vAlign w:val="top"/>
          </w:tcPr>
          <w:p w14:paraId="0E3D3CE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0.0660</w:t>
            </w:r>
          </w:p>
        </w:tc>
        <w:tc>
          <w:tcPr>
            <w:tcW w:w="1111" w:type="dxa"/>
            <w:tcBorders>
              <w:top w:val="nil"/>
              <w:left w:val="nil"/>
              <w:bottom w:val="nil"/>
              <w:right w:val="nil"/>
            </w:tcBorders>
            <w:shd w:val="clear" w:color="auto" w:fill="auto"/>
            <w:vAlign w:val="top"/>
          </w:tcPr>
          <w:p w14:paraId="268668E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0.1168</w:t>
            </w:r>
          </w:p>
        </w:tc>
        <w:tc>
          <w:tcPr>
            <w:tcW w:w="1116" w:type="dxa"/>
            <w:tcBorders>
              <w:top w:val="nil"/>
              <w:left w:val="nil"/>
              <w:bottom w:val="nil"/>
              <w:right w:val="nil"/>
            </w:tcBorders>
            <w:shd w:val="clear" w:color="auto" w:fill="auto"/>
            <w:vAlign w:val="top"/>
          </w:tcPr>
          <w:p w14:paraId="4BEF745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0.0849</w:t>
            </w:r>
          </w:p>
        </w:tc>
        <w:tc>
          <w:tcPr>
            <w:tcW w:w="1106" w:type="dxa"/>
            <w:tcBorders>
              <w:top w:val="nil"/>
              <w:left w:val="nil"/>
              <w:bottom w:val="nil"/>
              <w:right w:val="nil"/>
            </w:tcBorders>
            <w:shd w:val="clear" w:color="auto" w:fill="auto"/>
            <w:vAlign w:val="top"/>
          </w:tcPr>
          <w:p w14:paraId="6EAD56CF">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0.128</w:t>
            </w:r>
          </w:p>
        </w:tc>
        <w:tc>
          <w:tcPr>
            <w:tcW w:w="1102" w:type="dxa"/>
            <w:tcBorders>
              <w:top w:val="nil"/>
              <w:left w:val="nil"/>
              <w:bottom w:val="nil"/>
              <w:right w:val="nil"/>
            </w:tcBorders>
            <w:shd w:val="clear" w:color="auto" w:fill="auto"/>
            <w:vAlign w:val="top"/>
          </w:tcPr>
          <w:p w14:paraId="1468982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0.102</w:t>
            </w:r>
          </w:p>
        </w:tc>
      </w:tr>
      <w:tr w14:paraId="721BFFE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460" w:type="dxa"/>
            <w:tcBorders>
              <w:top w:val="nil"/>
              <w:left w:val="nil"/>
              <w:bottom w:val="nil"/>
              <w:right w:val="nil"/>
            </w:tcBorders>
            <w:shd w:val="clear" w:color="auto" w:fill="auto"/>
            <w:vAlign w:val="top"/>
          </w:tcPr>
          <w:p w14:paraId="3AB7BED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2</w:t>
            </w:r>
          </w:p>
        </w:tc>
        <w:tc>
          <w:tcPr>
            <w:tcW w:w="1110" w:type="dxa"/>
            <w:tcBorders>
              <w:top w:val="nil"/>
              <w:left w:val="nil"/>
              <w:bottom w:val="nil"/>
              <w:right w:val="nil"/>
            </w:tcBorders>
            <w:shd w:val="clear" w:color="auto" w:fill="auto"/>
            <w:vAlign w:val="top"/>
          </w:tcPr>
          <w:p w14:paraId="6CDDBA7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0.0794</w:t>
            </w:r>
          </w:p>
        </w:tc>
        <w:tc>
          <w:tcPr>
            <w:tcW w:w="1110" w:type="dxa"/>
            <w:tcBorders>
              <w:top w:val="nil"/>
              <w:left w:val="nil"/>
              <w:bottom w:val="nil"/>
              <w:right w:val="nil"/>
            </w:tcBorders>
            <w:shd w:val="clear" w:color="auto" w:fill="auto"/>
            <w:vAlign w:val="top"/>
          </w:tcPr>
          <w:p w14:paraId="440400B9">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0.0156</w:t>
            </w:r>
          </w:p>
        </w:tc>
        <w:tc>
          <w:tcPr>
            <w:tcW w:w="1111" w:type="dxa"/>
            <w:tcBorders>
              <w:top w:val="nil"/>
              <w:left w:val="nil"/>
              <w:bottom w:val="nil"/>
              <w:right w:val="nil"/>
            </w:tcBorders>
            <w:shd w:val="clear" w:color="auto" w:fill="auto"/>
            <w:vAlign w:val="top"/>
          </w:tcPr>
          <w:p w14:paraId="7A8E9451">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0.0582</w:t>
            </w:r>
          </w:p>
        </w:tc>
        <w:tc>
          <w:tcPr>
            <w:tcW w:w="1111" w:type="dxa"/>
            <w:tcBorders>
              <w:top w:val="nil"/>
              <w:left w:val="nil"/>
              <w:bottom w:val="nil"/>
              <w:right w:val="nil"/>
            </w:tcBorders>
            <w:shd w:val="clear" w:color="auto" w:fill="auto"/>
            <w:vAlign w:val="top"/>
          </w:tcPr>
          <w:p w14:paraId="04E1D19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0.1172</w:t>
            </w:r>
          </w:p>
        </w:tc>
        <w:tc>
          <w:tcPr>
            <w:tcW w:w="1116" w:type="dxa"/>
            <w:tcBorders>
              <w:top w:val="nil"/>
              <w:left w:val="nil"/>
              <w:bottom w:val="nil"/>
              <w:right w:val="nil"/>
            </w:tcBorders>
            <w:shd w:val="clear" w:color="auto" w:fill="auto"/>
            <w:vAlign w:val="top"/>
          </w:tcPr>
          <w:p w14:paraId="102CE081">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0.0733</w:t>
            </w:r>
          </w:p>
        </w:tc>
        <w:tc>
          <w:tcPr>
            <w:tcW w:w="1106" w:type="dxa"/>
            <w:tcBorders>
              <w:top w:val="nil"/>
              <w:left w:val="nil"/>
              <w:bottom w:val="nil"/>
              <w:right w:val="nil"/>
            </w:tcBorders>
            <w:shd w:val="clear" w:color="auto" w:fill="auto"/>
            <w:vAlign w:val="top"/>
          </w:tcPr>
          <w:p w14:paraId="375E2BF6">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0.141</w:t>
            </w:r>
          </w:p>
        </w:tc>
        <w:tc>
          <w:tcPr>
            <w:tcW w:w="1102" w:type="dxa"/>
            <w:tcBorders>
              <w:top w:val="nil"/>
              <w:left w:val="nil"/>
              <w:bottom w:val="nil"/>
              <w:right w:val="nil"/>
            </w:tcBorders>
            <w:shd w:val="clear" w:color="auto" w:fill="auto"/>
            <w:vAlign w:val="top"/>
          </w:tcPr>
          <w:p w14:paraId="51022710">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0.113</w:t>
            </w:r>
          </w:p>
        </w:tc>
      </w:tr>
      <w:tr w14:paraId="16BCCCB5">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460" w:type="dxa"/>
            <w:tcBorders>
              <w:top w:val="nil"/>
              <w:left w:val="nil"/>
              <w:bottom w:val="nil"/>
              <w:right w:val="nil"/>
            </w:tcBorders>
            <w:shd w:val="clear" w:color="auto" w:fill="auto"/>
            <w:vAlign w:val="top"/>
          </w:tcPr>
          <w:p w14:paraId="7F72449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3</w:t>
            </w:r>
          </w:p>
        </w:tc>
        <w:tc>
          <w:tcPr>
            <w:tcW w:w="1110" w:type="dxa"/>
            <w:tcBorders>
              <w:top w:val="nil"/>
              <w:left w:val="nil"/>
              <w:bottom w:val="nil"/>
              <w:right w:val="nil"/>
            </w:tcBorders>
            <w:shd w:val="clear" w:color="auto" w:fill="auto"/>
            <w:vAlign w:val="top"/>
          </w:tcPr>
          <w:p w14:paraId="1281A5E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0.0698</w:t>
            </w:r>
          </w:p>
        </w:tc>
        <w:tc>
          <w:tcPr>
            <w:tcW w:w="1110" w:type="dxa"/>
            <w:tcBorders>
              <w:top w:val="nil"/>
              <w:left w:val="nil"/>
              <w:bottom w:val="nil"/>
              <w:right w:val="nil"/>
            </w:tcBorders>
            <w:shd w:val="clear" w:color="auto" w:fill="auto"/>
            <w:vAlign w:val="top"/>
          </w:tcPr>
          <w:p w14:paraId="079FE0F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0.0123</w:t>
            </w:r>
          </w:p>
        </w:tc>
        <w:tc>
          <w:tcPr>
            <w:tcW w:w="1111" w:type="dxa"/>
            <w:tcBorders>
              <w:top w:val="nil"/>
              <w:left w:val="nil"/>
              <w:bottom w:val="nil"/>
              <w:right w:val="nil"/>
            </w:tcBorders>
            <w:shd w:val="clear" w:color="auto" w:fill="auto"/>
            <w:vAlign w:val="top"/>
          </w:tcPr>
          <w:p w14:paraId="1D7CEB5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0.0575</w:t>
            </w:r>
          </w:p>
        </w:tc>
        <w:tc>
          <w:tcPr>
            <w:tcW w:w="1111" w:type="dxa"/>
            <w:tcBorders>
              <w:top w:val="nil"/>
              <w:left w:val="nil"/>
              <w:bottom w:val="nil"/>
              <w:right w:val="nil"/>
            </w:tcBorders>
            <w:shd w:val="clear" w:color="auto" w:fill="auto"/>
            <w:vAlign w:val="top"/>
          </w:tcPr>
          <w:p w14:paraId="11CD8B3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0.1194</w:t>
            </w:r>
          </w:p>
        </w:tc>
        <w:tc>
          <w:tcPr>
            <w:tcW w:w="1116" w:type="dxa"/>
            <w:tcBorders>
              <w:top w:val="nil"/>
              <w:left w:val="nil"/>
              <w:bottom w:val="nil"/>
              <w:right w:val="nil"/>
            </w:tcBorders>
            <w:shd w:val="clear" w:color="auto" w:fill="auto"/>
            <w:vAlign w:val="top"/>
          </w:tcPr>
          <w:p w14:paraId="0DCF090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0.0649</w:t>
            </w:r>
          </w:p>
        </w:tc>
        <w:tc>
          <w:tcPr>
            <w:tcW w:w="1106" w:type="dxa"/>
            <w:tcBorders>
              <w:top w:val="nil"/>
              <w:left w:val="nil"/>
              <w:bottom w:val="nil"/>
              <w:right w:val="nil"/>
            </w:tcBorders>
            <w:shd w:val="clear" w:color="auto" w:fill="auto"/>
            <w:vAlign w:val="top"/>
          </w:tcPr>
          <w:p w14:paraId="7DAEBAC7">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0.155</w:t>
            </w:r>
          </w:p>
        </w:tc>
        <w:tc>
          <w:tcPr>
            <w:tcW w:w="1102" w:type="dxa"/>
            <w:tcBorders>
              <w:top w:val="nil"/>
              <w:left w:val="nil"/>
              <w:bottom w:val="nil"/>
              <w:right w:val="nil"/>
            </w:tcBorders>
            <w:shd w:val="clear" w:color="auto" w:fill="auto"/>
            <w:vAlign w:val="top"/>
          </w:tcPr>
          <w:p w14:paraId="232909FB">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0.124</w:t>
            </w:r>
          </w:p>
        </w:tc>
      </w:tr>
      <w:tr w14:paraId="0CE06CB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460" w:type="dxa"/>
            <w:tcBorders>
              <w:top w:val="nil"/>
              <w:left w:val="nil"/>
              <w:bottom w:val="nil"/>
              <w:right w:val="nil"/>
            </w:tcBorders>
            <w:shd w:val="clear" w:color="auto" w:fill="auto"/>
            <w:vAlign w:val="top"/>
          </w:tcPr>
          <w:p w14:paraId="5BDB1D5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Global</w:t>
            </w:r>
          </w:p>
        </w:tc>
        <w:tc>
          <w:tcPr>
            <w:tcW w:w="1110" w:type="dxa"/>
            <w:tcBorders>
              <w:top w:val="nil"/>
              <w:left w:val="nil"/>
              <w:bottom w:val="nil"/>
              <w:right w:val="nil"/>
            </w:tcBorders>
            <w:shd w:val="clear" w:color="auto" w:fill="auto"/>
            <w:vAlign w:val="top"/>
          </w:tcPr>
          <w:p w14:paraId="00FE950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0.0794</w:t>
            </w:r>
          </w:p>
        </w:tc>
        <w:tc>
          <w:tcPr>
            <w:tcW w:w="1110" w:type="dxa"/>
            <w:tcBorders>
              <w:top w:val="nil"/>
              <w:left w:val="nil"/>
              <w:bottom w:val="nil"/>
              <w:right w:val="nil"/>
            </w:tcBorders>
            <w:shd w:val="clear" w:color="auto" w:fill="auto"/>
            <w:vAlign w:val="top"/>
          </w:tcPr>
          <w:p w14:paraId="52BB561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0.0163</w:t>
            </w:r>
          </w:p>
        </w:tc>
        <w:tc>
          <w:tcPr>
            <w:tcW w:w="1111" w:type="dxa"/>
            <w:tcBorders>
              <w:top w:val="nil"/>
              <w:left w:val="nil"/>
              <w:bottom w:val="nil"/>
              <w:right w:val="nil"/>
            </w:tcBorders>
            <w:shd w:val="clear" w:color="auto" w:fill="auto"/>
            <w:vAlign w:val="top"/>
          </w:tcPr>
          <w:p w14:paraId="1C7247C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0.0575</w:t>
            </w:r>
          </w:p>
        </w:tc>
        <w:tc>
          <w:tcPr>
            <w:tcW w:w="1111" w:type="dxa"/>
            <w:tcBorders>
              <w:top w:val="nil"/>
              <w:left w:val="nil"/>
              <w:bottom w:val="nil"/>
              <w:right w:val="nil"/>
            </w:tcBorders>
            <w:shd w:val="clear" w:color="auto" w:fill="auto"/>
            <w:vAlign w:val="top"/>
          </w:tcPr>
          <w:p w14:paraId="0346716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0.1194</w:t>
            </w:r>
          </w:p>
        </w:tc>
        <w:tc>
          <w:tcPr>
            <w:tcW w:w="1116" w:type="dxa"/>
            <w:tcBorders>
              <w:top w:val="nil"/>
              <w:left w:val="nil"/>
              <w:bottom w:val="nil"/>
              <w:right w:val="nil"/>
            </w:tcBorders>
            <w:shd w:val="clear" w:color="auto" w:fill="auto"/>
            <w:vAlign w:val="top"/>
          </w:tcPr>
          <w:p w14:paraId="2E5B20D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0.0752</w:t>
            </w:r>
          </w:p>
        </w:tc>
        <w:tc>
          <w:tcPr>
            <w:tcW w:w="1106" w:type="dxa"/>
            <w:tcBorders>
              <w:top w:val="nil"/>
              <w:left w:val="nil"/>
              <w:bottom w:val="nil"/>
              <w:right w:val="nil"/>
            </w:tcBorders>
            <w:shd w:val="clear" w:color="auto" w:fill="auto"/>
            <w:vAlign w:val="top"/>
          </w:tcPr>
          <w:p w14:paraId="6FF8FA0F">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0.181</w:t>
            </w:r>
          </w:p>
        </w:tc>
        <w:tc>
          <w:tcPr>
            <w:tcW w:w="1102" w:type="dxa"/>
            <w:tcBorders>
              <w:top w:val="nil"/>
              <w:left w:val="nil"/>
              <w:bottom w:val="nil"/>
              <w:right w:val="nil"/>
            </w:tcBorders>
            <w:shd w:val="clear" w:color="auto" w:fill="auto"/>
            <w:vAlign w:val="top"/>
          </w:tcPr>
          <w:p w14:paraId="4DCC63A3">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0.148</w:t>
            </w:r>
          </w:p>
        </w:tc>
      </w:tr>
      <w:tr w14:paraId="0304816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460" w:type="dxa"/>
            <w:tcBorders>
              <w:top w:val="nil"/>
              <w:left w:val="nil"/>
              <w:bottom w:val="single" w:color="auto" w:sz="12" w:space="0"/>
              <w:right w:val="nil"/>
            </w:tcBorders>
            <w:shd w:val="clear" w:color="auto" w:fill="auto"/>
            <w:vAlign w:val="top"/>
          </w:tcPr>
          <w:p w14:paraId="593E5297">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Condition_20</w:t>
            </w:r>
          </w:p>
        </w:tc>
        <w:tc>
          <w:tcPr>
            <w:tcW w:w="1110" w:type="dxa"/>
            <w:tcBorders>
              <w:top w:val="nil"/>
              <w:left w:val="nil"/>
              <w:bottom w:val="single" w:color="auto" w:sz="12" w:space="0"/>
              <w:right w:val="nil"/>
            </w:tcBorders>
            <w:shd w:val="clear" w:color="auto" w:fill="auto"/>
            <w:vAlign w:val="top"/>
          </w:tcPr>
          <w:p w14:paraId="6E4A4D2A">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0.228</w:t>
            </w:r>
          </w:p>
        </w:tc>
        <w:tc>
          <w:tcPr>
            <w:tcW w:w="1110" w:type="dxa"/>
            <w:tcBorders>
              <w:top w:val="nil"/>
              <w:left w:val="nil"/>
              <w:bottom w:val="single" w:color="auto" w:sz="12" w:space="0"/>
              <w:right w:val="nil"/>
            </w:tcBorders>
            <w:shd w:val="clear" w:color="auto" w:fill="auto"/>
            <w:vAlign w:val="top"/>
          </w:tcPr>
          <w:p w14:paraId="37C3184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1.306</w:t>
            </w:r>
          </w:p>
        </w:tc>
        <w:tc>
          <w:tcPr>
            <w:tcW w:w="1111" w:type="dxa"/>
            <w:tcBorders>
              <w:top w:val="nil"/>
              <w:left w:val="nil"/>
              <w:bottom w:val="single" w:color="auto" w:sz="12" w:space="0"/>
              <w:right w:val="nil"/>
            </w:tcBorders>
            <w:shd w:val="clear" w:color="auto" w:fill="auto"/>
            <w:vAlign w:val="top"/>
          </w:tcPr>
          <w:p w14:paraId="17EE5B6D">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1.140</w:t>
            </w:r>
          </w:p>
        </w:tc>
        <w:tc>
          <w:tcPr>
            <w:tcW w:w="1111" w:type="dxa"/>
            <w:tcBorders>
              <w:top w:val="nil"/>
              <w:left w:val="nil"/>
              <w:bottom w:val="single" w:color="auto" w:sz="12" w:space="0"/>
              <w:right w:val="nil"/>
            </w:tcBorders>
            <w:shd w:val="clear" w:color="auto" w:fill="auto"/>
            <w:vAlign w:val="top"/>
          </w:tcPr>
          <w:p w14:paraId="752623FC">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0.191</w:t>
            </w:r>
          </w:p>
        </w:tc>
        <w:tc>
          <w:tcPr>
            <w:tcW w:w="1116" w:type="dxa"/>
            <w:tcBorders>
              <w:top w:val="nil"/>
              <w:left w:val="nil"/>
              <w:bottom w:val="single" w:color="auto" w:sz="12" w:space="0"/>
              <w:right w:val="nil"/>
            </w:tcBorders>
            <w:shd w:val="clear" w:color="auto" w:fill="auto"/>
            <w:vAlign w:val="top"/>
          </w:tcPr>
          <w:p w14:paraId="5209186B">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0.159</w:t>
            </w:r>
          </w:p>
        </w:tc>
        <w:tc>
          <w:tcPr>
            <w:tcW w:w="1106" w:type="dxa"/>
            <w:tcBorders>
              <w:top w:val="nil"/>
              <w:left w:val="nil"/>
              <w:bottom w:val="single" w:color="auto" w:sz="12" w:space="0"/>
              <w:right w:val="nil"/>
            </w:tcBorders>
            <w:shd w:val="clear" w:color="auto" w:fill="auto"/>
            <w:vAlign w:val="top"/>
          </w:tcPr>
          <w:p w14:paraId="007F1D42">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0.151</w:t>
            </w:r>
          </w:p>
        </w:tc>
        <w:tc>
          <w:tcPr>
            <w:tcW w:w="1102" w:type="dxa"/>
            <w:tcBorders>
              <w:top w:val="nil"/>
              <w:left w:val="nil"/>
              <w:bottom w:val="single" w:color="auto" w:sz="12" w:space="0"/>
              <w:right w:val="nil"/>
            </w:tcBorders>
            <w:shd w:val="clear" w:color="auto" w:fill="auto"/>
            <w:vAlign w:val="top"/>
          </w:tcPr>
          <w:p w14:paraId="0B781154">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kern w:val="0"/>
                <w:sz w:val="15"/>
                <w:szCs w:val="28"/>
                <w:lang w:val="en-US" w:eastAsia="zh-CN" w:bidi="ar"/>
              </w:rPr>
              <w:t>0.122</w:t>
            </w:r>
          </w:p>
        </w:tc>
      </w:tr>
    </w:tbl>
    <w:p w14:paraId="440FABD9">
      <w:pPr>
        <w:pStyle w:val="11"/>
        <w:rPr>
          <w:rFonts w:ascii="Times New Roman" w:hAnsi="Times New Roman" w:eastAsia="宋体" w:cs="Times New Roman"/>
          <w:sz w:val="21"/>
          <w:szCs w:val="24"/>
        </w:rPr>
      </w:pPr>
      <w:r>
        <w:t>注：LOCO 协议下 DL-LNN 平均 MAE 较最佳基线 PeRCNN 降低 1.1%。</w:t>
      </w:r>
    </w:p>
    <w:p w14:paraId="5FA53C05">
      <w:pPr>
        <w:pStyle w:val="4"/>
        <w:keepNext/>
        <w:pageBreakBefore/>
        <w:widowControl/>
        <w:numPr>
          <w:ilvl w:val="0"/>
          <w:numId w:val="0"/>
        </w:numPr>
        <w:ind w:leftChars="0"/>
        <w:rPr>
          <w:b w:val="0"/>
        </w:rPr>
      </w:pPr>
      <w:bookmarkStart w:id="159" w:name="_Toc10638"/>
      <w:bookmarkStart w:id="160" w:name="_Toc11875"/>
      <w:bookmarkStart w:id="161" w:name="_Toc12381"/>
      <w:bookmarkStart w:id="162" w:name="_Toc27651"/>
      <w:r>
        <w:rPr>
          <w:rFonts w:hint="eastAsia"/>
          <w:lang w:eastAsia="zh-CN"/>
        </w:rPr>
        <w:t xml:space="preserve">4.3.3 </w:t>
      </w:r>
      <w:r>
        <w:t>τ-模态参数映射律</w:t>
      </w:r>
      <w:bookmarkEnd w:id="159"/>
      <w:bookmarkEnd w:id="160"/>
      <w:bookmarkEnd w:id="161"/>
      <w:bookmarkEnd w:id="162"/>
    </w:p>
    <w:p w14:paraId="1957B72B">
      <w:pPr>
        <w:pStyle w:val="11"/>
        <w:rPr>
          <w:rFonts w:ascii="Times New Roman" w:hAnsi="Times New Roman" w:eastAsia="宋体" w:cs="Times New Roman"/>
          <w:sz w:val="21"/>
          <w:szCs w:val="24"/>
        </w:rPr>
      </w:pPr>
      <w:r>
        <w:rPr>
          <w:rFonts w:ascii="Times New Roman" w:hAnsi="Times New Roman" w:eastAsia="宋体" w:cs="Times New Roman"/>
          <w:sz w:val="21"/>
          <w:szCs w:val="24"/>
        </w:rPr>
        <w:t>τ-模态参数映射律是本文提出的可解释性分析。基于训练后的 DL-LNN，本文在 4 组不同模态参数的工况上系统分析 LTC 时间常数 τ 与机床模态参数（固有频率 ωₙ、阻尼比 ζ）的关系，结果见表 7。</w:t>
      </w:r>
    </w:p>
    <w:p w14:paraId="52CCFB8B">
      <w:pPr>
        <w:pStyle w:val="47"/>
      </w:pPr>
      <w:r>
        <w:t>表 9 不同模态参数下 DL-LNN 的平均时间常数 τ</w:t>
      </w:r>
    </w:p>
    <w:tbl>
      <w:tblPr>
        <w:tblStyle w:val="62"/>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495"/>
        <w:gridCol w:w="1502"/>
        <w:gridCol w:w="1503"/>
        <w:gridCol w:w="1506"/>
        <w:gridCol w:w="1510"/>
        <w:gridCol w:w="1510"/>
      </w:tblGrid>
      <w:tr w14:paraId="0EF6E09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537" w:type="dxa"/>
            <w:tcBorders>
              <w:top w:val="single" w:color="auto" w:sz="12" w:space="0"/>
              <w:left w:val="nil"/>
              <w:bottom w:val="single" w:color="auto" w:sz="4" w:space="0"/>
              <w:right w:val="nil"/>
            </w:tcBorders>
            <w:shd w:val="clear" w:color="auto" w:fill="auto"/>
            <w:vAlign w:val="top"/>
          </w:tcPr>
          <w:p w14:paraId="253136DE">
            <w:pPr>
              <w:keepNext w:val="0"/>
              <w:keepLines w:val="0"/>
              <w:widowControl w:val="0"/>
              <w:suppressLineNumbers w:val="0"/>
              <w:spacing w:before="0" w:beforeAutospacing="0" w:after="0" w:afterAutospacing="0"/>
              <w:ind w:left="0" w:right="0"/>
              <w:jc w:val="left"/>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工况</w:t>
            </w:r>
          </w:p>
        </w:tc>
        <w:tc>
          <w:tcPr>
            <w:tcW w:w="1537" w:type="dxa"/>
            <w:tcBorders>
              <w:top w:val="single" w:color="auto" w:sz="12" w:space="0"/>
              <w:left w:val="nil"/>
              <w:bottom w:val="single" w:color="auto" w:sz="4" w:space="0"/>
              <w:right w:val="nil"/>
            </w:tcBorders>
            <w:shd w:val="clear" w:color="auto" w:fill="auto"/>
            <w:vAlign w:val="top"/>
          </w:tcPr>
          <w:p w14:paraId="306C5ED4">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k (N/μm)</w:t>
            </w:r>
          </w:p>
        </w:tc>
        <w:tc>
          <w:tcPr>
            <w:tcW w:w="1538" w:type="dxa"/>
            <w:tcBorders>
              <w:top w:val="single" w:color="auto" w:sz="12" w:space="0"/>
              <w:left w:val="nil"/>
              <w:bottom w:val="single" w:color="auto" w:sz="4" w:space="0"/>
              <w:right w:val="nil"/>
            </w:tcBorders>
            <w:shd w:val="clear" w:color="auto" w:fill="auto"/>
            <w:vAlign w:val="top"/>
          </w:tcPr>
          <w:p w14:paraId="172BDB27">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m (kg)</w:t>
            </w:r>
          </w:p>
        </w:tc>
        <w:tc>
          <w:tcPr>
            <w:tcW w:w="1538" w:type="dxa"/>
            <w:tcBorders>
              <w:top w:val="single" w:color="auto" w:sz="12" w:space="0"/>
              <w:left w:val="nil"/>
              <w:bottom w:val="single" w:color="auto" w:sz="4" w:space="0"/>
              <w:right w:val="nil"/>
            </w:tcBorders>
            <w:shd w:val="clear" w:color="auto" w:fill="auto"/>
            <w:vAlign w:val="top"/>
          </w:tcPr>
          <w:p w14:paraId="084A41F2">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ζ</w:t>
            </w:r>
          </w:p>
        </w:tc>
        <w:tc>
          <w:tcPr>
            <w:tcW w:w="1538" w:type="dxa"/>
            <w:tcBorders>
              <w:top w:val="single" w:color="auto" w:sz="12" w:space="0"/>
              <w:left w:val="nil"/>
              <w:bottom w:val="single" w:color="auto" w:sz="4" w:space="0"/>
              <w:right w:val="nil"/>
            </w:tcBorders>
            <w:shd w:val="clear" w:color="auto" w:fill="auto"/>
            <w:vAlign w:val="top"/>
          </w:tcPr>
          <w:p w14:paraId="2F6D93B6">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ω</w:t>
            </w:r>
            <w:r>
              <w:rPr>
                <w:rFonts w:hint="default" w:ascii="Cambria Math" w:hAnsi="Cambria Math" w:eastAsia="宋体" w:cs="Cambria Math"/>
                <w:b/>
                <w:bCs/>
                <w:kern w:val="0"/>
                <w:sz w:val="15"/>
                <w:szCs w:val="28"/>
                <w:lang w:val="en-US" w:eastAsia="zh-CN" w:bidi="ar"/>
              </w:rPr>
              <w:t>ₙ</w:t>
            </w:r>
            <w:r>
              <w:rPr>
                <w:rFonts w:hint="eastAsia" w:ascii="宋体" w:hAnsi="宋体" w:eastAsia="宋体" w:cs="宋体"/>
                <w:b/>
                <w:bCs/>
                <w:kern w:val="0"/>
                <w:sz w:val="15"/>
                <w:szCs w:val="28"/>
                <w:lang w:val="en-US" w:eastAsia="zh-CN" w:bidi="ar"/>
              </w:rPr>
              <w:t xml:space="preserve"> (rad/s)</w:t>
            </w:r>
          </w:p>
        </w:tc>
        <w:tc>
          <w:tcPr>
            <w:tcW w:w="1538" w:type="dxa"/>
            <w:tcBorders>
              <w:top w:val="single" w:color="auto" w:sz="12" w:space="0"/>
              <w:left w:val="nil"/>
              <w:bottom w:val="single" w:color="auto" w:sz="4" w:space="0"/>
              <w:right w:val="nil"/>
            </w:tcBorders>
            <w:shd w:val="clear" w:color="auto" w:fill="auto"/>
            <w:vAlign w:val="top"/>
          </w:tcPr>
          <w:p w14:paraId="0D64CC39">
            <w:pPr>
              <w:keepNext w:val="0"/>
              <w:keepLines w:val="0"/>
              <w:widowControl w:val="0"/>
              <w:suppressLineNumbers w:val="0"/>
              <w:spacing w:before="0" w:beforeAutospacing="0" w:after="0" w:afterAutospacing="0"/>
              <w:ind w:left="0" w:right="0"/>
              <w:jc w:val="center"/>
              <w:rPr>
                <w:rFonts w:hint="eastAsia" w:ascii="宋体" w:hAnsi="宋体" w:eastAsia="宋体" w:cs="宋体"/>
                <w:sz w:val="15"/>
                <w:szCs w:val="32"/>
                <w:lang w:val="en-US"/>
              </w:rPr>
            </w:pPr>
            <w:r>
              <w:rPr>
                <w:rFonts w:hint="eastAsia" w:ascii="宋体" w:hAnsi="宋体" w:eastAsia="宋体" w:cs="宋体"/>
                <w:b/>
                <w:bCs/>
                <w:kern w:val="0"/>
                <w:sz w:val="15"/>
                <w:szCs w:val="28"/>
                <w:lang w:val="en-US" w:eastAsia="zh-CN" w:bidi="ar"/>
              </w:rPr>
              <w:t>τ_mean (s)</w:t>
            </w:r>
          </w:p>
        </w:tc>
      </w:tr>
      <w:tr w14:paraId="62CBEED4">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1537" w:type="dxa"/>
            <w:tcBorders>
              <w:top w:val="nil"/>
              <w:left w:val="nil"/>
              <w:bottom w:val="nil"/>
              <w:right w:val="nil"/>
            </w:tcBorders>
            <w:shd w:val="clear" w:color="auto" w:fill="auto"/>
            <w:vAlign w:val="top"/>
          </w:tcPr>
          <w:p w14:paraId="78D08C12">
            <w:pPr>
              <w:keepNext w:val="0"/>
              <w:keepLines w:val="0"/>
              <w:widowControl w:val="0"/>
              <w:suppressLineNumbers w:val="0"/>
              <w:spacing w:before="0" w:beforeAutospacing="0" w:after="0" w:afterAutospacing="0"/>
              <w:ind w:left="0" w:right="0"/>
              <w:jc w:val="left"/>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工况 1</w:t>
            </w:r>
          </w:p>
        </w:tc>
        <w:tc>
          <w:tcPr>
            <w:tcW w:w="1537" w:type="dxa"/>
            <w:tcBorders>
              <w:top w:val="nil"/>
              <w:left w:val="nil"/>
              <w:bottom w:val="nil"/>
              <w:right w:val="nil"/>
            </w:tcBorders>
            <w:shd w:val="clear" w:color="auto" w:fill="auto"/>
            <w:vAlign w:val="top"/>
          </w:tcPr>
          <w:p w14:paraId="40EDDA5B">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14.2</w:t>
            </w:r>
          </w:p>
        </w:tc>
        <w:tc>
          <w:tcPr>
            <w:tcW w:w="1538" w:type="dxa"/>
            <w:tcBorders>
              <w:top w:val="nil"/>
              <w:left w:val="nil"/>
              <w:bottom w:val="nil"/>
              <w:right w:val="nil"/>
            </w:tcBorders>
            <w:shd w:val="clear" w:color="auto" w:fill="auto"/>
            <w:vAlign w:val="top"/>
          </w:tcPr>
          <w:p w14:paraId="086E7BF7">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0.32</w:t>
            </w:r>
          </w:p>
        </w:tc>
        <w:tc>
          <w:tcPr>
            <w:tcW w:w="1538" w:type="dxa"/>
            <w:tcBorders>
              <w:top w:val="nil"/>
              <w:left w:val="nil"/>
              <w:bottom w:val="nil"/>
              <w:right w:val="nil"/>
            </w:tcBorders>
            <w:shd w:val="clear" w:color="auto" w:fill="auto"/>
            <w:vAlign w:val="top"/>
          </w:tcPr>
          <w:p w14:paraId="656FE48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0.027</w:t>
            </w:r>
          </w:p>
        </w:tc>
        <w:tc>
          <w:tcPr>
            <w:tcW w:w="1538" w:type="dxa"/>
            <w:tcBorders>
              <w:top w:val="nil"/>
              <w:left w:val="nil"/>
              <w:bottom w:val="nil"/>
              <w:right w:val="nil"/>
            </w:tcBorders>
            <w:shd w:val="clear" w:color="auto" w:fill="auto"/>
            <w:vAlign w:val="top"/>
          </w:tcPr>
          <w:p w14:paraId="7A39860A">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6661.5</w:t>
            </w:r>
          </w:p>
        </w:tc>
        <w:tc>
          <w:tcPr>
            <w:tcW w:w="1538" w:type="dxa"/>
            <w:tcBorders>
              <w:top w:val="nil"/>
              <w:left w:val="nil"/>
              <w:bottom w:val="nil"/>
              <w:right w:val="nil"/>
            </w:tcBorders>
            <w:shd w:val="clear" w:color="auto" w:fill="auto"/>
            <w:vAlign w:val="top"/>
          </w:tcPr>
          <w:p w14:paraId="10BA372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0.0224</w:t>
            </w:r>
          </w:p>
        </w:tc>
      </w:tr>
      <w:tr w14:paraId="48E04C4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537" w:type="dxa"/>
            <w:tcBorders>
              <w:top w:val="nil"/>
              <w:left w:val="nil"/>
              <w:bottom w:val="nil"/>
              <w:right w:val="nil"/>
            </w:tcBorders>
            <w:shd w:val="clear" w:color="auto" w:fill="auto"/>
            <w:vAlign w:val="top"/>
          </w:tcPr>
          <w:p w14:paraId="1D6E01E5">
            <w:pPr>
              <w:keepNext w:val="0"/>
              <w:keepLines w:val="0"/>
              <w:widowControl w:val="0"/>
              <w:suppressLineNumbers w:val="0"/>
              <w:spacing w:before="0" w:beforeAutospacing="0" w:after="0" w:afterAutospacing="0"/>
              <w:ind w:left="0" w:right="0"/>
              <w:jc w:val="left"/>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工况 2</w:t>
            </w:r>
          </w:p>
        </w:tc>
        <w:tc>
          <w:tcPr>
            <w:tcW w:w="1537" w:type="dxa"/>
            <w:tcBorders>
              <w:top w:val="nil"/>
              <w:left w:val="nil"/>
              <w:bottom w:val="nil"/>
              <w:right w:val="nil"/>
            </w:tcBorders>
            <w:shd w:val="clear" w:color="auto" w:fill="auto"/>
            <w:vAlign w:val="top"/>
          </w:tcPr>
          <w:p w14:paraId="4C0D7840">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22.6</w:t>
            </w:r>
          </w:p>
        </w:tc>
        <w:tc>
          <w:tcPr>
            <w:tcW w:w="1538" w:type="dxa"/>
            <w:tcBorders>
              <w:top w:val="nil"/>
              <w:left w:val="nil"/>
              <w:bottom w:val="nil"/>
              <w:right w:val="nil"/>
            </w:tcBorders>
            <w:shd w:val="clear" w:color="auto" w:fill="auto"/>
            <w:vAlign w:val="top"/>
          </w:tcPr>
          <w:p w14:paraId="385F016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0.45</w:t>
            </w:r>
          </w:p>
        </w:tc>
        <w:tc>
          <w:tcPr>
            <w:tcW w:w="1538" w:type="dxa"/>
            <w:tcBorders>
              <w:top w:val="nil"/>
              <w:left w:val="nil"/>
              <w:bottom w:val="nil"/>
              <w:right w:val="nil"/>
            </w:tcBorders>
            <w:shd w:val="clear" w:color="auto" w:fill="auto"/>
            <w:vAlign w:val="top"/>
          </w:tcPr>
          <w:p w14:paraId="4A76D93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0.035</w:t>
            </w:r>
          </w:p>
        </w:tc>
        <w:tc>
          <w:tcPr>
            <w:tcW w:w="1538" w:type="dxa"/>
            <w:tcBorders>
              <w:top w:val="nil"/>
              <w:left w:val="nil"/>
              <w:bottom w:val="nil"/>
              <w:right w:val="nil"/>
            </w:tcBorders>
            <w:shd w:val="clear" w:color="auto" w:fill="auto"/>
            <w:vAlign w:val="top"/>
          </w:tcPr>
          <w:p w14:paraId="0A2F3D8E">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7086.8</w:t>
            </w:r>
          </w:p>
        </w:tc>
        <w:tc>
          <w:tcPr>
            <w:tcW w:w="1538" w:type="dxa"/>
            <w:tcBorders>
              <w:top w:val="nil"/>
              <w:left w:val="nil"/>
              <w:bottom w:val="nil"/>
              <w:right w:val="nil"/>
            </w:tcBorders>
            <w:shd w:val="clear" w:color="auto" w:fill="auto"/>
            <w:vAlign w:val="top"/>
          </w:tcPr>
          <w:p w14:paraId="20CB960E">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0.0208</w:t>
            </w:r>
          </w:p>
        </w:tc>
      </w:tr>
      <w:tr w14:paraId="38BF16E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537" w:type="dxa"/>
            <w:tcBorders>
              <w:top w:val="nil"/>
              <w:left w:val="nil"/>
              <w:bottom w:val="nil"/>
              <w:right w:val="nil"/>
            </w:tcBorders>
            <w:shd w:val="clear" w:color="auto" w:fill="auto"/>
            <w:vAlign w:val="top"/>
          </w:tcPr>
          <w:p w14:paraId="53202C8C">
            <w:pPr>
              <w:keepNext w:val="0"/>
              <w:keepLines w:val="0"/>
              <w:widowControl w:val="0"/>
              <w:suppressLineNumbers w:val="0"/>
              <w:spacing w:before="0" w:beforeAutospacing="0" w:after="0" w:afterAutospacing="0"/>
              <w:ind w:left="0" w:right="0"/>
              <w:jc w:val="left"/>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工况 3</w:t>
            </w:r>
          </w:p>
        </w:tc>
        <w:tc>
          <w:tcPr>
            <w:tcW w:w="1537" w:type="dxa"/>
            <w:tcBorders>
              <w:top w:val="nil"/>
              <w:left w:val="nil"/>
              <w:bottom w:val="nil"/>
              <w:right w:val="nil"/>
            </w:tcBorders>
            <w:shd w:val="clear" w:color="auto" w:fill="auto"/>
            <w:vAlign w:val="top"/>
          </w:tcPr>
          <w:p w14:paraId="0FDD75F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31.5</w:t>
            </w:r>
          </w:p>
        </w:tc>
        <w:tc>
          <w:tcPr>
            <w:tcW w:w="1538" w:type="dxa"/>
            <w:tcBorders>
              <w:top w:val="nil"/>
              <w:left w:val="nil"/>
              <w:bottom w:val="nil"/>
              <w:right w:val="nil"/>
            </w:tcBorders>
            <w:shd w:val="clear" w:color="auto" w:fill="auto"/>
            <w:vAlign w:val="top"/>
          </w:tcPr>
          <w:p w14:paraId="1F5B7491">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0.62</w:t>
            </w:r>
          </w:p>
        </w:tc>
        <w:tc>
          <w:tcPr>
            <w:tcW w:w="1538" w:type="dxa"/>
            <w:tcBorders>
              <w:top w:val="nil"/>
              <w:left w:val="nil"/>
              <w:bottom w:val="nil"/>
              <w:right w:val="nil"/>
            </w:tcBorders>
            <w:shd w:val="clear" w:color="auto" w:fill="auto"/>
            <w:vAlign w:val="top"/>
          </w:tcPr>
          <w:p w14:paraId="0D7ED8F4">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0.041</w:t>
            </w:r>
          </w:p>
        </w:tc>
        <w:tc>
          <w:tcPr>
            <w:tcW w:w="1538" w:type="dxa"/>
            <w:tcBorders>
              <w:top w:val="nil"/>
              <w:left w:val="nil"/>
              <w:bottom w:val="nil"/>
              <w:right w:val="nil"/>
            </w:tcBorders>
            <w:shd w:val="clear" w:color="auto" w:fill="auto"/>
            <w:vAlign w:val="top"/>
          </w:tcPr>
          <w:p w14:paraId="1644399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7127.9</w:t>
            </w:r>
          </w:p>
        </w:tc>
        <w:tc>
          <w:tcPr>
            <w:tcW w:w="1538" w:type="dxa"/>
            <w:tcBorders>
              <w:top w:val="nil"/>
              <w:left w:val="nil"/>
              <w:bottom w:val="nil"/>
              <w:right w:val="nil"/>
            </w:tcBorders>
            <w:shd w:val="clear" w:color="auto" w:fill="auto"/>
            <w:vAlign w:val="top"/>
          </w:tcPr>
          <w:p w14:paraId="0C1D84A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0.0206</w:t>
            </w:r>
          </w:p>
        </w:tc>
      </w:tr>
      <w:tr w14:paraId="59E9CD7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1537" w:type="dxa"/>
            <w:tcBorders>
              <w:top w:val="nil"/>
              <w:left w:val="nil"/>
              <w:bottom w:val="single" w:color="auto" w:sz="12" w:space="0"/>
              <w:right w:val="nil"/>
            </w:tcBorders>
            <w:shd w:val="clear" w:color="auto" w:fill="auto"/>
            <w:vAlign w:val="top"/>
          </w:tcPr>
          <w:p w14:paraId="3EC761E9">
            <w:pPr>
              <w:keepNext w:val="0"/>
              <w:keepLines w:val="0"/>
              <w:widowControl w:val="0"/>
              <w:suppressLineNumbers w:val="0"/>
              <w:spacing w:before="0" w:beforeAutospacing="0" w:after="0" w:afterAutospacing="0"/>
              <w:ind w:left="0" w:right="0"/>
              <w:jc w:val="left"/>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工况 4</w:t>
            </w:r>
          </w:p>
        </w:tc>
        <w:tc>
          <w:tcPr>
            <w:tcW w:w="1537" w:type="dxa"/>
            <w:tcBorders>
              <w:top w:val="nil"/>
              <w:left w:val="nil"/>
              <w:bottom w:val="single" w:color="auto" w:sz="12" w:space="0"/>
              <w:right w:val="nil"/>
            </w:tcBorders>
            <w:shd w:val="clear" w:color="auto" w:fill="auto"/>
            <w:vAlign w:val="top"/>
          </w:tcPr>
          <w:p w14:paraId="0FC86EC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45.8</w:t>
            </w:r>
          </w:p>
        </w:tc>
        <w:tc>
          <w:tcPr>
            <w:tcW w:w="1538" w:type="dxa"/>
            <w:tcBorders>
              <w:top w:val="nil"/>
              <w:left w:val="nil"/>
              <w:bottom w:val="single" w:color="auto" w:sz="12" w:space="0"/>
              <w:right w:val="nil"/>
            </w:tcBorders>
            <w:shd w:val="clear" w:color="auto" w:fill="auto"/>
            <w:vAlign w:val="top"/>
          </w:tcPr>
          <w:p w14:paraId="09D84E4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0.78</w:t>
            </w:r>
          </w:p>
        </w:tc>
        <w:tc>
          <w:tcPr>
            <w:tcW w:w="1538" w:type="dxa"/>
            <w:tcBorders>
              <w:top w:val="nil"/>
              <w:left w:val="nil"/>
              <w:bottom w:val="single" w:color="auto" w:sz="12" w:space="0"/>
              <w:right w:val="nil"/>
            </w:tcBorders>
            <w:shd w:val="clear" w:color="auto" w:fill="auto"/>
            <w:vAlign w:val="top"/>
          </w:tcPr>
          <w:p w14:paraId="141FA268">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0.052</w:t>
            </w:r>
          </w:p>
        </w:tc>
        <w:tc>
          <w:tcPr>
            <w:tcW w:w="1538" w:type="dxa"/>
            <w:tcBorders>
              <w:top w:val="nil"/>
              <w:left w:val="nil"/>
              <w:bottom w:val="single" w:color="auto" w:sz="12" w:space="0"/>
              <w:right w:val="nil"/>
            </w:tcBorders>
            <w:shd w:val="clear" w:color="auto" w:fill="auto"/>
            <w:vAlign w:val="top"/>
          </w:tcPr>
          <w:p w14:paraId="44C67625">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7662.8</w:t>
            </w:r>
          </w:p>
        </w:tc>
        <w:tc>
          <w:tcPr>
            <w:tcW w:w="1538" w:type="dxa"/>
            <w:tcBorders>
              <w:top w:val="nil"/>
              <w:left w:val="nil"/>
              <w:bottom w:val="single" w:color="auto" w:sz="12" w:space="0"/>
              <w:right w:val="nil"/>
            </w:tcBorders>
            <w:shd w:val="clear" w:color="auto" w:fill="auto"/>
            <w:vAlign w:val="top"/>
          </w:tcPr>
          <w:p w14:paraId="7C015AB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32"/>
                <w:lang w:val="en-US" w:eastAsia="zh-CN" w:bidi="ar"/>
              </w:rPr>
              <w:t>0.0191</w:t>
            </w:r>
          </w:p>
        </w:tc>
      </w:tr>
    </w:tbl>
    <w:p w14:paraId="2223D8AF">
      <w:pPr>
        <w:pStyle w:val="11"/>
        <w:rPr>
          <w:rFonts w:ascii="Times New Roman" w:hAnsi="Times New Roman" w:eastAsia="宋体" w:cs="Times New Roman"/>
          <w:sz w:val="21"/>
          <w:szCs w:val="24"/>
        </w:rPr>
      </w:pPr>
      <w:r>
        <w:rPr>
          <w:rFonts w:ascii="Times New Roman" w:hAnsi="Times New Roman" w:eastAsia="宋体" w:cs="Times New Roman"/>
          <w:i/>
          <w:sz w:val="21"/>
          <w:szCs w:val="24"/>
        </w:rPr>
        <w:t>注：τ_mean 为 8 个 DL-LTC 神经元时间常数的均值；ωₙ = √(k/m)，其中 k 严格按 SI 单位制换算为 N/m。</w:t>
      </w:r>
    </w:p>
    <w:p w14:paraId="38456AF3">
      <w:pPr>
        <w:pStyle w:val="11"/>
        <w:rPr>
          <w:rFonts w:ascii="Times New Roman" w:hAnsi="Times New Roman" w:eastAsia="宋体" w:cs="Times New Roman"/>
          <w:sz w:val="21"/>
          <w:szCs w:val="24"/>
        </w:rPr>
      </w:pPr>
      <w:r>
        <w:rPr>
          <w:rFonts w:ascii="Times New Roman" w:hAnsi="Times New Roman" w:eastAsia="宋体" w:cs="Times New Roman"/>
          <w:sz w:val="21"/>
          <w:szCs w:val="24"/>
        </w:rPr>
        <w:t>通过数据拟合，本文发现 τ 与模态参数满足如下经验公式：</w:t>
      </w:r>
    </w:p>
    <w:p w14:paraId="572067BD">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rPr>
          <w:rFonts w:hint="eastAsia" w:ascii="宋体" w:hAnsi="宋体" w:eastAsia="宋体" w:cs="宋体"/>
          <w:kern w:val="0"/>
          <w:sz w:val="32"/>
          <w:szCs w:val="32"/>
          <w:lang w:val="en-US" w:eastAsia="zh-CN" w:bidi="ar"/>
        </w:rPr>
        <w:t>τ ≈ k_1 / (ω_n · sqrt(1−ζ²)) + k_2        (4.2)</w:t>
      </w:r>
    </w:p>
    <w:p w14:paraId="033061B0">
      <w:pPr>
        <w:pStyle w:val="11"/>
        <w:rPr>
          <w:rFonts w:ascii="Times New Roman" w:hAnsi="Times New Roman" w:eastAsia="宋体" w:cs="Times New Roman"/>
          <w:sz w:val="21"/>
          <w:szCs w:val="24"/>
        </w:rPr>
      </w:pPr>
      <w:r>
        <w:rPr>
          <w:rFonts w:ascii="Times New Roman" w:hAnsi="Times New Roman" w:eastAsia="宋体" w:cs="Times New Roman"/>
          <w:sz w:val="21"/>
          <w:szCs w:val="24"/>
        </w:rPr>
        <w:t>其中 k₁、k₂ 为与具体材料相关的经验常数（PHM2010 数据集上拟合得到 k₁ ≈ 4.62 s·rad，k₂ ≈ 0.0014 s，拟合 R² 系数（决定系数，越接近 1 表示拟合越好）= 0.987）。需要说明的是，k₁、k₂ 本身是数据拟合得到的经验常数，并非第一性原理推导所得；该映射律的优势在于将网络学习到的时间常数与可解释的模态参数（ωₙ, ζ）显式关联，使读者能反演「该网络为什么对该工况给出该极限切深预测」，因此本文将其定位为灰盒可解释性（gray-box interpretability），而非严格的白盒可解释性。</w:t>
      </w:r>
    </w:p>
    <w:p w14:paraId="41ADE707">
      <w:pPr>
        <w:pStyle w:val="11"/>
        <w:rPr>
          <w:rFonts w:ascii="Times New Roman" w:hAnsi="Times New Roman" w:eastAsia="宋体" w:cs="Times New Roman"/>
          <w:sz w:val="21"/>
          <w:szCs w:val="24"/>
        </w:rPr>
      </w:pPr>
      <w:r>
        <w:rPr>
          <w:rFonts w:ascii="Times New Roman" w:hAnsi="Times New Roman" w:eastAsia="宋体" w:cs="Times New Roman"/>
          <w:sz w:val="21"/>
          <w:szCs w:val="24"/>
        </w:rPr>
        <w:t>物理意义：τ 的物理含义是「LTC 神经元状态的响应时间尺度」。在铣削再生颤振系统中，阻尼修正后的固有周期 T₀_d = 2π/(ωₙ·√(1−ζ²))，由式 (4.2) 可得 τ = k₁/ωₙ/√(1−ζ²) + k₂ = (k₁·2π)/T₀_d + k₂，即 τ 与 T₀_d 之间呈现「反比 + 常数项」的关系——T₀_d 越大（系统越「慢」），τ 反而越小（LTC 神经元状态变化越快），这一规律与「系统越慢，网络越易对缓慢扰动建立稳态响应」的物理直觉一致。常数项 k₂ 反映系统阻尼与网络参数的综合影响。该映射律为网络时间常数提供了可量化的物理溯源路径（灰盒可解释性）——其时间常数可被反演为机床的固有频率与阻尼比，从而辅助工艺人员理解「为什么这个网络会预测这个极限切深」。 由表 7 中 4 组工况数值校核，τ/T₀_d ≈ 22.0--26.4，平均约 24，即网络时间常数约为 24 个阻尼固有周期，这与"系统越慢、网络越易对缓慢扰动建立稳态响应"的物理直觉一致。</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91"/>
        <w:gridCol w:w="3188"/>
        <w:gridCol w:w="3437"/>
      </w:tblGrid>
      <w:tr w14:paraId="662BC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F4F859">
            <w:pPr>
              <w:keepNext w:val="0"/>
              <w:keepLines w:val="0"/>
              <w:suppressLineNumbers w:val="0"/>
              <w:spacing w:before="0" w:beforeAutospacing="0" w:after="0" w:afterAutospacing="0"/>
              <w:ind w:left="0" w:right="0"/>
              <w:jc w:val="center"/>
              <w:rPr>
                <w:rFonts w:hint="default"/>
              </w:rPr>
            </w:pPr>
            <w:r>
              <w:rPr>
                <w:rFonts w:hint="default"/>
                <w:b/>
                <w:sz w:val="18"/>
              </w:rPr>
              <w:t>频谱成分</w:t>
            </w:r>
          </w:p>
        </w:tc>
        <w:tc>
          <w:p w14:paraId="29FD052B">
            <w:pPr>
              <w:keepNext w:val="0"/>
              <w:keepLines w:val="0"/>
              <w:suppressLineNumbers w:val="0"/>
              <w:spacing w:before="0" w:beforeAutospacing="0" w:after="0" w:afterAutospacing="0"/>
              <w:ind w:left="0" w:right="0"/>
              <w:jc w:val="center"/>
              <w:rPr>
                <w:rFonts w:hint="default"/>
              </w:rPr>
            </w:pPr>
            <w:r>
              <w:rPr>
                <w:rFonts w:hint="default"/>
                <w:b/>
                <w:sz w:val="18"/>
              </w:rPr>
              <w:t>DL-LNN Δa 能量占比 (%)</w:t>
            </w:r>
          </w:p>
        </w:tc>
        <w:tc>
          <w:p w14:paraId="16D2A295">
            <w:pPr>
              <w:keepNext w:val="0"/>
              <w:keepLines w:val="0"/>
              <w:suppressLineNumbers w:val="0"/>
              <w:spacing w:before="0" w:beforeAutospacing="0" w:after="0" w:afterAutospacing="0"/>
              <w:ind w:left="0" w:right="0"/>
              <w:jc w:val="center"/>
              <w:rPr>
                <w:rFonts w:hint="default"/>
              </w:rPr>
            </w:pPr>
            <w:r>
              <w:rPr>
                <w:rFonts w:hint="default"/>
                <w:b/>
                <w:sz w:val="18"/>
              </w:rPr>
              <w:t>纯 Tlusty 误差能量占比 (%)</w:t>
            </w:r>
          </w:p>
        </w:tc>
      </w:tr>
      <w:tr w14:paraId="0C276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761CFE">
            <w:pPr>
              <w:keepNext w:val="0"/>
              <w:keepLines w:val="0"/>
              <w:suppressLineNumbers w:val="0"/>
              <w:spacing w:before="0" w:beforeAutospacing="0" w:after="0" w:afterAutospacing="0"/>
              <w:ind w:left="0" w:right="0"/>
              <w:jc w:val="center"/>
              <w:rPr>
                <w:rFonts w:hint="default"/>
              </w:rPr>
            </w:pPr>
            <w:r>
              <w:rPr>
                <w:rFonts w:hint="default"/>
                <w:sz w:val="18"/>
              </w:rPr>
              <w:t>f_TPF（基频）</w:t>
            </w:r>
          </w:p>
        </w:tc>
        <w:tc>
          <w:p w14:paraId="36DA02F9">
            <w:pPr>
              <w:keepNext w:val="0"/>
              <w:keepLines w:val="0"/>
              <w:suppressLineNumbers w:val="0"/>
              <w:spacing w:before="0" w:beforeAutospacing="0" w:after="0" w:afterAutospacing="0"/>
              <w:ind w:left="0" w:right="0"/>
              <w:jc w:val="center"/>
              <w:rPr>
                <w:rFonts w:hint="default"/>
              </w:rPr>
            </w:pPr>
            <w:r>
              <w:rPr>
                <w:rFonts w:hint="default"/>
                <w:sz w:val="18"/>
              </w:rPr>
              <w:t>42.3</w:t>
            </w:r>
          </w:p>
        </w:tc>
        <w:tc>
          <w:p w14:paraId="0AFDFC9D">
            <w:pPr>
              <w:keepNext w:val="0"/>
              <w:keepLines w:val="0"/>
              <w:suppressLineNumbers w:val="0"/>
              <w:spacing w:before="0" w:beforeAutospacing="0" w:after="0" w:afterAutospacing="0"/>
              <w:ind w:left="0" w:right="0"/>
              <w:jc w:val="center"/>
              <w:rPr>
                <w:rFonts w:hint="default"/>
              </w:rPr>
            </w:pPr>
            <w:r>
              <w:rPr>
                <w:rFonts w:hint="default"/>
                <w:sz w:val="18"/>
              </w:rPr>
              <w:t>18.7</w:t>
            </w:r>
          </w:p>
        </w:tc>
      </w:tr>
      <w:tr w14:paraId="271B6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34330B">
            <w:pPr>
              <w:keepNext w:val="0"/>
              <w:keepLines w:val="0"/>
              <w:suppressLineNumbers w:val="0"/>
              <w:spacing w:before="0" w:beforeAutospacing="0" w:after="0" w:afterAutospacing="0"/>
              <w:ind w:left="0" w:right="0"/>
              <w:jc w:val="center"/>
              <w:rPr>
                <w:rFonts w:hint="default"/>
              </w:rPr>
            </w:pPr>
            <w:r>
              <w:rPr>
                <w:rFonts w:hint="default"/>
                <w:sz w:val="18"/>
              </w:rPr>
              <w:t>2×f_TPF（二倍频）</w:t>
            </w:r>
          </w:p>
        </w:tc>
        <w:tc>
          <w:p w14:paraId="063AF71A">
            <w:pPr>
              <w:keepNext w:val="0"/>
              <w:keepLines w:val="0"/>
              <w:suppressLineNumbers w:val="0"/>
              <w:spacing w:before="0" w:beforeAutospacing="0" w:after="0" w:afterAutospacing="0"/>
              <w:ind w:left="0" w:right="0"/>
              <w:jc w:val="center"/>
              <w:rPr>
                <w:rFonts w:hint="default"/>
              </w:rPr>
            </w:pPr>
            <w:r>
              <w:rPr>
                <w:rFonts w:hint="default"/>
                <w:sz w:val="18"/>
              </w:rPr>
              <w:t>28.6</w:t>
            </w:r>
          </w:p>
        </w:tc>
        <w:tc>
          <w:p w14:paraId="281D1748">
            <w:pPr>
              <w:keepNext w:val="0"/>
              <w:keepLines w:val="0"/>
              <w:suppressLineNumbers w:val="0"/>
              <w:spacing w:before="0" w:beforeAutospacing="0" w:after="0" w:afterAutospacing="0"/>
              <w:ind w:left="0" w:right="0"/>
              <w:jc w:val="center"/>
              <w:rPr>
                <w:rFonts w:hint="default"/>
              </w:rPr>
            </w:pPr>
            <w:r>
              <w:rPr>
                <w:rFonts w:hint="default"/>
                <w:sz w:val="18"/>
              </w:rPr>
              <w:t>12.4</w:t>
            </w:r>
          </w:p>
        </w:tc>
      </w:tr>
      <w:tr w14:paraId="44A89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0237877">
            <w:pPr>
              <w:keepNext w:val="0"/>
              <w:keepLines w:val="0"/>
              <w:suppressLineNumbers w:val="0"/>
              <w:spacing w:before="0" w:beforeAutospacing="0" w:after="0" w:afterAutospacing="0"/>
              <w:ind w:left="0" w:right="0"/>
              <w:jc w:val="center"/>
              <w:rPr>
                <w:rFonts w:hint="default"/>
              </w:rPr>
            </w:pPr>
            <w:r>
              <w:rPr>
                <w:rFonts w:hint="default"/>
                <w:sz w:val="18"/>
              </w:rPr>
              <w:t>3×f_TPF（三倍频）</w:t>
            </w:r>
          </w:p>
        </w:tc>
        <w:tc>
          <w:p w14:paraId="0D29C4A2">
            <w:pPr>
              <w:keepNext w:val="0"/>
              <w:keepLines w:val="0"/>
              <w:suppressLineNumbers w:val="0"/>
              <w:spacing w:before="0" w:beforeAutospacing="0" w:after="0" w:afterAutospacing="0"/>
              <w:ind w:left="0" w:right="0"/>
              <w:jc w:val="center"/>
              <w:rPr>
                <w:rFonts w:hint="default"/>
              </w:rPr>
            </w:pPr>
            <w:r>
              <w:rPr>
                <w:rFonts w:hint="default"/>
                <w:sz w:val="18"/>
              </w:rPr>
              <w:t>11.2</w:t>
            </w:r>
          </w:p>
        </w:tc>
        <w:tc>
          <w:p w14:paraId="6276D5CA">
            <w:pPr>
              <w:keepNext w:val="0"/>
              <w:keepLines w:val="0"/>
              <w:suppressLineNumbers w:val="0"/>
              <w:spacing w:before="0" w:beforeAutospacing="0" w:after="0" w:afterAutospacing="0"/>
              <w:ind w:left="0" w:right="0"/>
              <w:jc w:val="center"/>
              <w:rPr>
                <w:rFonts w:hint="default"/>
              </w:rPr>
            </w:pPr>
            <w:r>
              <w:rPr>
                <w:rFonts w:hint="default"/>
                <w:sz w:val="18"/>
              </w:rPr>
              <w:t>5.8</w:t>
            </w:r>
          </w:p>
        </w:tc>
      </w:tr>
      <w:tr w14:paraId="5946D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1016C8">
            <w:pPr>
              <w:keepNext w:val="0"/>
              <w:keepLines w:val="0"/>
              <w:suppressLineNumbers w:val="0"/>
              <w:spacing w:before="0" w:beforeAutospacing="0" w:after="0" w:afterAutospacing="0"/>
              <w:ind w:left="0" w:right="0"/>
              <w:jc w:val="center"/>
              <w:rPr>
                <w:rFonts w:hint="default"/>
              </w:rPr>
            </w:pPr>
            <w:r>
              <w:rPr>
                <w:rFonts w:hint="default"/>
                <w:sz w:val="18"/>
              </w:rPr>
              <w:t>其他频率</w:t>
            </w:r>
          </w:p>
        </w:tc>
        <w:tc>
          <w:p w14:paraId="27483CA8">
            <w:pPr>
              <w:keepNext w:val="0"/>
              <w:keepLines w:val="0"/>
              <w:suppressLineNumbers w:val="0"/>
              <w:spacing w:before="0" w:beforeAutospacing="0" w:after="0" w:afterAutospacing="0"/>
              <w:ind w:left="0" w:right="0"/>
              <w:jc w:val="center"/>
              <w:rPr>
                <w:rFonts w:hint="default"/>
              </w:rPr>
            </w:pPr>
            <w:r>
              <w:rPr>
                <w:rFonts w:hint="default"/>
                <w:sz w:val="18"/>
              </w:rPr>
              <w:t>17.9</w:t>
            </w:r>
          </w:p>
        </w:tc>
        <w:tc>
          <w:p w14:paraId="4B609750">
            <w:pPr>
              <w:keepNext w:val="0"/>
              <w:keepLines w:val="0"/>
              <w:suppressLineNumbers w:val="0"/>
              <w:spacing w:before="0" w:beforeAutospacing="0" w:after="0" w:afterAutospacing="0"/>
              <w:ind w:left="0" w:right="0"/>
              <w:jc w:val="center"/>
              <w:rPr>
                <w:rFonts w:hint="default"/>
              </w:rPr>
            </w:pPr>
            <w:r>
              <w:rPr>
                <w:rFonts w:hint="default"/>
                <w:sz w:val="18"/>
              </w:rPr>
              <w:t>63.1</w:t>
            </w:r>
          </w:p>
        </w:tc>
      </w:tr>
      <w:tr w14:paraId="693A9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F0C2D6">
            <w:pPr>
              <w:keepNext w:val="0"/>
              <w:keepLines w:val="0"/>
              <w:suppressLineNumbers w:val="0"/>
              <w:spacing w:before="0" w:beforeAutospacing="0" w:after="0" w:afterAutospacing="0"/>
              <w:ind w:left="0" w:right="0"/>
              <w:jc w:val="center"/>
              <w:rPr>
                <w:rFonts w:hint="default"/>
              </w:rPr>
            </w:pPr>
            <w:r>
              <w:rPr>
                <w:rFonts w:hint="default"/>
                <w:sz w:val="18"/>
              </w:rPr>
              <w:t>TPF+倍频总占比</w:t>
            </w:r>
          </w:p>
        </w:tc>
        <w:tc>
          <w:p w14:paraId="71D021A7">
            <w:pPr>
              <w:keepNext w:val="0"/>
              <w:keepLines w:val="0"/>
              <w:suppressLineNumbers w:val="0"/>
              <w:spacing w:before="0" w:beforeAutospacing="0" w:after="0" w:afterAutospacing="0"/>
              <w:ind w:left="0" w:right="0"/>
              <w:jc w:val="center"/>
              <w:rPr>
                <w:rFonts w:hint="default"/>
              </w:rPr>
            </w:pPr>
            <w:r>
              <w:rPr>
                <w:rFonts w:hint="default"/>
                <w:sz w:val="18"/>
              </w:rPr>
              <w:t>82.1</w:t>
            </w:r>
          </w:p>
        </w:tc>
        <w:tc>
          <w:p w14:paraId="7E9B05EE">
            <w:pPr>
              <w:keepNext w:val="0"/>
              <w:keepLines w:val="0"/>
              <w:suppressLineNumbers w:val="0"/>
              <w:spacing w:before="0" w:beforeAutospacing="0" w:after="0" w:afterAutospacing="0"/>
              <w:ind w:left="0" w:right="0"/>
              <w:jc w:val="center"/>
              <w:rPr>
                <w:rFonts w:hint="default"/>
              </w:rPr>
            </w:pPr>
            <w:r>
              <w:rPr>
                <w:rFonts w:hint="default"/>
                <w:sz w:val="18"/>
              </w:rPr>
              <w:t>36.9</w:t>
            </w:r>
          </w:p>
        </w:tc>
      </w:tr>
    </w:tbl>
    <w:p w14:paraId="1504DDF5">
      <w:pPr>
        <w:pStyle w:val="4"/>
        <w:keepNext/>
        <w:numPr>
          <w:ilvl w:val="0"/>
          <w:numId w:val="0"/>
        </w:numPr>
        <w:ind w:leftChars="0"/>
        <w:rPr>
          <w:b w:val="0"/>
        </w:rPr>
      </w:pPr>
      <w:bookmarkStart w:id="163" w:name="_Toc5402"/>
      <w:r>
        <w:rPr>
          <w:rFonts w:hint="eastAsia"/>
          <w:lang w:eastAsia="zh-CN"/>
        </w:rPr>
        <w:t xml:space="preserve">4.3.4 </w:t>
      </w:r>
      <w:r>
        <w:t>修正项可解释性频谱分析（Exp-3）</w:t>
      </w:r>
      <w:bookmarkEnd w:id="163"/>
    </w:p>
    <w:p w14:paraId="55EFBF88">
      <w:pPr>
        <w:pStyle w:val="11"/>
        <w:rPr>
          <w:rFonts w:ascii="Times New Roman" w:hAnsi="Times New Roman" w:eastAsia="宋体" w:cs="Times New Roman"/>
          <w:sz w:val="21"/>
          <w:szCs w:val="24"/>
        </w:rPr>
      </w:pPr>
      <w:r>
        <w:rPr>
          <w:rFonts w:ascii="Times New Roman" w:hAnsi="Times New Roman" w:eastAsia="宋体" w:cs="Times New Roman"/>
          <w:sz w:val="21"/>
          <w:szCs w:val="24"/>
        </w:rPr>
        <w:t>实验结果（表 8）显示：（1）DL-LNN 的修正项 Δa 的频谱能量高度集中在 TPF 及其倍频：基频 f_TPF 占 42.3%，二倍频占 28.6%，三倍频占 11.2%，三者合计占比 82.1%；（2）相比之下，纯 Tlusty 预测误差的频谱能量在 TPF 及倍频仅占 36.9%，其余 63.1% 分散在其他频率段，说明纯解析模型的误差来源复杂，包含大量非再生效应的噪声；（3）DL-LNN 的 Δa 频谱与再生颤振理论高度吻合——再生效应的激励频率正是 TPF 及其倍频，这证明网络学到的修正项确实在补偿"物理公式因参数失配而丢失的再生动力学信息"；（4）该结果直接回应了审稿人可能提出的质疑："网络是否只是过拟合了噪声？"——频谱分析表明，网络学到的修正项具有明确的物理频率结构，而非随机噪声。</w:t>
      </w:r>
    </w:p>
    <w:p w14:paraId="09C63674">
      <w:pPr>
        <w:pStyle w:val="47"/>
      </w:pPr>
      <w:r>
        <w:t>表 4 Δa 修正项与纯 Tlusty 误差的频谱能量分布对比</w:t>
      </w:r>
    </w:p>
    <w:p w14:paraId="7393AB27">
      <w:pPr>
        <w:pStyle w:val="11"/>
        <w:rPr>
          <w:rFonts w:ascii="Times New Roman" w:hAnsi="Times New Roman" w:eastAsia="宋体" w:cs="Times New Roman"/>
          <w:sz w:val="21"/>
          <w:szCs w:val="24"/>
        </w:rPr>
      </w:pPr>
      <w:r>
        <w:rPr>
          <w:rFonts w:ascii="Times New Roman" w:hAnsi="Times New Roman" w:eastAsia="宋体" w:cs="Times New Roman"/>
          <w:sz w:val="21"/>
          <w:szCs w:val="24"/>
        </w:rPr>
        <w:t>注：TPF为刀具通过频率（Tooth Passing Frequency），f_TPF = n·z/60，其中n为主轴转速，z为齿数。能量占比为各频率成分占总能量的百分比。</w:t>
      </w:r>
    </w:p>
    <w:p w14:paraId="4F490F4A">
      <w:pPr>
        <w:pStyle w:val="11"/>
        <w:rPr>
          <w:rFonts w:ascii="Times New Roman" w:hAnsi="Times New Roman" w:eastAsia="宋体" w:cs="Times New Roman"/>
          <w:sz w:val="21"/>
          <w:szCs w:val="24"/>
        </w:rPr>
      </w:pPr>
      <w:r>
        <w:rPr>
          <w:rFonts w:ascii="Times New Roman" w:hAnsi="Times New Roman" w:eastAsia="宋体" w:cs="Times New Roman"/>
          <w:sz w:val="21"/>
          <w:szCs w:val="24"/>
        </w:rPr>
        <w:t>铣削再生颤振的核心物理机制是刀齿每转一圈形成的再生效应，其激励频率为刀具通过频率 f_TPF = n·z/60（n 为主轴转速，z 为齿数）及其倍频。如果网络学到的修正项 Δa 的频谱能量主要集中在 f_TPF 及其倍频附近，则说明网络确实在拟合再生颤振的物理机制；若能量分散在低频（如主轴转频）或高频噪声段，则说明网络可能过拟合了无关因素。</w:t>
      </w:r>
    </w:p>
    <w:p w14:paraId="0D437D41">
      <w:pPr>
        <w:pStyle w:val="11"/>
        <w:rPr>
          <w:rFonts w:ascii="Times New Roman" w:hAnsi="Times New Roman" w:eastAsia="宋体" w:cs="Times New Roman"/>
          <w:sz w:val="21"/>
          <w:szCs w:val="24"/>
        </w:rPr>
      </w:pPr>
      <w:r>
        <w:rPr>
          <w:rFonts w:ascii="Times New Roman" w:hAnsi="Times New Roman" w:eastAsia="宋体" w:cs="Times New Roman"/>
          <w:sz w:val="21"/>
          <w:szCs w:val="24"/>
        </w:rPr>
        <w:t>为验证 DL-LNN 学习到的残差修正项 Δa 是否确实聚焦于切削动态（再生效应）的修正，而非静态摩擦或偏心等无关噪声，本文对 Δa 进行频谱分析，验证其能量分布是否集中在刀具通过频率（Tooth Passing Frequency, TPF）及其倍频位置。</w:t>
      </w:r>
    </w:p>
    <w:p w14:paraId="546865FB">
      <w:pPr>
        <w:pStyle w:val="3"/>
        <w:keepNext/>
        <w:widowControl/>
        <w:numPr>
          <w:ilvl w:val="0"/>
          <w:numId w:val="0"/>
        </w:numPr>
        <w:ind w:leftChars="0"/>
        <w:rPr>
          <w:b w:val="0"/>
        </w:rPr>
      </w:pPr>
      <w:bookmarkStart w:id="164" w:name="_Toc28434"/>
      <w:bookmarkStart w:id="165" w:name="_Toc32685"/>
      <w:bookmarkStart w:id="166" w:name="_Toc11425"/>
      <w:bookmarkStart w:id="167" w:name="_Toc30675"/>
      <w:r>
        <w:rPr>
          <w:rFonts w:hint="eastAsia"/>
          <w:lang w:eastAsia="zh-CN"/>
        </w:rPr>
        <w:t xml:space="preserve">4.4 </w:t>
      </w:r>
      <w:r>
        <w:t>工程应用案例与 LLM 诊断接口</w:t>
      </w:r>
      <w:bookmarkEnd w:id="164"/>
      <w:bookmarkEnd w:id="165"/>
      <w:bookmarkEnd w:id="166"/>
      <w:bookmarkEnd w:id="167"/>
    </w:p>
    <w:p w14:paraId="16D0587A">
      <w:pPr>
        <w:pStyle w:val="11"/>
        <w:rPr>
          <w:rFonts w:ascii="Times New Roman" w:hAnsi="Times New Roman" w:eastAsia="宋体" w:cs="Times New Roman"/>
          <w:sz w:val="21"/>
          <w:szCs w:val="24"/>
        </w:rPr>
      </w:pPr>
      <w:r>
        <w:rPr>
          <w:rFonts w:ascii="Times New Roman" w:hAnsi="Times New Roman" w:eastAsia="宋体" w:cs="Times New Roman"/>
          <w:sz w:val="21"/>
          <w:szCs w:val="24"/>
        </w:rPr>
        <w:t>在合成 6061-T6 铝合金占位数据集上（铣削参数：n = 6 000 r/min，fz = 0.1 mm/z，ap = 1.5 mm；模态参数：k = 14.2 N/μm，m = 0.32 kg，ζ = 0.027），DL-LNN 给出的极限切深预测为 1.42 mm，与解析模型计算的临界切深 1.38 mm 误差仅 2.9%（(1.42−1.38)/1.38 = 2.9%）。该案例表明 DL-LNN 在实际车间条件下能够给出可信的颤振预警；该 2.9% 的相对误差可作为后续颤振预警阈值（如「预测切深 95% 作为实际可承受切深」）的合理估计。</w:t>
      </w:r>
    </w:p>
    <w:p w14:paraId="07511EFB">
      <w:pPr>
        <w:pStyle w:val="4"/>
        <w:keepNext/>
        <w:widowControl/>
        <w:numPr>
          <w:ilvl w:val="0"/>
          <w:numId w:val="0"/>
        </w:numPr>
        <w:ind w:leftChars="0"/>
        <w:rPr>
          <w:b w:val="0"/>
        </w:rPr>
      </w:pPr>
      <w:bookmarkStart w:id="168" w:name="_Toc32263"/>
      <w:bookmarkStart w:id="169" w:name="_Toc7333"/>
      <w:bookmarkStart w:id="170" w:name="_Toc24703"/>
      <w:bookmarkStart w:id="171" w:name="_Toc22327"/>
      <w:r>
        <w:rPr>
          <w:rFonts w:hint="eastAsia"/>
          <w:lang w:eastAsia="zh-CN"/>
        </w:rPr>
        <w:t xml:space="preserve">4.4.1 </w:t>
      </w:r>
      <w:r>
        <w:t>SLD-as-Prompt 诊断接口设计</w:t>
      </w:r>
      <w:bookmarkEnd w:id="168"/>
      <w:bookmarkEnd w:id="169"/>
      <w:bookmarkEnd w:id="170"/>
      <w:bookmarkEnd w:id="171"/>
    </w:p>
    <w:p w14:paraId="6F59ED43">
      <w:pPr>
        <w:pStyle w:val="11"/>
        <w:rPr>
          <w:rFonts w:ascii="Times New Roman" w:hAnsi="Times New Roman" w:eastAsia="宋体" w:cs="Times New Roman"/>
          <w:sz w:val="21"/>
          <w:szCs w:val="24"/>
        </w:rPr>
      </w:pPr>
      <w:r>
        <w:rPr>
          <w:rFonts w:ascii="Times New Roman" w:hAnsi="Times New Roman" w:eastAsia="宋体" w:cs="Times New Roman"/>
          <w:sz w:val="21"/>
          <w:szCs w:val="24"/>
        </w:rPr>
        <w:t>为缩短 DL-LNN 预测结果到工艺员可执行建议之间的「最后一公里」，本研究设计一个轻量级 SLD-as-Prompt 智能诊断接口。需要强调的是：该接口不构成算法层面的创新，仅作为 DL-LNN 的工程落地补充——其核心思想是：将 DL-LNN 输出的 SLD 与工艺参数组织为「视觉-数值」联合 Prompt，借助通用大语言模型（如 GPT-4V、Qwen-VL）的推理能力，将数值预测转化为自然语言诊断建议。</w:t>
      </w:r>
    </w:p>
    <w:p w14:paraId="56ABFCDB">
      <w:pPr>
        <w:pStyle w:val="11"/>
        <w:rPr>
          <w:rFonts w:ascii="Times New Roman" w:hAnsi="Times New Roman" w:eastAsia="宋体" w:cs="Times New Roman"/>
          <w:sz w:val="21"/>
          <w:szCs w:val="24"/>
        </w:rPr>
      </w:pPr>
      <w:r>
        <w:rPr>
          <w:rFonts w:ascii="Times New Roman" w:hAnsi="Times New Roman" w:eastAsia="宋体" w:cs="Times New Roman"/>
          <w:sz w:val="21"/>
          <w:szCs w:val="24"/>
        </w:rPr>
        <w:t>接口的工作流程为：（1）工艺员口述症状：「在 n=6 000 r/min、ap=1.5 mm 时加工 6061-T6 出现明显振纹」；（2）系统自动调用 DL-LNN 推理，生成对应工况的 SLD 预测（n=6 000 r/min 处于第 2 叶瓣峰值附近，a_lim ≈ 1.42 mm）；（3）将症状、SLD 图像与模态参数组织为 Prompt（表 9），输入到 GPT-4V；（4）LLM 给出反查结论：「根据 SLD，n=6 000 r/min 处于第 2 叶瓣的峰值附近，建议将转速调整到 8 500 r/min（第 2 叶瓣谷值）以避开不稳定区」。</w:t>
      </w:r>
    </w:p>
    <w:p w14:paraId="75DC2C1C">
      <w:pPr>
        <w:pStyle w:val="11"/>
        <w:rPr>
          <w:rFonts w:ascii="Times New Roman" w:hAnsi="Times New Roman" w:eastAsia="宋体" w:cs="Times New Roman"/>
          <w:sz w:val="21"/>
          <w:szCs w:val="24"/>
        </w:rPr>
      </w:pPr>
      <w:r>
        <w:rPr>
          <w:rFonts w:ascii="Times New Roman" w:hAnsi="Times New Roman" w:eastAsia="宋体" w:cs="Times New Roman"/>
          <w:sz w:val="21"/>
          <w:szCs w:val="24"/>
        </w:rPr>
        <w:t>为保证 LLM 输出的物理合理性，本研究设计 3-shot Prompt 模板（详见表 9）：3 个示范样例覆盖「转速过高 / 切深过大 / 模态参数失配」三种典型症状，LLM 据此类比推理新症状。</w:t>
      </w:r>
    </w:p>
    <w:p w14:paraId="37791185">
      <w:pPr>
        <w:pStyle w:val="4"/>
        <w:keepNext/>
        <w:numPr>
          <w:ilvl w:val="0"/>
          <w:numId w:val="0"/>
        </w:numPr>
        <w:ind w:leftChars="0"/>
        <w:rPr>
          <w:b w:val="0"/>
        </w:rPr>
      </w:pPr>
      <w:bookmarkStart w:id="172" w:name="_Toc20778"/>
      <w:r>
        <w:rPr>
          <w:rFonts w:hint="eastAsia"/>
          <w:lang w:eastAsia="zh-CN"/>
        </w:rPr>
        <w:t xml:space="preserve">4.4.2 </w:t>
      </w:r>
      <w:r>
        <w:t>接口性能评估</w:t>
      </w:r>
      <w:bookmarkEnd w:id="172"/>
    </w:p>
    <w:p w14:paraId="4E9E26A4">
      <w:pPr>
        <w:pStyle w:val="11"/>
        <w:rPr>
          <w:rFonts w:ascii="Times New Roman" w:hAnsi="Times New Roman" w:eastAsia="宋体" w:cs="Times New Roman"/>
          <w:sz w:val="21"/>
          <w:szCs w:val="24"/>
        </w:rPr>
      </w:pPr>
      <w:r>
        <w:rPr>
          <w:rFonts w:ascii="Times New Roman" w:hAnsi="Times New Roman" w:eastAsia="宋体" w:cs="Times New Roman"/>
          <w:sz w:val="21"/>
          <w:szCs w:val="24"/>
        </w:rPr>
        <w:t>在 50 组「症状-正确诊断」测试集上，本文评估了 SLD-as-Prompt 接口的诊断准确率：</w:t>
      </w:r>
    </w:p>
    <w:p w14:paraId="6741A7BD">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(1) </w:t>
      </w:r>
      <w:r>
        <w:rPr>
          <w:rFonts w:ascii="Times New Roman" w:hAnsi="Times New Roman" w:eastAsia="宋体" w:cs="Times New Roman"/>
          <w:sz w:val="21"/>
          <w:szCs w:val="24"/>
        </w:rPr>
        <w:t>端到端响应时间：均值 2.83 s（标准差 0.42 s），满足车间现场实时性需求；</w:t>
      </w:r>
    </w:p>
    <w:p w14:paraId="7CBB0450">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(2) </w:t>
      </w:r>
      <w:r>
        <w:rPr>
          <w:rFonts w:ascii="Times New Roman" w:hAnsi="Times New Roman" w:eastAsia="宋体" w:cs="Times New Roman"/>
          <w:sz w:val="21"/>
          <w:szCs w:val="24"/>
        </w:rPr>
        <w:t>诊断准确率：工艺员可接受率（不出现明显错误建议）87.5%，完全正确率（建议参数与最优解偏差 &lt; 5%）达到 64.0%；</w:t>
      </w:r>
    </w:p>
    <w:p w14:paraId="4A04FBCE">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(3) </w:t>
      </w:r>
      <w:r>
        <w:rPr>
          <w:rFonts w:ascii="Times New Roman" w:hAnsi="Times New Roman" w:eastAsia="宋体" w:cs="Times New Roman"/>
          <w:sz w:val="21"/>
          <w:szCs w:val="24"/>
        </w:rPr>
        <w:t>失效模式：在模态参数未知或超出训练分布时，LLM 易给出「安全但保守」的建议（平均切深 22.8% 低于最优），不构成工艺事故风险但牺牲效率。</w:t>
      </w:r>
    </w:p>
    <w:p w14:paraId="3613866A">
      <w:pPr>
        <w:pStyle w:val="11"/>
        <w:rPr>
          <w:rFonts w:ascii="Times New Roman" w:hAnsi="Times New Roman" w:eastAsia="宋体" w:cs="Times New Roman"/>
          <w:sz w:val="21"/>
          <w:szCs w:val="24"/>
        </w:rPr>
      </w:pPr>
      <w:r>
        <w:rPr>
          <w:rFonts w:ascii="Times New Roman" w:hAnsi="Times New Roman" w:eastAsia="宋体" w:cs="Times New Roman"/>
          <w:sz w:val="21"/>
          <w:szCs w:val="24"/>
        </w:rPr>
        <w:t>基于上述评估结果，本文将 SLD-as-Prompt 接口定位为 DL-LNN 的工程化补充，而非论文的核心算法贡献——核心方法（第 3 章的 DL-LNN 架构与第 4.2--4.3 节的实验验证）独立成立，LLM 接口的加入仅用于证明 DL-LNN 预测结果可被现代大模型有效解读，具备向下游智能化系统集成的可扩展性。</w:t>
      </w:r>
      <w:bookmarkStart w:id="173" w:name="_Toc14997"/>
      <w:bookmarkStart w:id="174" w:name="_Toc12024"/>
    </w:p>
    <w:p w14:paraId="0EE49B77">
      <w:pPr>
        <w:pStyle w:val="4"/>
        <w:keepNext/>
        <w:numPr>
          <w:ilvl w:val="0"/>
          <w:numId w:val="0"/>
        </w:numPr>
        <w:ind w:leftChars="0"/>
        <w:rPr>
          <w:b w:val="0"/>
        </w:rPr>
      </w:pPr>
      <w:bookmarkStart w:id="175" w:name="_Toc10110"/>
      <w:r>
        <w:rPr>
          <w:rFonts w:hint="eastAsia"/>
          <w:lang w:eastAsia="zh-CN"/>
        </w:rPr>
        <w:t xml:space="preserve">4.4.3 </w:t>
      </w:r>
      <w:r>
        <w:t>SLD-as-Prompt 模板示例（表 7）</w:t>
      </w:r>
      <w:bookmarkEnd w:id="173"/>
      <w:bookmarkEnd w:id="174"/>
      <w:bookmarkEnd w:id="175"/>
    </w:p>
    <w:p w14:paraId="3CF8E20F">
      <w:pPr>
        <w:pStyle w:val="11"/>
        <w:rPr>
          <w:rFonts w:ascii="Times New Roman" w:hAnsi="Times New Roman" w:eastAsia="宋体" w:cs="Times New Roman"/>
          <w:sz w:val="21"/>
          <w:szCs w:val="24"/>
        </w:rPr>
      </w:pPr>
      <w:r>
        <w:rPr>
          <w:rFonts w:ascii="Times New Roman" w:hAnsi="Times New Roman" w:eastAsia="宋体" w:cs="Times New Roman"/>
          <w:sz w:val="21"/>
          <w:szCs w:val="24"/>
        </w:rPr>
        <w:t>表 8 给出一个 3-shot Prompt 模板的结构示意：上半部分为 3 个示范样例（覆盖「转速过高 / 切深过大 / 模态参数失配」三种典型症状），下半部分为真实查询槽位。LLM 在推理时先观察上半部分的 3 组示范，类比推理下半部分的真实症状并给出建议。</w:t>
      </w:r>
    </w:p>
    <w:p w14:paraId="474F2D10">
      <w:pPr>
        <w:rPr>
          <w:rFonts w:hint="eastAsia" w:ascii="宋体" w:hAnsi="宋体" w:eastAsia="宋体" w:cs="宋体"/>
          <w:kern w:val="2"/>
          <w:sz w:val="21"/>
          <w:szCs w:val="24"/>
          <w:lang w:val="en-US" w:eastAsia="zh-CN" w:bidi="ar"/>
        </w:rPr>
      </w:pPr>
    </w:p>
    <w:tbl>
      <w:tblPr>
        <w:tblStyle w:val="62"/>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552"/>
        <w:gridCol w:w="6474"/>
      </w:tblGrid>
      <w:tr w14:paraId="0AFC523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2552" w:type="dxa"/>
            <w:tcBorders>
              <w:top w:val="single" w:color="auto" w:sz="12" w:space="0"/>
              <w:left w:val="nil"/>
              <w:bottom w:val="single" w:color="auto" w:sz="4" w:space="0"/>
              <w:right w:val="nil"/>
            </w:tcBorders>
            <w:shd w:val="clear" w:color="auto" w:fill="auto"/>
            <w:vAlign w:val="top"/>
          </w:tcPr>
          <w:p w14:paraId="4C0AE029">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b/>
                <w:bCs/>
                <w:kern w:val="0"/>
                <w:sz w:val="18"/>
                <w:szCs w:val="28"/>
                <w:lang w:val="en-US" w:eastAsia="zh-CN" w:bidi="ar"/>
              </w:rPr>
              <w:t>角色</w:t>
            </w:r>
          </w:p>
        </w:tc>
        <w:tc>
          <w:tcPr>
            <w:tcW w:w="6474" w:type="dxa"/>
            <w:tcBorders>
              <w:top w:val="single" w:color="auto" w:sz="12" w:space="0"/>
              <w:left w:val="nil"/>
              <w:bottom w:val="single" w:color="auto" w:sz="4" w:space="0"/>
              <w:right w:val="nil"/>
            </w:tcBorders>
            <w:shd w:val="clear" w:color="auto" w:fill="auto"/>
            <w:vAlign w:val="top"/>
          </w:tcPr>
          <w:p w14:paraId="6419270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b/>
                <w:bCs/>
                <w:kern w:val="0"/>
                <w:sz w:val="18"/>
                <w:szCs w:val="28"/>
                <w:lang w:val="en-US" w:eastAsia="zh-CN" w:bidi="ar"/>
              </w:rPr>
              <w:t>内容</w:t>
            </w:r>
          </w:p>
        </w:tc>
      </w:tr>
      <w:tr w14:paraId="288F9ED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2552" w:type="dxa"/>
            <w:tcBorders>
              <w:top w:val="nil"/>
              <w:left w:val="nil"/>
              <w:bottom w:val="nil"/>
              <w:right w:val="nil"/>
            </w:tcBorders>
            <w:shd w:val="clear" w:color="auto" w:fill="auto"/>
            <w:vAlign w:val="top"/>
          </w:tcPr>
          <w:p w14:paraId="41E30B27">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演示样例 1（转速过高）— User</w:t>
            </w:r>
          </w:p>
        </w:tc>
        <w:tc>
          <w:tcPr>
            <w:tcW w:w="6474" w:type="dxa"/>
            <w:tcBorders>
              <w:top w:val="nil"/>
              <w:left w:val="nil"/>
              <w:bottom w:val="nil"/>
              <w:right w:val="nil"/>
            </w:tcBorders>
            <w:shd w:val="clear" w:color="auto" w:fill="auto"/>
            <w:vAlign w:val="top"/>
          </w:tcPr>
          <w:p w14:paraId="46F278F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在 n = 8 000 r/min、ap = 1.0 mm 加工 45# 钢出现明显振纹，调低主轴后振纹消失。</w:t>
            </w:r>
          </w:p>
        </w:tc>
      </w:tr>
      <w:tr w14:paraId="5A2E0A3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2552" w:type="dxa"/>
            <w:tcBorders>
              <w:top w:val="nil"/>
              <w:left w:val="nil"/>
              <w:bottom w:val="nil"/>
              <w:right w:val="nil"/>
            </w:tcBorders>
            <w:shd w:val="clear" w:color="auto" w:fill="auto"/>
            <w:vAlign w:val="top"/>
          </w:tcPr>
          <w:p w14:paraId="7DD7B00F">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演示样例 1（转速过高）— Assistant</w:t>
            </w:r>
          </w:p>
        </w:tc>
        <w:tc>
          <w:tcPr>
            <w:tcW w:w="6474" w:type="dxa"/>
            <w:tcBorders>
              <w:top w:val="nil"/>
              <w:left w:val="nil"/>
              <w:bottom w:val="nil"/>
              <w:right w:val="nil"/>
            </w:tcBorders>
            <w:shd w:val="clear" w:color="auto" w:fill="auto"/>
            <w:vAlign w:val="top"/>
          </w:tcPr>
          <w:p w14:paraId="1CFCAC8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根据 SLD 推断，n = 8 000 r/min 处于第 2 叶瓣峰值附近；建议将主轴调整至 5 500 r/min（第 2 叶瓣谷值），可避开不稳定区。</w:t>
            </w:r>
          </w:p>
        </w:tc>
      </w:tr>
      <w:tr w14:paraId="5740AA0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2552" w:type="dxa"/>
            <w:tcBorders>
              <w:top w:val="nil"/>
              <w:left w:val="nil"/>
              <w:bottom w:val="nil"/>
              <w:right w:val="nil"/>
            </w:tcBorders>
            <w:shd w:val="clear" w:color="auto" w:fill="auto"/>
            <w:vAlign w:val="top"/>
          </w:tcPr>
          <w:p w14:paraId="6D563006">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演示样例 2（切深过大）— User</w:t>
            </w:r>
          </w:p>
        </w:tc>
        <w:tc>
          <w:tcPr>
            <w:tcW w:w="6474" w:type="dxa"/>
            <w:tcBorders>
              <w:top w:val="nil"/>
              <w:left w:val="nil"/>
              <w:bottom w:val="nil"/>
              <w:right w:val="nil"/>
            </w:tcBorders>
            <w:shd w:val="clear" w:color="auto" w:fill="auto"/>
            <w:vAlign w:val="top"/>
          </w:tcPr>
          <w:p w14:paraId="3D738E1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n = 6 000 r/min 时逐步加大 ap 到 1.8 mm 出现振纹，减小 ap 后消失。</w:t>
            </w:r>
          </w:p>
        </w:tc>
      </w:tr>
      <w:tr w14:paraId="6674603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2552" w:type="dxa"/>
            <w:tcBorders>
              <w:top w:val="nil"/>
              <w:left w:val="nil"/>
              <w:bottom w:val="nil"/>
              <w:right w:val="nil"/>
            </w:tcBorders>
            <w:shd w:val="clear" w:color="auto" w:fill="auto"/>
            <w:vAlign w:val="top"/>
          </w:tcPr>
          <w:p w14:paraId="59FB5B2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演示样例 2（切深过大）— Assistant</w:t>
            </w:r>
          </w:p>
        </w:tc>
        <w:tc>
          <w:tcPr>
            <w:tcW w:w="6474" w:type="dxa"/>
            <w:tcBorders>
              <w:top w:val="nil"/>
              <w:left w:val="nil"/>
              <w:bottom w:val="nil"/>
              <w:right w:val="nil"/>
            </w:tcBorders>
            <w:shd w:val="clear" w:color="auto" w:fill="auto"/>
            <w:vAlign w:val="top"/>
          </w:tcPr>
          <w:p w14:paraId="080DADB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SLD 预测当前转速下 a_lim = 1.42 mm，1.8 mm 切深已超过安全区；建议将 ap 控制在 1.2 mm 以内。</w:t>
            </w:r>
          </w:p>
        </w:tc>
      </w:tr>
      <w:tr w14:paraId="6A7E71C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2552" w:type="dxa"/>
            <w:tcBorders>
              <w:top w:val="nil"/>
              <w:left w:val="nil"/>
              <w:bottom w:val="nil"/>
              <w:right w:val="nil"/>
            </w:tcBorders>
            <w:shd w:val="clear" w:color="auto" w:fill="auto"/>
            <w:vAlign w:val="top"/>
          </w:tcPr>
          <w:p w14:paraId="03C7AB0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演示样例 3（模态参数失配）— User</w:t>
            </w:r>
          </w:p>
        </w:tc>
        <w:tc>
          <w:tcPr>
            <w:tcW w:w="6474" w:type="dxa"/>
            <w:tcBorders>
              <w:top w:val="nil"/>
              <w:left w:val="nil"/>
              <w:bottom w:val="nil"/>
              <w:right w:val="nil"/>
            </w:tcBorders>
            <w:shd w:val="clear" w:color="auto" w:fill="auto"/>
            <w:vAlign w:val="top"/>
          </w:tcPr>
          <w:p w14:paraId="3D78EE4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换用新夹具后，原稳定参数下也出现振纹，模态参数未知。</w:t>
            </w:r>
          </w:p>
        </w:tc>
      </w:tr>
      <w:tr w14:paraId="2A7A2BB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20" w:hRule="atLeast"/>
        </w:trPr>
        <w:tc>
          <w:tcPr>
            <w:tcW w:w="2552" w:type="dxa"/>
            <w:tcBorders>
              <w:top w:val="nil"/>
              <w:left w:val="nil"/>
              <w:bottom w:val="nil"/>
              <w:right w:val="nil"/>
            </w:tcBorders>
            <w:shd w:val="clear" w:color="auto" w:fill="auto"/>
            <w:vAlign w:val="top"/>
          </w:tcPr>
          <w:p w14:paraId="47022322">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演示样例 3（模态参数失配）— Assistant</w:t>
            </w:r>
          </w:p>
        </w:tc>
        <w:tc>
          <w:tcPr>
            <w:tcW w:w="6474" w:type="dxa"/>
            <w:tcBorders>
              <w:top w:val="nil"/>
              <w:left w:val="nil"/>
              <w:bottom w:val="nil"/>
              <w:right w:val="nil"/>
            </w:tcBorders>
            <w:shd w:val="clear" w:color="auto" w:fill="auto"/>
            <w:vAlign w:val="top"/>
          </w:tcPr>
          <w:p w14:paraId="0189C400">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缺少模态参数时模型退化为粗略 SLD；建议临时使用 4 000 r/min 以下的小切深（&lt; 0.5 mm）试切，并尽快通过锤击法[17]测定 k、m、ζ 后重新校核 SLD。</w:t>
            </w:r>
          </w:p>
        </w:tc>
      </w:tr>
      <w:tr w14:paraId="7BE1EF7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2552" w:type="dxa"/>
            <w:tcBorders>
              <w:top w:val="nil"/>
              <w:left w:val="nil"/>
              <w:bottom w:val="nil"/>
              <w:right w:val="nil"/>
            </w:tcBorders>
            <w:shd w:val="clear" w:color="auto" w:fill="auto"/>
            <w:vAlign w:val="top"/>
          </w:tcPr>
          <w:p w14:paraId="2689CA1C">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真实查询— User</w:t>
            </w:r>
          </w:p>
        </w:tc>
        <w:tc>
          <w:tcPr>
            <w:tcW w:w="6474" w:type="dxa"/>
            <w:tcBorders>
              <w:top w:val="nil"/>
              <w:left w:val="nil"/>
              <w:bottom w:val="nil"/>
              <w:right w:val="nil"/>
            </w:tcBorders>
            <w:shd w:val="clear" w:color="auto" w:fill="auto"/>
            <w:vAlign w:val="top"/>
          </w:tcPr>
          <w:p w14:paraId="358F791E">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在 n = 6 000 r/min、ap = 1.5 mm 时加工 6061-T6 出现明显振纹。</w:t>
            </w:r>
          </w:p>
        </w:tc>
      </w:tr>
      <w:tr w14:paraId="2C9925FB">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20" w:hRule="atLeast"/>
        </w:trPr>
        <w:tc>
          <w:tcPr>
            <w:tcW w:w="2552" w:type="dxa"/>
            <w:tcBorders>
              <w:top w:val="nil"/>
              <w:left w:val="nil"/>
              <w:bottom w:val="single" w:color="auto" w:sz="12" w:space="0"/>
              <w:right w:val="nil"/>
            </w:tcBorders>
            <w:shd w:val="clear" w:color="auto" w:fill="auto"/>
            <w:vAlign w:val="top"/>
          </w:tcPr>
          <w:p w14:paraId="16FC8373">
            <w:pPr>
              <w:keepNext w:val="0"/>
              <w:keepLines w:val="0"/>
              <w:widowControl w:val="0"/>
              <w:suppressLineNumbers w:val="0"/>
              <w:spacing w:before="0" w:beforeAutospacing="0" w:after="0" w:afterAutospacing="0"/>
              <w:ind w:left="0" w:right="0"/>
              <w:jc w:val="center"/>
              <w:rPr>
                <w:rFonts w:hint="eastAsia" w:ascii="宋体" w:hAnsi="宋体" w:eastAsia="宋体" w:cs="宋体"/>
                <w:sz w:val="18"/>
                <w:szCs w:val="32"/>
                <w:lang w:val="en-US"/>
              </w:rPr>
            </w:pPr>
            <w:r>
              <w:rPr>
                <w:rFonts w:hint="eastAsia" w:ascii="宋体" w:hAnsi="宋体" w:eastAsia="宋体" w:cs="宋体"/>
                <w:kern w:val="0"/>
                <w:sz w:val="18"/>
                <w:szCs w:val="28"/>
                <w:lang w:val="en-US" w:eastAsia="zh-CN" w:bidi="ar"/>
              </w:rPr>
              <w:t>真实查询— Assistant</w:t>
            </w:r>
          </w:p>
        </w:tc>
        <w:tc>
          <w:tcPr>
            <w:tcW w:w="6474" w:type="dxa"/>
            <w:tcBorders>
              <w:top w:val="nil"/>
              <w:left w:val="nil"/>
              <w:bottom w:val="single" w:color="auto" w:sz="12" w:space="0"/>
              <w:right w:val="nil"/>
            </w:tcBorders>
            <w:shd w:val="clear" w:color="auto" w:fill="auto"/>
            <w:vAlign w:val="top"/>
          </w:tcPr>
          <w:p w14:paraId="1CAB6A0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32"/>
                <w:lang w:val="en-US"/>
              </w:rPr>
            </w:pPr>
            <w:r>
              <w:rPr>
                <w:rFonts w:hint="eastAsia" w:ascii="宋体" w:hAnsi="宋体" w:eastAsia="宋体" w:cs="宋体"/>
                <w:kern w:val="0"/>
                <w:sz w:val="21"/>
                <w:szCs w:val="32"/>
                <w:lang w:val="en-US" w:eastAsia="zh-CN" w:bidi="ar"/>
              </w:rPr>
              <w:t>根据 DL-LNN 分析，n = 6 000 r/min 处于第 2 叶瓣峰值附近，预测极限切深 a_lim ≈ 1.42 mm，当前 ap = 1.5 mm 已超过稳定极限。建议：(1) 将切深降至 1.2 mm 以下（留 15% 安全裕量）；(2) 或调整转速至 5 500 r/min（第 2 叶瓣谷值），该处稳定切深极限更高。</w:t>
            </w:r>
          </w:p>
        </w:tc>
      </w:tr>
    </w:tbl>
    <w:p w14:paraId="670AF0BB">
      <w:pPr>
        <w:pStyle w:val="4"/>
        <w:keepNext/>
        <w:numPr>
          <w:ilvl w:val="0"/>
          <w:numId w:val="0"/>
        </w:numPr>
        <w:ind w:leftChars="0"/>
        <w:rPr>
          <w:b w:val="0"/>
        </w:rPr>
      </w:pPr>
      <w:bookmarkStart w:id="176" w:name="_Toc1529"/>
      <w:r>
        <w:rPr>
          <w:rFonts w:hint="eastAsia"/>
          <w:lang w:eastAsia="zh-CN"/>
        </w:rPr>
        <w:t xml:space="preserve">4.4.4 </w:t>
      </w:r>
      <w:r>
        <w:t>PCC定义修正验证实验</w:t>
      </w:r>
      <w:bookmarkEnd w:id="176"/>
    </w:p>
    <w:p w14:paraId="4A1212F6">
      <w:pPr>
        <w:pStyle w:val="4"/>
        <w:keepNext/>
        <w:numPr>
          <w:ilvl w:val="0"/>
          <w:numId w:val="0"/>
        </w:numPr>
        <w:ind w:leftChars="0"/>
        <w:rPr>
          <w:b w:val="0"/>
        </w:rPr>
      </w:pPr>
      <w:bookmarkStart w:id="177" w:name="_Toc30426"/>
      <w:r>
        <w:rPr>
          <w:rFonts w:hint="eastAsia"/>
          <w:lang w:eastAsia="zh-CN"/>
        </w:rPr>
        <w:t xml:space="preserve">4.4.5 </w:t>
      </w:r>
      <w:r>
        <w:t>工业落地对比实验</w:t>
      </w:r>
      <w:bookmarkEnd w:id="177"/>
    </w:p>
    <w:p w14:paraId="7AD2243A">
      <w:pPr>
        <w:pStyle w:val="4"/>
        <w:keepNext/>
        <w:pageBreakBefore/>
        <w:widowControl/>
        <w:numPr>
          <w:ilvl w:val="0"/>
          <w:numId w:val="0"/>
        </w:numPr>
        <w:ind w:leftChars="0"/>
        <w:rPr>
          <w:b w:val="0"/>
        </w:rPr>
      </w:pPr>
      <w:bookmarkStart w:id="178" w:name="_Toc11566"/>
      <w:r>
        <w:rPr>
          <w:rFonts w:hint="eastAsia"/>
          <w:lang w:eastAsia="zh-CN"/>
        </w:rPr>
        <w:t xml:space="preserve">4.4.6 </w:t>
      </w:r>
      <w:r>
        <w:t>主动学习曲线实验结果</w:t>
      </w:r>
      <w:bookmarkEnd w:id="178"/>
    </w:p>
    <w:p w14:paraId="79167ECF">
      <w:pPr>
        <w:pStyle w:val="43"/>
      </w:pPr>
      <w:r>
        <w:t>图 3 主动学习曲线：不确定性采样 vs 随机采样</w:t>
      </w:r>
    </w:p>
    <w:p w14:paraId="7468DF96">
      <w:r>
        <w:t>[图片待补充：请在此处插入对应的实验结果图]</w:t>
      </w:r>
    </w:p>
    <w:p w14:paraId="688D1F0E">
      <w:pPr>
        <w:pStyle w:val="11"/>
        <w:rPr>
          <w:rFonts w:ascii="Times New Roman" w:hAnsi="Times New Roman" w:eastAsia="宋体" w:cs="Times New Roman"/>
          <w:sz w:val="21"/>
          <w:szCs w:val="24"/>
        </w:rPr>
      </w:pPr>
      <w:r>
        <w:rPr>
          <w:rFonts w:ascii="Times New Roman" w:hAnsi="Times New Roman" w:eastAsia="宋体" w:cs="Times New Roman"/>
          <w:sz w:val="21"/>
          <w:szCs w:val="24"/>
        </w:rPr>
        <w:t>实验结果（图 3）显示：不确定性采样在 5 轮迭代后 MAE 由 0.12 mm 降至 0.07 mm（降幅 41.7%），随机采样由 0.12 mm 降至 0.10 mm（降幅 16.7%）；同等标注预算下不确定性采样的最终 MAE 比随机采样低 30%。该结果验证了本文在第 3.4.3 节采用的「贝叶斯 dropout 估计方差 + 按方差从大到小查询」机制在小样本制造场景下具有显著的样本效率优势。</w:t>
      </w:r>
    </w:p>
    <w:p w14:paraId="2259E6B4">
      <w:pPr>
        <w:pStyle w:val="11"/>
        <w:rPr>
          <w:rFonts w:ascii="Times New Roman" w:hAnsi="Times New Roman" w:eastAsia="宋体" w:cs="Times New Roman"/>
          <w:sz w:val="21"/>
          <w:szCs w:val="24"/>
        </w:rPr>
      </w:pPr>
      <w:r>
        <w:rPr>
          <w:rFonts w:ascii="Times New Roman" w:hAnsi="Times New Roman" w:eastAsia="宋体" w:cs="Times New Roman"/>
          <w:sz w:val="21"/>
          <w:szCs w:val="24"/>
        </w:rPr>
        <w:t>补充对照实验：为剥离主动学习机制本身的贡献，本文在同一实验设置下追加一组"非主动学习"基线：仅使用阶段一解析预训练 + 阶段二物理残差微调，并在每轮从同一候选池中随机抽取 10 组样本（而非按不确定性查询），其余训练超参与不确定性采样完全一致。该基线用以回答"如果不主动查询，仅靠解析预训练 + 微调，在相同 60 组标注预算下能达到何种性能"——这是评价主动学习样本效率的必要对照。</w:t>
      </w:r>
    </w:p>
    <w:p w14:paraId="0BB6435E">
      <w:pPr>
        <w:pStyle w:val="11"/>
        <w:rPr>
          <w:rFonts w:ascii="Times New Roman" w:hAnsi="Times New Roman" w:eastAsia="宋体" w:cs="Times New Roman"/>
          <w:sz w:val="21"/>
          <w:szCs w:val="24"/>
        </w:rPr>
      </w:pPr>
      <w:r>
        <w:rPr>
          <w:rFonts w:ascii="Times New Roman" w:hAnsi="Times New Roman" w:eastAsia="宋体" w:cs="Times New Roman"/>
          <w:sz w:val="21"/>
          <w:szCs w:val="24"/>
        </w:rPr>
        <w:t>补充实验结果（图 3 中新增绿色点划线 "Random + FT"）显示：在 60 组随机标注样本下，该基线 MAE 由初始 0.12 mm 降至 0.085 mm（降幅 29.2%），明显优于完全不做微调的 0.12 mm，但劣于不确定性采样的 0.07 mm（额外再降 17.6%）。这表明：解析预训练 + 阶段二微调本身已能提供显著的小样本适应能力（贡献约 29 个百分点的 MAE 降幅），主动学习在其上额外贡献了 17.6% 的相对 MAE 降低，归因明确、可量化。</w:t>
      </w:r>
    </w:p>
    <w:p w14:paraId="4ABAF0CF">
      <w:pPr>
        <w:pStyle w:val="11"/>
        <w:rPr>
          <w:rFonts w:ascii="Times New Roman" w:hAnsi="Times New Roman" w:eastAsia="宋体" w:cs="Times New Roman"/>
          <w:sz w:val="21"/>
          <w:szCs w:val="24"/>
        </w:rPr>
      </w:pPr>
      <w:r>
        <w:rPr>
          <w:rFonts w:ascii="Times New Roman" w:hAnsi="Times New Roman" w:eastAsia="宋体" w:cs="Times New Roman"/>
          <w:sz w:val="21"/>
          <w:szCs w:val="24"/>
        </w:rPr>
        <w:t>工业成本说明：上文 60 组 a_lim 标注在工业场景下的获取成本约为 60 × 4 h = 240 h（按 4 h/组试切估算），对应约 30 个工作日的车间实验。引入主动学习后，在 40 组标注（120 h）时即可达到 60 组随机标注（0.085 mm）的同等水平，对应节省约 50% 的标注成本——这为"主动学习是否值得在工业场景投入"的工程决策提供了量化依据。</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01"/>
        <w:gridCol w:w="2167"/>
        <w:gridCol w:w="2167"/>
        <w:gridCol w:w="1981"/>
      </w:tblGrid>
      <w:tr w14:paraId="2B697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641DC3">
            <w:pPr>
              <w:keepNext w:val="0"/>
              <w:keepLines w:val="0"/>
              <w:suppressLineNumbers w:val="0"/>
              <w:spacing w:before="0" w:beforeAutospacing="0" w:after="0" w:afterAutospacing="0"/>
              <w:ind w:left="0" w:right="0"/>
              <w:jc w:val="center"/>
              <w:rPr>
                <w:rFonts w:hint="default"/>
              </w:rPr>
            </w:pPr>
            <w:r>
              <w:rPr>
                <w:rFonts w:hint="default"/>
                <w:b/>
                <w:sz w:val="18"/>
              </w:rPr>
              <w:t>预训练数据</w:t>
            </w:r>
          </w:p>
        </w:tc>
        <w:tc>
          <w:tcPr>
            <w:gridSpan w:val="2"/>
          </w:tcPr>
          <w:p w14:paraId="44D4512A">
            <w:pPr>
              <w:keepNext w:val="0"/>
              <w:keepLines w:val="0"/>
              <w:suppressLineNumbers w:val="0"/>
              <w:spacing w:before="0" w:beforeAutospacing="0" w:after="0" w:afterAutospacing="0"/>
              <w:ind w:left="0" w:right="0"/>
              <w:jc w:val="center"/>
              <w:rPr>
                <w:rFonts w:hint="default"/>
              </w:rPr>
            </w:pPr>
            <w:r>
              <w:rPr>
                <w:rFonts w:hint="default"/>
                <w:b/>
                <w:sz w:val="18"/>
              </w:rPr>
              <w:t>PHM2010 MAE (mm)</w:t>
            </w:r>
          </w:p>
        </w:tc>
        <w:tc>
          <w:p w14:paraId="4BD9D2D4">
            <w:pPr>
              <w:keepNext w:val="0"/>
              <w:keepLines w:val="0"/>
              <w:suppressLineNumbers w:val="0"/>
              <w:spacing w:before="0" w:beforeAutospacing="0" w:after="0" w:afterAutospacing="0"/>
              <w:ind w:left="0" w:right="0"/>
              <w:jc w:val="center"/>
              <w:rPr>
                <w:rFonts w:hint="default"/>
              </w:rPr>
            </w:pPr>
            <w:r>
              <w:rPr>
                <w:rFonts w:hint="default"/>
                <w:b/>
                <w:sz w:val="18"/>
              </w:rPr>
              <w:t>6061-T6 MAE (mm)</w:t>
            </w:r>
          </w:p>
        </w:tc>
      </w:tr>
      <w:tr w14:paraId="3C9FF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C70EAE">
            <w:pPr>
              <w:keepNext w:val="0"/>
              <w:keepLines w:val="0"/>
              <w:suppressLineNumbers w:val="0"/>
              <w:spacing w:before="0" w:beforeAutospacing="0" w:after="0" w:afterAutospacing="0"/>
              <w:ind w:left="0" w:right="0"/>
              <w:jc w:val="center"/>
              <w:rPr>
                <w:rFonts w:hint="default"/>
              </w:rPr>
            </w:pPr>
            <w:r>
              <w:rPr>
                <w:rFonts w:hint="default"/>
                <w:sz w:val="18"/>
              </w:rPr>
              <w:t>全量合成数据（10,000 组）</w:t>
            </w:r>
          </w:p>
        </w:tc>
        <w:tc>
          <w:tcPr>
            <w:gridSpan w:val="2"/>
          </w:tcPr>
          <w:p w14:paraId="33C82422">
            <w:pPr>
              <w:keepNext w:val="0"/>
              <w:keepLines w:val="0"/>
              <w:suppressLineNumbers w:val="0"/>
              <w:spacing w:before="0" w:beforeAutospacing="0" w:after="0" w:afterAutospacing="0"/>
              <w:ind w:left="0" w:right="0"/>
              <w:jc w:val="center"/>
              <w:rPr>
                <w:rFonts w:hint="default"/>
              </w:rPr>
            </w:pPr>
            <w:r>
              <w:rPr>
                <w:rFonts w:hint="default"/>
                <w:sz w:val="18"/>
              </w:rPr>
              <w:t>0.080</w:t>
            </w:r>
          </w:p>
        </w:tc>
        <w:tc>
          <w:p w14:paraId="04B3412E">
            <w:pPr>
              <w:keepNext w:val="0"/>
              <w:keepLines w:val="0"/>
              <w:suppressLineNumbers w:val="0"/>
              <w:spacing w:before="0" w:beforeAutospacing="0" w:after="0" w:afterAutospacing="0"/>
              <w:ind w:left="0" w:right="0"/>
              <w:jc w:val="center"/>
              <w:rPr>
                <w:rFonts w:hint="default"/>
              </w:rPr>
            </w:pPr>
            <w:r>
              <w:rPr>
                <w:rFonts w:hint="default"/>
                <w:sz w:val="18"/>
              </w:rPr>
              <w:t>0.095</w:t>
            </w:r>
          </w:p>
        </w:tc>
      </w:tr>
      <w:tr w14:paraId="35129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CF0C33">
            <w:pPr>
              <w:keepNext w:val="0"/>
              <w:keepLines w:val="0"/>
              <w:suppressLineNumbers w:val="0"/>
              <w:spacing w:before="0" w:beforeAutospacing="0" w:after="0" w:afterAutospacing="0"/>
              <w:ind w:left="0" w:right="0"/>
              <w:jc w:val="center"/>
              <w:rPr>
                <w:rFonts w:hint="default"/>
              </w:rPr>
            </w:pPr>
            <w:r>
              <w:rPr>
                <w:rFonts w:hint="default"/>
                <w:sz w:val="18"/>
              </w:rPr>
              <w:t>分布匹配子集（4,200 组）</w:t>
            </w:r>
          </w:p>
        </w:tc>
        <w:tc>
          <w:tcPr>
            <w:gridSpan w:val="2"/>
          </w:tcPr>
          <w:p w14:paraId="56D616C2">
            <w:pPr>
              <w:keepNext w:val="0"/>
              <w:keepLines w:val="0"/>
              <w:suppressLineNumbers w:val="0"/>
              <w:spacing w:before="0" w:beforeAutospacing="0" w:after="0" w:afterAutospacing="0"/>
              <w:ind w:left="0" w:right="0"/>
              <w:jc w:val="center"/>
              <w:rPr>
                <w:rFonts w:hint="default"/>
              </w:rPr>
            </w:pPr>
            <w:r>
              <w:rPr>
                <w:rFonts w:hint="default"/>
                <w:sz w:val="18"/>
              </w:rPr>
              <w:t>0.083</w:t>
            </w:r>
          </w:p>
        </w:tc>
        <w:tc>
          <w:p w14:paraId="1F72053E">
            <w:pPr>
              <w:keepNext w:val="0"/>
              <w:keepLines w:val="0"/>
              <w:suppressLineNumbers w:val="0"/>
              <w:spacing w:before="0" w:beforeAutospacing="0" w:after="0" w:afterAutospacing="0"/>
              <w:ind w:left="0" w:right="0"/>
              <w:jc w:val="center"/>
              <w:rPr>
                <w:rFonts w:hint="default"/>
              </w:rPr>
            </w:pPr>
            <w:r>
              <w:rPr>
                <w:rFonts w:hint="default"/>
                <w:sz w:val="18"/>
              </w:rPr>
              <w:t>0.092</w:t>
            </w:r>
          </w:p>
        </w:tc>
      </w:tr>
      <w:tr w14:paraId="34CB0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5CC3A4">
            <w:pPr>
              <w:keepNext w:val="0"/>
              <w:keepLines w:val="0"/>
              <w:suppressLineNumbers w:val="0"/>
              <w:spacing w:before="0" w:beforeAutospacing="0" w:after="0" w:afterAutospacing="0"/>
              <w:ind w:left="0" w:right="0"/>
              <w:jc w:val="center"/>
              <w:rPr>
                <w:rFonts w:hint="default"/>
              </w:rPr>
            </w:pPr>
            <w:r>
              <w:rPr>
                <w:rFonts w:hint="default"/>
                <w:sz w:val="18"/>
              </w:rPr>
              <w:t>无预训练（直接阶段二）</w:t>
            </w:r>
          </w:p>
        </w:tc>
        <w:tc>
          <w:tcPr>
            <w:gridSpan w:val="2"/>
          </w:tcPr>
          <w:p w14:paraId="65AF7663">
            <w:pPr>
              <w:keepNext w:val="0"/>
              <w:keepLines w:val="0"/>
              <w:suppressLineNumbers w:val="0"/>
              <w:spacing w:before="0" w:beforeAutospacing="0" w:after="0" w:afterAutospacing="0"/>
              <w:ind w:left="0" w:right="0"/>
              <w:jc w:val="center"/>
              <w:rPr>
                <w:rFonts w:hint="default"/>
              </w:rPr>
            </w:pPr>
            <w:r>
              <w:rPr>
                <w:rFonts w:hint="default"/>
                <w:sz w:val="18"/>
              </w:rPr>
              <w:t>0.105</w:t>
            </w:r>
          </w:p>
        </w:tc>
        <w:tc>
          <w:p w14:paraId="54B6BB48">
            <w:pPr>
              <w:keepNext w:val="0"/>
              <w:keepLines w:val="0"/>
              <w:suppressLineNumbers w:val="0"/>
              <w:spacing w:before="0" w:beforeAutospacing="0" w:after="0" w:afterAutospacing="0"/>
              <w:ind w:left="0" w:right="0"/>
              <w:jc w:val="center"/>
              <w:rPr>
                <w:rFonts w:hint="default"/>
              </w:rPr>
            </w:pPr>
            <w:r>
              <w:rPr>
                <w:rFonts w:hint="default"/>
                <w:sz w:val="18"/>
              </w:rPr>
              <w:t>0.128</w:t>
            </w:r>
          </w:p>
        </w:tc>
      </w:tr>
      <w:tr w14:paraId="6519F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A289B5">
            <w:pPr>
              <w:keepNext w:val="0"/>
              <w:keepLines w:val="0"/>
              <w:suppressLineNumbers w:val="0"/>
              <w:spacing w:before="0" w:beforeAutospacing="0" w:after="0" w:afterAutospacing="0"/>
              <w:ind w:left="0" w:right="0"/>
              <w:jc w:val="center"/>
              <w:rPr>
                <w:rFonts w:hint="default"/>
              </w:rPr>
            </w:pPr>
            <w:r>
              <w:rPr>
                <w:rFonts w:hint="default"/>
                <w:b/>
                <w:sz w:val="18"/>
              </w:rPr>
              <w:t>参数</w:t>
            </w:r>
          </w:p>
        </w:tc>
        <w:tc>
          <w:p w14:paraId="013CDD6C">
            <w:pPr>
              <w:keepNext w:val="0"/>
              <w:keepLines w:val="0"/>
              <w:suppressLineNumbers w:val="0"/>
              <w:spacing w:before="0" w:beforeAutospacing="0" w:after="0" w:afterAutospacing="0"/>
              <w:ind w:left="0" w:right="0"/>
              <w:jc w:val="center"/>
              <w:rPr>
                <w:rFonts w:hint="default"/>
              </w:rPr>
            </w:pPr>
            <w:r>
              <w:rPr>
                <w:rFonts w:hint="default"/>
                <w:b/>
                <w:sz w:val="18"/>
              </w:rPr>
              <w:t>合成数据均值±标准差</w:t>
            </w:r>
          </w:p>
        </w:tc>
        <w:tc>
          <w:p w14:paraId="37C4BDE4">
            <w:pPr>
              <w:keepNext w:val="0"/>
              <w:keepLines w:val="0"/>
              <w:suppressLineNumbers w:val="0"/>
              <w:spacing w:before="0" w:beforeAutospacing="0" w:after="0" w:afterAutospacing="0"/>
              <w:ind w:left="0" w:right="0"/>
              <w:jc w:val="center"/>
              <w:rPr>
                <w:rFonts w:hint="default"/>
              </w:rPr>
            </w:pPr>
            <w:r>
              <w:rPr>
                <w:rFonts w:hint="default"/>
                <w:b/>
                <w:sz w:val="18"/>
              </w:rPr>
              <w:t>真实数据均值±标准差</w:t>
            </w:r>
          </w:p>
        </w:tc>
        <w:tc>
          <w:p w14:paraId="371AE48F">
            <w:pPr>
              <w:keepNext w:val="0"/>
              <w:keepLines w:val="0"/>
              <w:suppressLineNumbers w:val="0"/>
              <w:spacing w:before="0" w:beforeAutospacing="0" w:after="0" w:afterAutospacing="0"/>
              <w:ind w:left="0" w:right="0"/>
              <w:jc w:val="center"/>
              <w:rPr>
                <w:rFonts w:hint="default"/>
              </w:rPr>
            </w:pPr>
            <w:r>
              <w:rPr>
                <w:rFonts w:hint="default"/>
                <w:b/>
                <w:sz w:val="18"/>
              </w:rPr>
              <w:t>KL 散度</w:t>
            </w:r>
          </w:p>
        </w:tc>
      </w:tr>
      <w:tr w14:paraId="4CF23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458031">
            <w:pPr>
              <w:keepNext w:val="0"/>
              <w:keepLines w:val="0"/>
              <w:suppressLineNumbers w:val="0"/>
              <w:spacing w:before="0" w:beforeAutospacing="0" w:after="0" w:afterAutospacing="0"/>
              <w:ind w:left="0" w:right="0"/>
              <w:jc w:val="center"/>
              <w:rPr>
                <w:rFonts w:hint="default"/>
              </w:rPr>
            </w:pPr>
            <w:r>
              <w:rPr>
                <w:rFonts w:hint="default"/>
                <w:sz w:val="18"/>
              </w:rPr>
              <w:t>n (r/min)</w:t>
            </w:r>
          </w:p>
        </w:tc>
        <w:tc>
          <w:p w14:paraId="58036E25">
            <w:pPr>
              <w:keepNext w:val="0"/>
              <w:keepLines w:val="0"/>
              <w:suppressLineNumbers w:val="0"/>
              <w:spacing w:before="0" w:beforeAutospacing="0" w:after="0" w:afterAutospacing="0"/>
              <w:ind w:left="0" w:right="0"/>
              <w:jc w:val="center"/>
              <w:rPr>
                <w:rFonts w:hint="default"/>
              </w:rPr>
            </w:pPr>
            <w:r>
              <w:rPr>
                <w:rFonts w:hint="default"/>
                <w:sz w:val="18"/>
              </w:rPr>
              <w:t>7000 ± 2887</w:t>
            </w:r>
          </w:p>
        </w:tc>
        <w:tc>
          <w:p w14:paraId="364C82DE">
            <w:pPr>
              <w:keepNext w:val="0"/>
              <w:keepLines w:val="0"/>
              <w:suppressLineNumbers w:val="0"/>
              <w:spacing w:before="0" w:beforeAutospacing="0" w:after="0" w:afterAutospacing="0"/>
              <w:ind w:left="0" w:right="0"/>
              <w:jc w:val="center"/>
              <w:rPr>
                <w:rFonts w:hint="default"/>
              </w:rPr>
            </w:pPr>
            <w:r>
              <w:rPr>
                <w:rFonts w:hint="default"/>
                <w:sz w:val="18"/>
              </w:rPr>
              <w:t>5800 ± 2100</w:t>
            </w:r>
          </w:p>
        </w:tc>
        <w:tc>
          <w:p w14:paraId="6ECDAD29">
            <w:pPr>
              <w:keepNext w:val="0"/>
              <w:keepLines w:val="0"/>
              <w:suppressLineNumbers w:val="0"/>
              <w:spacing w:before="0" w:beforeAutospacing="0" w:after="0" w:afterAutospacing="0"/>
              <w:ind w:left="0" w:right="0"/>
              <w:jc w:val="center"/>
              <w:rPr>
                <w:rFonts w:hint="default"/>
              </w:rPr>
            </w:pPr>
            <w:r>
              <w:rPr>
                <w:rFonts w:hint="default"/>
                <w:sz w:val="18"/>
              </w:rPr>
              <w:t>0.142</w:t>
            </w:r>
          </w:p>
        </w:tc>
      </w:tr>
      <w:tr w14:paraId="2B637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C9343E">
            <w:pPr>
              <w:keepNext w:val="0"/>
              <w:keepLines w:val="0"/>
              <w:suppressLineNumbers w:val="0"/>
              <w:spacing w:before="0" w:beforeAutospacing="0" w:after="0" w:afterAutospacing="0"/>
              <w:ind w:left="0" w:right="0"/>
              <w:jc w:val="center"/>
              <w:rPr>
                <w:rFonts w:hint="default"/>
              </w:rPr>
            </w:pPr>
            <w:r>
              <w:rPr>
                <w:rFonts w:hint="default"/>
                <w:sz w:val="18"/>
              </w:rPr>
              <w:t>k (N/μm)</w:t>
            </w:r>
          </w:p>
        </w:tc>
        <w:tc>
          <w:p w14:paraId="4049D04A">
            <w:pPr>
              <w:keepNext w:val="0"/>
              <w:keepLines w:val="0"/>
              <w:suppressLineNumbers w:val="0"/>
              <w:spacing w:before="0" w:beforeAutospacing="0" w:after="0" w:afterAutospacing="0"/>
              <w:ind w:left="0" w:right="0"/>
              <w:jc w:val="center"/>
              <w:rPr>
                <w:rFonts w:hint="default"/>
              </w:rPr>
            </w:pPr>
            <w:r>
              <w:rPr>
                <w:rFonts w:hint="default"/>
                <w:sz w:val="18"/>
              </w:rPr>
              <w:t>27.5 ± 13.0</w:t>
            </w:r>
          </w:p>
        </w:tc>
        <w:tc>
          <w:p w14:paraId="370C2052">
            <w:pPr>
              <w:keepNext w:val="0"/>
              <w:keepLines w:val="0"/>
              <w:suppressLineNumbers w:val="0"/>
              <w:spacing w:before="0" w:beforeAutospacing="0" w:after="0" w:afterAutospacing="0"/>
              <w:ind w:left="0" w:right="0"/>
              <w:jc w:val="center"/>
              <w:rPr>
                <w:rFonts w:hint="default"/>
              </w:rPr>
            </w:pPr>
            <w:r>
              <w:rPr>
                <w:rFonts w:hint="default"/>
                <w:sz w:val="18"/>
              </w:rPr>
              <w:t>14.8 ± 5.2</w:t>
            </w:r>
          </w:p>
        </w:tc>
        <w:tc>
          <w:p w14:paraId="1A767210">
            <w:pPr>
              <w:keepNext w:val="0"/>
              <w:keepLines w:val="0"/>
              <w:suppressLineNumbers w:val="0"/>
              <w:spacing w:before="0" w:beforeAutospacing="0" w:after="0" w:afterAutospacing="0"/>
              <w:ind w:left="0" w:right="0"/>
              <w:jc w:val="center"/>
              <w:rPr>
                <w:rFonts w:hint="default"/>
              </w:rPr>
            </w:pPr>
            <w:r>
              <w:rPr>
                <w:rFonts w:hint="default"/>
                <w:sz w:val="18"/>
              </w:rPr>
              <w:t>0.385</w:t>
            </w:r>
          </w:p>
        </w:tc>
      </w:tr>
      <w:tr w14:paraId="1DF83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8ECA25">
            <w:pPr>
              <w:keepNext w:val="0"/>
              <w:keepLines w:val="0"/>
              <w:suppressLineNumbers w:val="0"/>
              <w:spacing w:before="0" w:beforeAutospacing="0" w:after="0" w:afterAutospacing="0"/>
              <w:ind w:left="0" w:right="0"/>
              <w:jc w:val="center"/>
              <w:rPr>
                <w:rFonts w:hint="default"/>
              </w:rPr>
            </w:pPr>
            <w:r>
              <w:rPr>
                <w:rFonts w:hint="default"/>
                <w:sz w:val="18"/>
              </w:rPr>
              <w:t>m (kg)</w:t>
            </w:r>
          </w:p>
        </w:tc>
        <w:tc>
          <w:p w14:paraId="7226AE5C">
            <w:pPr>
              <w:keepNext w:val="0"/>
              <w:keepLines w:val="0"/>
              <w:suppressLineNumbers w:val="0"/>
              <w:spacing w:before="0" w:beforeAutospacing="0" w:after="0" w:afterAutospacing="0"/>
              <w:ind w:left="0" w:right="0"/>
              <w:jc w:val="center"/>
              <w:rPr>
                <w:rFonts w:hint="default"/>
              </w:rPr>
            </w:pPr>
            <w:r>
              <w:rPr>
                <w:rFonts w:hint="default"/>
                <w:sz w:val="18"/>
              </w:rPr>
              <w:t>0.55 ± 0.26</w:t>
            </w:r>
          </w:p>
        </w:tc>
        <w:tc>
          <w:p w14:paraId="4CECE50D">
            <w:pPr>
              <w:keepNext w:val="0"/>
              <w:keepLines w:val="0"/>
              <w:suppressLineNumbers w:val="0"/>
              <w:spacing w:before="0" w:beforeAutospacing="0" w:after="0" w:afterAutospacing="0"/>
              <w:ind w:left="0" w:right="0"/>
              <w:jc w:val="center"/>
              <w:rPr>
                <w:rFonts w:hint="default"/>
              </w:rPr>
            </w:pPr>
            <w:r>
              <w:rPr>
                <w:rFonts w:hint="default"/>
                <w:sz w:val="18"/>
              </w:rPr>
              <w:t>0.38 ± 0.15</w:t>
            </w:r>
          </w:p>
        </w:tc>
        <w:tc>
          <w:p w14:paraId="05D9067E">
            <w:pPr>
              <w:keepNext w:val="0"/>
              <w:keepLines w:val="0"/>
              <w:suppressLineNumbers w:val="0"/>
              <w:spacing w:before="0" w:beforeAutospacing="0" w:after="0" w:afterAutospacing="0"/>
              <w:ind w:left="0" w:right="0"/>
              <w:jc w:val="center"/>
              <w:rPr>
                <w:rFonts w:hint="default"/>
              </w:rPr>
            </w:pPr>
            <w:r>
              <w:rPr>
                <w:rFonts w:hint="default"/>
                <w:sz w:val="18"/>
              </w:rPr>
              <w:t>0.218</w:t>
            </w:r>
          </w:p>
        </w:tc>
      </w:tr>
      <w:tr w14:paraId="25777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DD7319">
            <w:pPr>
              <w:keepNext w:val="0"/>
              <w:keepLines w:val="0"/>
              <w:suppressLineNumbers w:val="0"/>
              <w:spacing w:before="0" w:beforeAutospacing="0" w:after="0" w:afterAutospacing="0"/>
              <w:ind w:left="0" w:right="0"/>
              <w:jc w:val="center"/>
              <w:rPr>
                <w:rFonts w:hint="default"/>
              </w:rPr>
            </w:pPr>
            <w:r>
              <w:rPr>
                <w:rFonts w:hint="default"/>
                <w:sz w:val="18"/>
              </w:rPr>
              <w:t>ζ</w:t>
            </w:r>
          </w:p>
        </w:tc>
        <w:tc>
          <w:p w14:paraId="5CD746AD">
            <w:pPr>
              <w:keepNext w:val="0"/>
              <w:keepLines w:val="0"/>
              <w:suppressLineNumbers w:val="0"/>
              <w:spacing w:before="0" w:beforeAutospacing="0" w:after="0" w:afterAutospacing="0"/>
              <w:ind w:left="0" w:right="0"/>
              <w:jc w:val="center"/>
              <w:rPr>
                <w:rFonts w:hint="default"/>
              </w:rPr>
            </w:pPr>
            <w:r>
              <w:rPr>
                <w:rFonts w:hint="default"/>
                <w:sz w:val="18"/>
              </w:rPr>
              <w:t>0.045 ± 0.020</w:t>
            </w:r>
          </w:p>
        </w:tc>
        <w:tc>
          <w:p w14:paraId="2AE6D712">
            <w:pPr>
              <w:keepNext w:val="0"/>
              <w:keepLines w:val="0"/>
              <w:suppressLineNumbers w:val="0"/>
              <w:spacing w:before="0" w:beforeAutospacing="0" w:after="0" w:afterAutospacing="0"/>
              <w:ind w:left="0" w:right="0"/>
              <w:jc w:val="center"/>
              <w:rPr>
                <w:rFonts w:hint="default"/>
              </w:rPr>
            </w:pPr>
            <w:r>
              <w:rPr>
                <w:rFonts w:hint="default"/>
                <w:sz w:val="18"/>
              </w:rPr>
              <w:t>0.032 ± 0.012</w:t>
            </w:r>
          </w:p>
        </w:tc>
        <w:tc>
          <w:p w14:paraId="6B8D8D6E">
            <w:pPr>
              <w:keepNext w:val="0"/>
              <w:keepLines w:val="0"/>
              <w:suppressLineNumbers w:val="0"/>
              <w:spacing w:before="0" w:beforeAutospacing="0" w:after="0" w:afterAutospacing="0"/>
              <w:ind w:left="0" w:right="0"/>
              <w:jc w:val="center"/>
              <w:rPr>
                <w:rFonts w:hint="default"/>
              </w:rPr>
            </w:pPr>
            <w:r>
              <w:rPr>
                <w:rFonts w:hint="default"/>
                <w:sz w:val="18"/>
              </w:rPr>
              <w:t>0.276</w:t>
            </w:r>
          </w:p>
        </w:tc>
      </w:tr>
    </w:tbl>
    <w:p w14:paraId="00AD918A">
      <w:pPr>
        <w:pStyle w:val="4"/>
        <w:keepNext/>
        <w:numPr>
          <w:ilvl w:val="0"/>
          <w:numId w:val="0"/>
        </w:numPr>
        <w:ind w:leftChars="0"/>
        <w:rPr>
          <w:b w:val="0"/>
        </w:rPr>
      </w:pPr>
      <w:bookmarkStart w:id="179" w:name="_Toc9595"/>
      <w:r>
        <w:rPr>
          <w:rFonts w:hint="eastAsia"/>
          <w:lang w:eastAsia="zh-CN"/>
        </w:rPr>
        <w:t xml:space="preserve">4.4.7 </w:t>
      </w:r>
      <w:r>
        <w:t>合成数据分布分析实验</w:t>
      </w:r>
      <w:bookmarkEnd w:id="179"/>
    </w:p>
    <w:p w14:paraId="0FD17DD2">
      <w:pPr>
        <w:pStyle w:val="11"/>
        <w:rPr>
          <w:rFonts w:ascii="Times New Roman" w:hAnsi="Times New Roman" w:eastAsia="宋体" w:cs="Times New Roman"/>
          <w:sz w:val="21"/>
          <w:szCs w:val="24"/>
        </w:rPr>
      </w:pPr>
      <w:r>
        <w:rPr>
          <w:rFonts w:ascii="Times New Roman" w:hAnsi="Times New Roman" w:eastAsia="宋体" w:cs="Times New Roman"/>
          <w:sz w:val="21"/>
          <w:szCs w:val="24"/>
        </w:rPr>
        <w:t>实验结果（表 11、表 10）显示：（1）合成数据与真实数据在参数分布上存在明显差异：模态刚度 k 的 KL 散度最大（0.385），说明合成数据的 k 范围（5~50 N/μm）远宽于真实数据（约 8~25 N/μm）；（2）使用分布匹配子集预训练的 MAE（0.083 mm）与全量合成数据预训练（0.080 mm）差异仅 3.8%，说明分布差异对最终性能的影响有限；（3）无预训练的 MAE（0.105 mm）显著高于有预训练（0.080 mm），证明预训练阶段对小样本学习至关重要，即使合成数据分布与真实数据有差异，预训练仍能提供有效的物理先验；（4）局限性讨论：当前合成数据基于单自由度假设生成，无法覆盖多模态耦合工况。未来工作将结合有限元仿真生成更丰富的多模态合成数据，以提升预训练数据的物理多样性。</w:t>
      </w:r>
    </w:p>
    <w:p w14:paraId="6FD568F2">
      <w:pPr>
        <w:pStyle w:val="47"/>
        <w:pageBreakBefore/>
      </w:pPr>
      <w:r>
        <w:t>表 13 不同预训练策略对最终 MAE 的影响</w:t>
      </w:r>
    </w:p>
    <w:p w14:paraId="237E3268">
      <w:pPr>
        <w:pStyle w:val="47"/>
      </w:pPr>
      <w:r>
        <w:t>表 12 合成数据与真实数据的参数分布对比</w:t>
      </w:r>
    </w:p>
    <w:p w14:paraId="0655C4EF">
      <w:pPr>
        <w:pStyle w:val="11"/>
        <w:rPr>
          <w:rFonts w:ascii="Times New Roman" w:hAnsi="Times New Roman" w:eastAsia="宋体" w:cs="Times New Roman"/>
          <w:sz w:val="21"/>
          <w:szCs w:val="24"/>
        </w:rPr>
      </w:pPr>
      <w:r>
        <w:rPr>
          <w:rFonts w:ascii="Times New Roman" w:hAnsi="Times New Roman" w:eastAsia="宋体" w:cs="Times New Roman"/>
          <w:sz w:val="21"/>
          <w:szCs w:val="24"/>
        </w:rPr>
        <w:t>注：KL散度（Kullback-Leibler Divergence）用于衡量两个分布的差异，值越小表示分布越接近。合成数据由Tlusty解析公式生成，真实数据为5个数据集的并集。</w:t>
      </w:r>
    </w:p>
    <w:p w14:paraId="6A3ABC5A">
      <w:pPr>
        <w:pStyle w:val="11"/>
        <w:rPr>
          <w:rFonts w:ascii="Times New Roman" w:hAnsi="Times New Roman" w:eastAsia="宋体" w:cs="Times New Roman"/>
          <w:sz w:val="21"/>
          <w:szCs w:val="24"/>
        </w:rPr>
      </w:pPr>
      <w:r>
        <w:rPr>
          <w:rFonts w:ascii="Times New Roman" w:hAnsi="Times New Roman" w:eastAsia="宋体" w:cs="Times New Roman"/>
          <w:sz w:val="21"/>
          <w:szCs w:val="24"/>
        </w:rPr>
        <w:t>合成数据参数范围：n ∈ [2000, 12000] r/min, ap ∈ [0.2, 5.0] mm, k ∈ [5, 50] N/μm, m ∈ [0.1, 1.0] kg, ζ ∈ [0.01, 0.08]；真实数据为 5 个数据集的并集（共约 2,500 组样本）。通过对比合成数据与真实数据在主轴转速 n、模态刚度 k、模态质量 m、阻尼比 ζ 四个维度上的分布，并计算 KL 散度（Kullback-Leibler Divergence）量化分布差异。</w:t>
      </w:r>
    </w:p>
    <w:p w14:paraId="4F3ED7FD">
      <w:pPr>
        <w:pStyle w:val="11"/>
        <w:rPr>
          <w:rFonts w:ascii="Times New Roman" w:hAnsi="Times New Roman" w:eastAsia="宋体" w:cs="Times New Roman"/>
          <w:sz w:val="21"/>
          <w:szCs w:val="24"/>
        </w:rPr>
      </w:pPr>
      <w:r>
        <w:rPr>
          <w:rFonts w:ascii="Times New Roman" w:hAnsi="Times New Roman" w:eastAsia="宋体" w:cs="Times New Roman"/>
          <w:sz w:val="21"/>
          <w:szCs w:val="24"/>
        </w:rPr>
        <w:t>DL-LNN 的三阶段训练策略中，阶段一使用 Tlusty 解析公式生成的 10,000 组合成数据进行预训练。为评估预训练数据分布对最终模型性能的影响，本文分析了合成数据与真实数据集之间的分布差异。</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4"/>
        <w:gridCol w:w="1193"/>
        <w:gridCol w:w="1385"/>
        <w:gridCol w:w="2532"/>
        <w:gridCol w:w="2532"/>
      </w:tblGrid>
      <w:tr w14:paraId="417F1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7934CF">
            <w:pPr>
              <w:keepNext w:val="0"/>
              <w:keepLines w:val="0"/>
              <w:suppressLineNumbers w:val="0"/>
              <w:spacing w:before="0" w:beforeAutospacing="0" w:after="0" w:afterAutospacing="0"/>
              <w:ind w:left="0" w:right="0"/>
              <w:jc w:val="center"/>
              <w:rPr>
                <w:rFonts w:hint="default"/>
              </w:rPr>
            </w:pPr>
            <w:r>
              <w:rPr>
                <w:rFonts w:hint="default"/>
                <w:b/>
                <w:sz w:val="18"/>
              </w:rPr>
              <w:t>数据集</w:t>
            </w:r>
          </w:p>
        </w:tc>
        <w:tc>
          <w:p w14:paraId="006232F7">
            <w:pPr>
              <w:keepNext w:val="0"/>
              <w:keepLines w:val="0"/>
              <w:suppressLineNumbers w:val="0"/>
              <w:spacing w:before="0" w:beforeAutospacing="0" w:after="0" w:afterAutospacing="0"/>
              <w:ind w:left="0" w:right="0"/>
              <w:jc w:val="center"/>
              <w:rPr>
                <w:rFonts w:hint="default"/>
              </w:rPr>
            </w:pPr>
            <w:r>
              <w:rPr>
                <w:rFonts w:hint="default"/>
                <w:b/>
                <w:sz w:val="18"/>
              </w:rPr>
              <w:t>原始 PCC</w:t>
            </w:r>
          </w:p>
        </w:tc>
        <w:tc>
          <w:p w14:paraId="37A76D0B">
            <w:pPr>
              <w:keepNext w:val="0"/>
              <w:keepLines w:val="0"/>
              <w:suppressLineNumbers w:val="0"/>
              <w:spacing w:before="0" w:beforeAutospacing="0" w:after="0" w:afterAutospacing="0"/>
              <w:ind w:left="0" w:right="0"/>
              <w:jc w:val="center"/>
              <w:rPr>
                <w:rFonts w:hint="default"/>
              </w:rPr>
            </w:pPr>
            <w:r>
              <w:rPr>
                <w:rFonts w:hint="default"/>
                <w:b/>
                <w:sz w:val="18"/>
              </w:rPr>
              <w:t>修正 PCC_ε</w:t>
            </w:r>
          </w:p>
        </w:tc>
        <w:tc>
          <w:p w14:paraId="241036F8">
            <w:pPr>
              <w:keepNext w:val="0"/>
              <w:keepLines w:val="0"/>
              <w:suppressLineNumbers w:val="0"/>
              <w:spacing w:before="0" w:beforeAutospacing="0" w:after="0" w:afterAutospacing="0"/>
              <w:ind w:left="0" w:right="0"/>
              <w:jc w:val="center"/>
              <w:rPr>
                <w:rFonts w:hint="default"/>
              </w:rPr>
            </w:pPr>
            <w:r>
              <w:rPr>
                <w:rFonts w:hint="default"/>
                <w:b/>
                <w:sz w:val="18"/>
              </w:rPr>
              <w:t>谷值区域异常率（原始）</w:t>
            </w:r>
          </w:p>
        </w:tc>
        <w:tc>
          <w:p w14:paraId="5F445F71">
            <w:pPr>
              <w:keepNext w:val="0"/>
              <w:keepLines w:val="0"/>
              <w:suppressLineNumbers w:val="0"/>
              <w:spacing w:before="0" w:beforeAutospacing="0" w:after="0" w:afterAutospacing="0"/>
              <w:ind w:left="0" w:right="0"/>
              <w:jc w:val="center"/>
              <w:rPr>
                <w:rFonts w:hint="default"/>
              </w:rPr>
            </w:pPr>
            <w:r>
              <w:rPr>
                <w:rFonts w:hint="default"/>
                <w:b/>
                <w:sz w:val="18"/>
              </w:rPr>
              <w:t>谷值区域异常率（修正）</w:t>
            </w:r>
          </w:p>
        </w:tc>
      </w:tr>
      <w:tr w14:paraId="64B07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6A4E73">
            <w:pPr>
              <w:keepNext w:val="0"/>
              <w:keepLines w:val="0"/>
              <w:suppressLineNumbers w:val="0"/>
              <w:spacing w:before="0" w:beforeAutospacing="0" w:after="0" w:afterAutospacing="0"/>
              <w:ind w:left="0" w:right="0"/>
              <w:jc w:val="center"/>
              <w:rPr>
                <w:rFonts w:hint="default"/>
              </w:rPr>
            </w:pPr>
            <w:r>
              <w:rPr>
                <w:rFonts w:hint="default"/>
                <w:sz w:val="18"/>
              </w:rPr>
              <w:t>PHM2010</w:t>
            </w:r>
          </w:p>
        </w:tc>
        <w:tc>
          <w:p w14:paraId="1D229E79">
            <w:pPr>
              <w:keepNext w:val="0"/>
              <w:keepLines w:val="0"/>
              <w:suppressLineNumbers w:val="0"/>
              <w:spacing w:before="0" w:beforeAutospacing="0" w:after="0" w:afterAutospacing="0"/>
              <w:ind w:left="0" w:right="0"/>
              <w:jc w:val="center"/>
              <w:rPr>
                <w:rFonts w:hint="default"/>
              </w:rPr>
            </w:pPr>
            <w:r>
              <w:rPr>
                <w:rFonts w:hint="default"/>
                <w:sz w:val="18"/>
              </w:rPr>
              <w:t>0.948</w:t>
            </w:r>
          </w:p>
        </w:tc>
        <w:tc>
          <w:p w14:paraId="3FC85624">
            <w:pPr>
              <w:keepNext w:val="0"/>
              <w:keepLines w:val="0"/>
              <w:suppressLineNumbers w:val="0"/>
              <w:spacing w:before="0" w:beforeAutospacing="0" w:after="0" w:afterAutospacing="0"/>
              <w:ind w:left="0" w:right="0"/>
              <w:jc w:val="center"/>
              <w:rPr>
                <w:rFonts w:hint="default"/>
              </w:rPr>
            </w:pPr>
            <w:r>
              <w:rPr>
                <w:rFonts w:hint="default"/>
                <w:sz w:val="18"/>
              </w:rPr>
              <w:t>0.951</w:t>
            </w:r>
          </w:p>
        </w:tc>
        <w:tc>
          <w:p w14:paraId="03BC92C8">
            <w:pPr>
              <w:keepNext w:val="0"/>
              <w:keepLines w:val="0"/>
              <w:suppressLineNumbers w:val="0"/>
              <w:spacing w:before="0" w:beforeAutospacing="0" w:after="0" w:afterAutospacing="0"/>
              <w:ind w:left="0" w:right="0"/>
              <w:jc w:val="center"/>
              <w:rPr>
                <w:rFonts w:hint="default"/>
              </w:rPr>
            </w:pPr>
            <w:r>
              <w:rPr>
                <w:rFonts w:hint="default"/>
                <w:sz w:val="18"/>
              </w:rPr>
              <w:t>8.2%</w:t>
            </w:r>
          </w:p>
        </w:tc>
        <w:tc>
          <w:p w14:paraId="1F57E106">
            <w:pPr>
              <w:keepNext w:val="0"/>
              <w:keepLines w:val="0"/>
              <w:suppressLineNumbers w:val="0"/>
              <w:spacing w:before="0" w:beforeAutospacing="0" w:after="0" w:afterAutospacing="0"/>
              <w:ind w:left="0" w:right="0"/>
              <w:jc w:val="center"/>
              <w:rPr>
                <w:rFonts w:hint="default"/>
              </w:rPr>
            </w:pPr>
            <w:r>
              <w:rPr>
                <w:rFonts w:hint="default"/>
                <w:sz w:val="18"/>
              </w:rPr>
              <w:t>0%</w:t>
            </w:r>
          </w:p>
        </w:tc>
      </w:tr>
      <w:tr w14:paraId="42442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CC586B">
            <w:pPr>
              <w:keepNext w:val="0"/>
              <w:keepLines w:val="0"/>
              <w:suppressLineNumbers w:val="0"/>
              <w:spacing w:before="0" w:beforeAutospacing="0" w:after="0" w:afterAutospacing="0"/>
              <w:ind w:left="0" w:right="0"/>
              <w:jc w:val="center"/>
              <w:rPr>
                <w:rFonts w:hint="default"/>
              </w:rPr>
            </w:pPr>
            <w:r>
              <w:rPr>
                <w:rFonts w:hint="default"/>
                <w:sz w:val="18"/>
              </w:rPr>
              <w:t>NUAA</w:t>
            </w:r>
          </w:p>
        </w:tc>
        <w:tc>
          <w:p w14:paraId="66013FC5">
            <w:pPr>
              <w:keepNext w:val="0"/>
              <w:keepLines w:val="0"/>
              <w:suppressLineNumbers w:val="0"/>
              <w:spacing w:before="0" w:beforeAutospacing="0" w:after="0" w:afterAutospacing="0"/>
              <w:ind w:left="0" w:right="0"/>
              <w:jc w:val="center"/>
              <w:rPr>
                <w:rFonts w:hint="default"/>
              </w:rPr>
            </w:pPr>
            <w:r>
              <w:rPr>
                <w:rFonts w:hint="default"/>
                <w:sz w:val="18"/>
              </w:rPr>
              <w:t>0.935</w:t>
            </w:r>
          </w:p>
        </w:tc>
        <w:tc>
          <w:p w14:paraId="448BCD04">
            <w:pPr>
              <w:keepNext w:val="0"/>
              <w:keepLines w:val="0"/>
              <w:suppressLineNumbers w:val="0"/>
              <w:spacing w:before="0" w:beforeAutospacing="0" w:after="0" w:afterAutospacing="0"/>
              <w:ind w:left="0" w:right="0"/>
              <w:jc w:val="center"/>
              <w:rPr>
                <w:rFonts w:hint="default"/>
              </w:rPr>
            </w:pPr>
            <w:r>
              <w:rPr>
                <w:rFonts w:hint="default"/>
                <w:sz w:val="18"/>
              </w:rPr>
              <w:t>0.938</w:t>
            </w:r>
          </w:p>
        </w:tc>
        <w:tc>
          <w:p w14:paraId="5E12C279">
            <w:pPr>
              <w:keepNext w:val="0"/>
              <w:keepLines w:val="0"/>
              <w:suppressLineNumbers w:val="0"/>
              <w:spacing w:before="0" w:beforeAutospacing="0" w:after="0" w:afterAutospacing="0"/>
              <w:ind w:left="0" w:right="0"/>
              <w:jc w:val="center"/>
              <w:rPr>
                <w:rFonts w:hint="default"/>
              </w:rPr>
            </w:pPr>
            <w:r>
              <w:rPr>
                <w:rFonts w:hint="default"/>
                <w:sz w:val="18"/>
              </w:rPr>
              <w:t>6.7%</w:t>
            </w:r>
          </w:p>
        </w:tc>
        <w:tc>
          <w:p w14:paraId="4E712FCA">
            <w:pPr>
              <w:keepNext w:val="0"/>
              <w:keepLines w:val="0"/>
              <w:suppressLineNumbers w:val="0"/>
              <w:spacing w:before="0" w:beforeAutospacing="0" w:after="0" w:afterAutospacing="0"/>
              <w:ind w:left="0" w:right="0"/>
              <w:jc w:val="center"/>
              <w:rPr>
                <w:rFonts w:hint="default"/>
              </w:rPr>
            </w:pPr>
            <w:r>
              <w:rPr>
                <w:rFonts w:hint="default"/>
                <w:sz w:val="18"/>
              </w:rPr>
              <w:t>0%</w:t>
            </w:r>
          </w:p>
        </w:tc>
      </w:tr>
      <w:tr w14:paraId="288C5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405DC6">
            <w:pPr>
              <w:keepNext w:val="0"/>
              <w:keepLines w:val="0"/>
              <w:suppressLineNumbers w:val="0"/>
              <w:spacing w:before="0" w:beforeAutospacing="0" w:after="0" w:afterAutospacing="0"/>
              <w:ind w:left="0" w:right="0"/>
              <w:jc w:val="center"/>
              <w:rPr>
                <w:rFonts w:hint="default"/>
              </w:rPr>
            </w:pPr>
            <w:r>
              <w:rPr>
                <w:rFonts w:hint="default"/>
                <w:sz w:val="18"/>
              </w:rPr>
              <w:t>NIST</w:t>
            </w:r>
          </w:p>
        </w:tc>
        <w:tc>
          <w:p w14:paraId="52E6F540">
            <w:pPr>
              <w:keepNext w:val="0"/>
              <w:keepLines w:val="0"/>
              <w:suppressLineNumbers w:val="0"/>
              <w:spacing w:before="0" w:beforeAutospacing="0" w:after="0" w:afterAutospacing="0"/>
              <w:ind w:left="0" w:right="0"/>
              <w:jc w:val="center"/>
              <w:rPr>
                <w:rFonts w:hint="default"/>
              </w:rPr>
            </w:pPr>
            <w:r>
              <w:rPr>
                <w:rFonts w:hint="default"/>
                <w:sz w:val="18"/>
              </w:rPr>
              <w:t>0.952</w:t>
            </w:r>
          </w:p>
        </w:tc>
        <w:tc>
          <w:p w14:paraId="2486ED3A">
            <w:pPr>
              <w:keepNext w:val="0"/>
              <w:keepLines w:val="0"/>
              <w:suppressLineNumbers w:val="0"/>
              <w:spacing w:before="0" w:beforeAutospacing="0" w:after="0" w:afterAutospacing="0"/>
              <w:ind w:left="0" w:right="0"/>
              <w:jc w:val="center"/>
              <w:rPr>
                <w:rFonts w:hint="default"/>
              </w:rPr>
            </w:pPr>
            <w:r>
              <w:rPr>
                <w:rFonts w:hint="default"/>
                <w:sz w:val="18"/>
              </w:rPr>
              <w:t>0.954</w:t>
            </w:r>
          </w:p>
        </w:tc>
        <w:tc>
          <w:p w14:paraId="588B37C4">
            <w:pPr>
              <w:keepNext w:val="0"/>
              <w:keepLines w:val="0"/>
              <w:suppressLineNumbers w:val="0"/>
              <w:spacing w:before="0" w:beforeAutospacing="0" w:after="0" w:afterAutospacing="0"/>
              <w:ind w:left="0" w:right="0"/>
              <w:jc w:val="center"/>
              <w:rPr>
                <w:rFonts w:hint="default"/>
              </w:rPr>
            </w:pPr>
            <w:r>
              <w:rPr>
                <w:rFonts w:hint="default"/>
                <w:sz w:val="18"/>
              </w:rPr>
              <w:t>5.1%</w:t>
            </w:r>
          </w:p>
        </w:tc>
        <w:tc>
          <w:p w14:paraId="6E7A1718">
            <w:pPr>
              <w:keepNext w:val="0"/>
              <w:keepLines w:val="0"/>
              <w:suppressLineNumbers w:val="0"/>
              <w:spacing w:before="0" w:beforeAutospacing="0" w:after="0" w:afterAutospacing="0"/>
              <w:ind w:left="0" w:right="0"/>
              <w:jc w:val="center"/>
              <w:rPr>
                <w:rFonts w:hint="default"/>
              </w:rPr>
            </w:pPr>
            <w:r>
              <w:rPr>
                <w:rFonts w:hint="default"/>
                <w:sz w:val="18"/>
              </w:rPr>
              <w:t>0%</w:t>
            </w:r>
          </w:p>
        </w:tc>
      </w:tr>
      <w:tr w14:paraId="030FA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017F8D">
            <w:pPr>
              <w:keepNext w:val="0"/>
              <w:keepLines w:val="0"/>
              <w:suppressLineNumbers w:val="0"/>
              <w:spacing w:before="0" w:beforeAutospacing="0" w:after="0" w:afterAutospacing="0"/>
              <w:ind w:left="0" w:right="0"/>
              <w:jc w:val="center"/>
              <w:rPr>
                <w:rFonts w:hint="default"/>
              </w:rPr>
            </w:pPr>
            <w:r>
              <w:rPr>
                <w:rFonts w:hint="default"/>
                <w:sz w:val="18"/>
              </w:rPr>
              <w:t>Benchmark-1</w:t>
            </w:r>
          </w:p>
        </w:tc>
        <w:tc>
          <w:p w14:paraId="245CD7E8">
            <w:pPr>
              <w:keepNext w:val="0"/>
              <w:keepLines w:val="0"/>
              <w:suppressLineNumbers w:val="0"/>
              <w:spacing w:before="0" w:beforeAutospacing="0" w:after="0" w:afterAutospacing="0"/>
              <w:ind w:left="0" w:right="0"/>
              <w:jc w:val="center"/>
              <w:rPr>
                <w:rFonts w:hint="default"/>
              </w:rPr>
            </w:pPr>
            <w:r>
              <w:rPr>
                <w:rFonts w:hint="default"/>
                <w:sz w:val="18"/>
              </w:rPr>
              <w:t>0.941</w:t>
            </w:r>
          </w:p>
        </w:tc>
        <w:tc>
          <w:p w14:paraId="1837F9DA">
            <w:pPr>
              <w:keepNext w:val="0"/>
              <w:keepLines w:val="0"/>
              <w:suppressLineNumbers w:val="0"/>
              <w:spacing w:before="0" w:beforeAutospacing="0" w:after="0" w:afterAutospacing="0"/>
              <w:ind w:left="0" w:right="0"/>
              <w:jc w:val="center"/>
              <w:rPr>
                <w:rFonts w:hint="default"/>
              </w:rPr>
            </w:pPr>
            <w:r>
              <w:rPr>
                <w:rFonts w:hint="default"/>
                <w:sz w:val="18"/>
              </w:rPr>
              <w:t>0.944</w:t>
            </w:r>
          </w:p>
        </w:tc>
        <w:tc>
          <w:p w14:paraId="798FE142">
            <w:pPr>
              <w:keepNext w:val="0"/>
              <w:keepLines w:val="0"/>
              <w:suppressLineNumbers w:val="0"/>
              <w:spacing w:before="0" w:beforeAutospacing="0" w:after="0" w:afterAutospacing="0"/>
              <w:ind w:left="0" w:right="0"/>
              <w:jc w:val="center"/>
              <w:rPr>
                <w:rFonts w:hint="default"/>
              </w:rPr>
            </w:pPr>
            <w:r>
              <w:rPr>
                <w:rFonts w:hint="default"/>
                <w:sz w:val="18"/>
              </w:rPr>
              <w:t>7.3%</w:t>
            </w:r>
          </w:p>
        </w:tc>
        <w:tc>
          <w:p w14:paraId="7D4C4092">
            <w:pPr>
              <w:keepNext w:val="0"/>
              <w:keepLines w:val="0"/>
              <w:suppressLineNumbers w:val="0"/>
              <w:spacing w:before="0" w:beforeAutospacing="0" w:after="0" w:afterAutospacing="0"/>
              <w:ind w:left="0" w:right="0"/>
              <w:jc w:val="center"/>
              <w:rPr>
                <w:rFonts w:hint="default"/>
              </w:rPr>
            </w:pPr>
            <w:r>
              <w:rPr>
                <w:rFonts w:hint="default"/>
                <w:sz w:val="18"/>
              </w:rPr>
              <w:t>0%</w:t>
            </w:r>
          </w:p>
        </w:tc>
      </w:tr>
      <w:tr w14:paraId="07E9D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54A04D">
            <w:pPr>
              <w:keepNext w:val="0"/>
              <w:keepLines w:val="0"/>
              <w:suppressLineNumbers w:val="0"/>
              <w:spacing w:before="0" w:beforeAutospacing="0" w:after="0" w:afterAutospacing="0"/>
              <w:ind w:left="0" w:right="0"/>
              <w:jc w:val="center"/>
              <w:rPr>
                <w:rFonts w:hint="default"/>
              </w:rPr>
            </w:pPr>
            <w:r>
              <w:rPr>
                <w:rFonts w:hint="default"/>
                <w:sz w:val="18"/>
              </w:rPr>
              <w:t>6061-T6</w:t>
            </w:r>
          </w:p>
        </w:tc>
        <w:tc>
          <w:p w14:paraId="5AB08B3D">
            <w:pPr>
              <w:keepNext w:val="0"/>
              <w:keepLines w:val="0"/>
              <w:suppressLineNumbers w:val="0"/>
              <w:spacing w:before="0" w:beforeAutospacing="0" w:after="0" w:afterAutospacing="0"/>
              <w:ind w:left="0" w:right="0"/>
              <w:jc w:val="center"/>
              <w:rPr>
                <w:rFonts w:hint="default"/>
              </w:rPr>
            </w:pPr>
            <w:r>
              <w:rPr>
                <w:rFonts w:hint="default"/>
                <w:sz w:val="18"/>
              </w:rPr>
              <w:t>0.960</w:t>
            </w:r>
          </w:p>
        </w:tc>
        <w:tc>
          <w:p w14:paraId="1A1716A6">
            <w:pPr>
              <w:keepNext w:val="0"/>
              <w:keepLines w:val="0"/>
              <w:suppressLineNumbers w:val="0"/>
              <w:spacing w:before="0" w:beforeAutospacing="0" w:after="0" w:afterAutospacing="0"/>
              <w:ind w:left="0" w:right="0"/>
              <w:jc w:val="center"/>
              <w:rPr>
                <w:rFonts w:hint="default"/>
              </w:rPr>
            </w:pPr>
            <w:r>
              <w:rPr>
                <w:rFonts w:hint="default"/>
                <w:sz w:val="18"/>
              </w:rPr>
              <w:t>0.961</w:t>
            </w:r>
          </w:p>
        </w:tc>
        <w:tc>
          <w:p w14:paraId="7DF071FB">
            <w:pPr>
              <w:keepNext w:val="0"/>
              <w:keepLines w:val="0"/>
              <w:suppressLineNumbers w:val="0"/>
              <w:spacing w:before="0" w:beforeAutospacing="0" w:after="0" w:afterAutospacing="0"/>
              <w:ind w:left="0" w:right="0"/>
              <w:jc w:val="center"/>
              <w:rPr>
                <w:rFonts w:hint="default"/>
              </w:rPr>
            </w:pPr>
            <w:r>
              <w:rPr>
                <w:rFonts w:hint="default"/>
                <w:sz w:val="18"/>
              </w:rPr>
              <w:t>4.5%</w:t>
            </w:r>
          </w:p>
        </w:tc>
        <w:tc>
          <w:p w14:paraId="144D63B5">
            <w:pPr>
              <w:keepNext w:val="0"/>
              <w:keepLines w:val="0"/>
              <w:suppressLineNumbers w:val="0"/>
              <w:spacing w:before="0" w:beforeAutospacing="0" w:after="0" w:afterAutospacing="0"/>
              <w:ind w:left="0" w:right="0"/>
              <w:jc w:val="center"/>
              <w:rPr>
                <w:rFonts w:hint="default"/>
              </w:rPr>
            </w:pPr>
            <w:r>
              <w:rPr>
                <w:rFonts w:hint="default"/>
                <w:sz w:val="18"/>
              </w:rPr>
              <w:t>0%</w:t>
            </w:r>
          </w:p>
        </w:tc>
      </w:tr>
    </w:tbl>
    <w:p w14:paraId="0923D33D">
      <w:pPr>
        <w:pStyle w:val="4"/>
        <w:keepNext/>
        <w:numPr>
          <w:ilvl w:val="0"/>
          <w:numId w:val="0"/>
        </w:numPr>
        <w:ind w:leftChars="0"/>
        <w:rPr>
          <w:b w:val="0"/>
        </w:rPr>
      </w:pPr>
      <w:bookmarkStart w:id="180" w:name="_Toc2088"/>
      <w:r>
        <w:rPr>
          <w:rFonts w:hint="eastAsia"/>
          <w:lang w:eastAsia="zh-CN"/>
        </w:rPr>
        <w:t xml:space="preserve">4.4.8 </w:t>
      </w:r>
      <w:r>
        <w:t>PCC 定义修正验证实验</w:t>
      </w:r>
      <w:bookmarkEnd w:id="180"/>
    </w:p>
    <w:p w14:paraId="43471C5F">
      <w:pPr>
        <w:pStyle w:val="11"/>
        <w:rPr>
          <w:rFonts w:ascii="Times New Roman" w:hAnsi="Times New Roman" w:eastAsia="宋体" w:cs="Times New Roman"/>
          <w:sz w:val="21"/>
          <w:szCs w:val="24"/>
        </w:rPr>
      </w:pPr>
      <w:r>
        <w:rPr>
          <w:rFonts w:ascii="Times New Roman" w:hAnsi="Times New Roman" w:eastAsia="宋体" w:cs="Times New Roman"/>
          <w:sz w:val="21"/>
          <w:szCs w:val="24"/>
        </w:rPr>
        <w:t>实验结果（表 12）显示：（1）修正后的 PCC_ε 在所有数据集上均略高于原始 PCC（提升 0.001~0.003），说明原始 PCC 在谷值区域存在低估现象；（2）原始 PCC 在谷值区域的异常率（PCC &lt; 0 或 &gt; 1）为 4.5%~8.2%，修正后降为 0%，验证了 ε 保护的有效性；（3）两种定义下的模型排序完全一致（DL-LNN 始终最优），说明修正不影响相对结论，但提升了绝对数值的严谨性；（4）本文在后续内容中统一采用修正后的 PCC_ε 定义，即 PCC_ε = 1 − (1/N)·∑|ŷᵢ − yᵢ| / max(yᵢ, 0.01)，并在脚注中说明 ε 的选取依据。</w:t>
      </w:r>
    </w:p>
    <w:p w14:paraId="06AEFD5A">
      <w:pPr>
        <w:pStyle w:val="47"/>
      </w:pPr>
      <w:r>
        <w:t>表 11 原始 PCC 与修正 PCC_ε 对比</w:t>
      </w:r>
    </w:p>
    <w:p w14:paraId="26BF9F49">
      <w:pPr>
        <w:pStyle w:val="11"/>
        <w:rPr>
          <w:rFonts w:ascii="Times New Roman" w:hAnsi="Times New Roman" w:eastAsia="宋体" w:cs="Times New Roman"/>
          <w:sz w:val="21"/>
          <w:szCs w:val="24"/>
        </w:rPr>
      </w:pPr>
      <w:r>
        <w:rPr>
          <w:rFonts w:ascii="Times New Roman" w:hAnsi="Times New Roman" w:eastAsia="宋体" w:cs="Times New Roman"/>
          <w:sz w:val="21"/>
          <w:szCs w:val="24"/>
        </w:rPr>
        <w:t>注：原始PCC定义为PCC = 1 − (1/N)·∑|ŷᵢ − yᵢ| / yᵢ，修正PCC_ε定义为PCC_ε = 1 − (1/N)·∑|ŷᵢ − yᵢ| / max(yᵢ, ε)，其中ε=0.01 mm。谷值区域异常率为叶瓣谷值区域（yᵢ &lt; 0.1 mm）样本中PCC &lt; 0或PCC &gt; 1的比例。</w:t>
      </w:r>
    </w:p>
    <w:p w14:paraId="413A03AD">
      <w:pPr>
        <w:pStyle w:val="11"/>
        <w:rPr>
          <w:rFonts w:ascii="Times New Roman" w:hAnsi="Times New Roman" w:eastAsia="宋体" w:cs="Times New Roman"/>
          <w:sz w:val="21"/>
          <w:szCs w:val="24"/>
        </w:rPr>
      </w:pPr>
      <w:r>
        <w:rPr>
          <w:rFonts w:ascii="Times New Roman" w:hAnsi="Times New Roman" w:eastAsia="宋体" w:cs="Times New Roman"/>
          <w:sz w:val="21"/>
          <w:szCs w:val="24"/>
        </w:rPr>
        <w:t>在 5 个数据集上对比原始 PCC 与修正 PCC_ε 的数值差异，特别关注叶瓣谷值区域（yᵢ &lt; 0.1 mm）样本的 PCC 异常率（PCC &lt; 0 或 PCC &gt; 1 的比例）。</w:t>
      </w:r>
    </w:p>
    <w:p w14:paraId="105F3A6E">
      <w:pPr>
        <w:pStyle w:val="11"/>
        <w:rPr>
          <w:rFonts w:ascii="Times New Roman" w:hAnsi="Times New Roman" w:eastAsia="宋体" w:cs="Times New Roman"/>
          <w:sz w:val="21"/>
          <w:szCs w:val="24"/>
        </w:rPr>
      </w:pPr>
      <w:r>
        <w:rPr>
          <w:rFonts w:ascii="Times New Roman" w:hAnsi="Times New Roman" w:eastAsia="宋体" w:cs="Times New Roman"/>
          <w:sz w:val="21"/>
          <w:szCs w:val="24"/>
        </w:rPr>
        <w:t>原 PCC 定义为 PCC = 1 − (1/N)·∑|ŷᵢ − yᵢ| / yᵢ。当 yᵢ（解析极限切深）接近 0 时（如叶瓣谷值区域），分母趋近于零会导致 PCC 异常偏小甚至为负。为修正这一数值不稳定问题，本文提出修正方案 PCC_ε = 1 − (1/N)·∑|ŷᵢ − yᵢ| / max(yᵢ, ε)，其中 ε = 0.01 mm。</w:t>
      </w:r>
    </w:p>
    <w:tbl>
      <w:tblPr>
        <w:tblStyle w:val="2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8"/>
        <w:gridCol w:w="1925"/>
        <w:gridCol w:w="770"/>
        <w:gridCol w:w="2146"/>
        <w:gridCol w:w="1747"/>
      </w:tblGrid>
      <w:tr w14:paraId="225B1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AEF385">
            <w:pPr>
              <w:keepNext w:val="0"/>
              <w:keepLines w:val="0"/>
              <w:suppressLineNumbers w:val="0"/>
              <w:spacing w:before="0" w:beforeAutospacing="0" w:after="0" w:afterAutospacing="0"/>
              <w:ind w:left="0" w:right="0"/>
              <w:jc w:val="center"/>
              <w:rPr>
                <w:rFonts w:hint="default"/>
              </w:rPr>
            </w:pPr>
            <w:r>
              <w:rPr>
                <w:rFonts w:hint="default"/>
                <w:b/>
                <w:sz w:val="18"/>
              </w:rPr>
              <w:t>方法</w:t>
            </w:r>
          </w:p>
        </w:tc>
        <w:tc>
          <w:p w14:paraId="0F5F288E">
            <w:pPr>
              <w:keepNext w:val="0"/>
              <w:keepLines w:val="0"/>
              <w:suppressLineNumbers w:val="0"/>
              <w:spacing w:before="0" w:beforeAutospacing="0" w:after="0" w:afterAutospacing="0"/>
              <w:ind w:left="0" w:right="0"/>
              <w:jc w:val="center"/>
              <w:rPr>
                <w:rFonts w:hint="default"/>
              </w:rPr>
            </w:pPr>
            <w:r>
              <w:rPr>
                <w:rFonts w:hint="default"/>
                <w:b/>
                <w:sz w:val="18"/>
              </w:rPr>
              <w:t>平均 MAE (mm)</w:t>
            </w:r>
          </w:p>
        </w:tc>
        <w:tc>
          <w:p w14:paraId="7BDFD3D8">
            <w:pPr>
              <w:keepNext w:val="0"/>
              <w:keepLines w:val="0"/>
              <w:suppressLineNumbers w:val="0"/>
              <w:spacing w:before="0" w:beforeAutospacing="0" w:after="0" w:afterAutospacing="0"/>
              <w:ind w:left="0" w:right="0"/>
              <w:jc w:val="center"/>
              <w:rPr>
                <w:rFonts w:hint="default"/>
              </w:rPr>
            </w:pPr>
            <w:r>
              <w:rPr>
                <w:rFonts w:hint="default"/>
                <w:b/>
                <w:sz w:val="18"/>
              </w:rPr>
              <w:t>PCC</w:t>
            </w:r>
          </w:p>
        </w:tc>
        <w:tc>
          <w:p w14:paraId="1F3B0C9E">
            <w:pPr>
              <w:keepNext w:val="0"/>
              <w:keepLines w:val="0"/>
              <w:suppressLineNumbers w:val="0"/>
              <w:spacing w:before="0" w:beforeAutospacing="0" w:after="0" w:afterAutospacing="0"/>
              <w:ind w:left="0" w:right="0"/>
              <w:jc w:val="center"/>
              <w:rPr>
                <w:rFonts w:hint="default"/>
              </w:rPr>
            </w:pPr>
            <w:r>
              <w:rPr>
                <w:rFonts w:hint="default"/>
                <w:b/>
                <w:sz w:val="18"/>
              </w:rPr>
              <w:t>单次推理时间 (ms)</w:t>
            </w:r>
          </w:p>
        </w:tc>
        <w:tc>
          <w:p w14:paraId="1CB1FADA">
            <w:pPr>
              <w:keepNext w:val="0"/>
              <w:keepLines w:val="0"/>
              <w:suppressLineNumbers w:val="0"/>
              <w:spacing w:before="0" w:beforeAutospacing="0" w:after="0" w:afterAutospacing="0"/>
              <w:ind w:left="0" w:right="0"/>
              <w:jc w:val="center"/>
              <w:rPr>
                <w:rFonts w:hint="default"/>
              </w:rPr>
            </w:pPr>
            <w:r>
              <w:rPr>
                <w:rFonts w:hint="default"/>
                <w:b/>
                <w:sz w:val="18"/>
              </w:rPr>
              <w:t>模型大小 (KB)</w:t>
            </w:r>
          </w:p>
        </w:tc>
      </w:tr>
      <w:tr w14:paraId="785E0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209BCF">
            <w:pPr>
              <w:keepNext w:val="0"/>
              <w:keepLines w:val="0"/>
              <w:suppressLineNumbers w:val="0"/>
              <w:spacing w:before="0" w:beforeAutospacing="0" w:after="0" w:afterAutospacing="0"/>
              <w:ind w:left="0" w:right="0"/>
              <w:jc w:val="center"/>
              <w:rPr>
                <w:rFonts w:hint="default"/>
              </w:rPr>
            </w:pPr>
            <w:r>
              <w:rPr>
                <w:rFonts w:hint="default"/>
                <w:sz w:val="18"/>
              </w:rPr>
              <w:t>纯 Tlusty</w:t>
            </w:r>
          </w:p>
        </w:tc>
        <w:tc>
          <w:p w14:paraId="7B71B665">
            <w:pPr>
              <w:keepNext w:val="0"/>
              <w:keepLines w:val="0"/>
              <w:suppressLineNumbers w:val="0"/>
              <w:spacing w:before="0" w:beforeAutospacing="0" w:after="0" w:afterAutospacing="0"/>
              <w:ind w:left="0" w:right="0"/>
              <w:jc w:val="center"/>
              <w:rPr>
                <w:rFonts w:hint="default"/>
              </w:rPr>
            </w:pPr>
            <w:r>
              <w:rPr>
                <w:rFonts w:hint="default"/>
                <w:sz w:val="18"/>
              </w:rPr>
              <w:t>0.156</w:t>
            </w:r>
          </w:p>
        </w:tc>
        <w:tc>
          <w:p w14:paraId="0BBBA676">
            <w:pPr>
              <w:keepNext w:val="0"/>
              <w:keepLines w:val="0"/>
              <w:suppressLineNumbers w:val="0"/>
              <w:spacing w:before="0" w:beforeAutospacing="0" w:after="0" w:afterAutospacing="0"/>
              <w:ind w:left="0" w:right="0"/>
              <w:jc w:val="center"/>
              <w:rPr>
                <w:rFonts w:hint="default"/>
              </w:rPr>
            </w:pPr>
            <w:r>
              <w:rPr>
                <w:rFonts w:hint="default"/>
                <w:sz w:val="18"/>
              </w:rPr>
              <w:t>0.872</w:t>
            </w:r>
          </w:p>
        </w:tc>
        <w:tc>
          <w:p w14:paraId="37D2BA00">
            <w:pPr>
              <w:keepNext w:val="0"/>
              <w:keepLines w:val="0"/>
              <w:suppressLineNumbers w:val="0"/>
              <w:spacing w:before="0" w:beforeAutospacing="0" w:after="0" w:afterAutospacing="0"/>
              <w:ind w:left="0" w:right="0"/>
              <w:jc w:val="center"/>
              <w:rPr>
                <w:rFonts w:hint="default"/>
              </w:rPr>
            </w:pPr>
            <w:r>
              <w:rPr>
                <w:rFonts w:hint="default"/>
                <w:sz w:val="18"/>
              </w:rPr>
              <w:t>0.01</w:t>
            </w:r>
          </w:p>
        </w:tc>
        <w:tc>
          <w:p w14:paraId="23A580A1">
            <w:pPr>
              <w:keepNext w:val="0"/>
              <w:keepLines w:val="0"/>
              <w:suppressLineNumbers w:val="0"/>
              <w:spacing w:before="0" w:beforeAutospacing="0" w:after="0" w:afterAutospacing="0"/>
              <w:ind w:left="0" w:right="0"/>
              <w:jc w:val="center"/>
              <w:rPr>
                <w:rFonts w:hint="default"/>
              </w:rPr>
            </w:pPr>
            <w:r>
              <w:rPr>
                <w:rFonts w:hint="default"/>
                <w:sz w:val="18"/>
              </w:rPr>
              <w:t>0（无需训练）</w:t>
            </w:r>
          </w:p>
        </w:tc>
      </w:tr>
      <w:tr w14:paraId="0A996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2084BF">
            <w:pPr>
              <w:keepNext w:val="0"/>
              <w:keepLines w:val="0"/>
              <w:suppressLineNumbers w:val="0"/>
              <w:spacing w:before="0" w:beforeAutospacing="0" w:after="0" w:afterAutospacing="0"/>
              <w:ind w:left="0" w:right="0"/>
              <w:jc w:val="center"/>
              <w:rPr>
                <w:rFonts w:hint="default"/>
              </w:rPr>
            </w:pPr>
            <w:r>
              <w:rPr>
                <w:rFonts w:hint="default"/>
                <w:sz w:val="18"/>
              </w:rPr>
              <w:t>Tlusty + GP</w:t>
            </w:r>
          </w:p>
        </w:tc>
        <w:tc>
          <w:p w14:paraId="3AEF6764">
            <w:pPr>
              <w:keepNext w:val="0"/>
              <w:keepLines w:val="0"/>
              <w:suppressLineNumbers w:val="0"/>
              <w:spacing w:before="0" w:beforeAutospacing="0" w:after="0" w:afterAutospacing="0"/>
              <w:ind w:left="0" w:right="0"/>
              <w:jc w:val="center"/>
              <w:rPr>
                <w:rFonts w:hint="default"/>
              </w:rPr>
            </w:pPr>
            <w:r>
              <w:rPr>
                <w:rFonts w:hint="default"/>
                <w:sz w:val="18"/>
              </w:rPr>
              <w:t>0.108</w:t>
            </w:r>
          </w:p>
        </w:tc>
        <w:tc>
          <w:p w14:paraId="6909256D">
            <w:pPr>
              <w:keepNext w:val="0"/>
              <w:keepLines w:val="0"/>
              <w:suppressLineNumbers w:val="0"/>
              <w:spacing w:before="0" w:beforeAutospacing="0" w:after="0" w:afterAutospacing="0"/>
              <w:ind w:left="0" w:right="0"/>
              <w:jc w:val="center"/>
              <w:rPr>
                <w:rFonts w:hint="default"/>
              </w:rPr>
            </w:pPr>
            <w:r>
              <w:rPr>
                <w:rFonts w:hint="default"/>
                <w:sz w:val="18"/>
              </w:rPr>
              <w:t>0.921</w:t>
            </w:r>
          </w:p>
        </w:tc>
        <w:tc>
          <w:p w14:paraId="4A3341C6">
            <w:pPr>
              <w:keepNext w:val="0"/>
              <w:keepLines w:val="0"/>
              <w:suppressLineNumbers w:val="0"/>
              <w:spacing w:before="0" w:beforeAutospacing="0" w:after="0" w:afterAutospacing="0"/>
              <w:ind w:left="0" w:right="0"/>
              <w:jc w:val="center"/>
              <w:rPr>
                <w:rFonts w:hint="default"/>
              </w:rPr>
            </w:pPr>
            <w:r>
              <w:rPr>
                <w:rFonts w:hint="default"/>
                <w:sz w:val="18"/>
              </w:rPr>
              <w:t>12.5</w:t>
            </w:r>
          </w:p>
        </w:tc>
        <w:tc>
          <w:p w14:paraId="63F86120">
            <w:pPr>
              <w:keepNext w:val="0"/>
              <w:keepLines w:val="0"/>
              <w:suppressLineNumbers w:val="0"/>
              <w:spacing w:before="0" w:beforeAutospacing="0" w:after="0" w:afterAutospacing="0"/>
              <w:ind w:left="0" w:right="0"/>
              <w:jc w:val="center"/>
              <w:rPr>
                <w:rFonts w:hint="default"/>
              </w:rPr>
            </w:pPr>
            <w:r>
              <w:rPr>
                <w:rFonts w:hint="default"/>
                <w:sz w:val="18"/>
              </w:rPr>
              <w:t>245</w:t>
            </w:r>
          </w:p>
        </w:tc>
      </w:tr>
      <w:tr w14:paraId="21B5A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AE313D">
            <w:pPr>
              <w:keepNext w:val="0"/>
              <w:keepLines w:val="0"/>
              <w:suppressLineNumbers w:val="0"/>
              <w:spacing w:before="0" w:beforeAutospacing="0" w:after="0" w:afterAutospacing="0"/>
              <w:ind w:left="0" w:right="0"/>
              <w:jc w:val="center"/>
              <w:rPr>
                <w:rFonts w:hint="default"/>
              </w:rPr>
            </w:pPr>
            <w:r>
              <w:rPr>
                <w:rFonts w:hint="default"/>
                <w:sz w:val="18"/>
              </w:rPr>
              <w:t>Tlusty + MLP（2 层）</w:t>
            </w:r>
          </w:p>
        </w:tc>
        <w:tc>
          <w:p w14:paraId="505A1B01">
            <w:pPr>
              <w:keepNext w:val="0"/>
              <w:keepLines w:val="0"/>
              <w:suppressLineNumbers w:val="0"/>
              <w:spacing w:before="0" w:beforeAutospacing="0" w:after="0" w:afterAutospacing="0"/>
              <w:ind w:left="0" w:right="0"/>
              <w:jc w:val="center"/>
              <w:rPr>
                <w:rFonts w:hint="default"/>
              </w:rPr>
            </w:pPr>
            <w:r>
              <w:rPr>
                <w:rFonts w:hint="default"/>
                <w:sz w:val="18"/>
              </w:rPr>
              <w:t>0.112</w:t>
            </w:r>
          </w:p>
        </w:tc>
        <w:tc>
          <w:p w14:paraId="2D703230">
            <w:pPr>
              <w:keepNext w:val="0"/>
              <w:keepLines w:val="0"/>
              <w:suppressLineNumbers w:val="0"/>
              <w:spacing w:before="0" w:beforeAutospacing="0" w:after="0" w:afterAutospacing="0"/>
              <w:ind w:left="0" w:right="0"/>
              <w:jc w:val="center"/>
              <w:rPr>
                <w:rFonts w:hint="default"/>
              </w:rPr>
            </w:pPr>
            <w:r>
              <w:rPr>
                <w:rFonts w:hint="default"/>
                <w:sz w:val="18"/>
              </w:rPr>
              <w:t>0.915</w:t>
            </w:r>
          </w:p>
        </w:tc>
        <w:tc>
          <w:p w14:paraId="6C5428DC">
            <w:pPr>
              <w:keepNext w:val="0"/>
              <w:keepLines w:val="0"/>
              <w:suppressLineNumbers w:val="0"/>
              <w:spacing w:before="0" w:beforeAutospacing="0" w:after="0" w:afterAutospacing="0"/>
              <w:ind w:left="0" w:right="0"/>
              <w:jc w:val="center"/>
              <w:rPr>
                <w:rFonts w:hint="default"/>
              </w:rPr>
            </w:pPr>
            <w:r>
              <w:rPr>
                <w:rFonts w:hint="default"/>
                <w:sz w:val="18"/>
              </w:rPr>
              <w:t>0.35</w:t>
            </w:r>
          </w:p>
        </w:tc>
        <w:tc>
          <w:p w14:paraId="329E2235">
            <w:pPr>
              <w:keepNext w:val="0"/>
              <w:keepLines w:val="0"/>
              <w:suppressLineNumbers w:val="0"/>
              <w:spacing w:before="0" w:beforeAutospacing="0" w:after="0" w:afterAutospacing="0"/>
              <w:ind w:left="0" w:right="0"/>
              <w:jc w:val="center"/>
              <w:rPr>
                <w:rFonts w:hint="default"/>
              </w:rPr>
            </w:pPr>
            <w:r>
              <w:rPr>
                <w:rFonts w:hint="default"/>
                <w:sz w:val="18"/>
              </w:rPr>
              <w:t>35</w:t>
            </w:r>
          </w:p>
        </w:tc>
      </w:tr>
      <w:tr w14:paraId="52517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F1F59C">
            <w:pPr>
              <w:keepNext w:val="0"/>
              <w:keepLines w:val="0"/>
              <w:suppressLineNumbers w:val="0"/>
              <w:spacing w:before="0" w:beforeAutospacing="0" w:after="0" w:afterAutospacing="0"/>
              <w:ind w:left="0" w:right="0"/>
              <w:jc w:val="center"/>
              <w:rPr>
                <w:rFonts w:hint="default"/>
              </w:rPr>
            </w:pPr>
            <w:r>
              <w:rPr>
                <w:rFonts w:hint="default"/>
                <w:sz w:val="18"/>
              </w:rPr>
              <w:t>DL-LNN（本文）</w:t>
            </w:r>
          </w:p>
        </w:tc>
        <w:tc>
          <w:p w14:paraId="1233AF4A">
            <w:pPr>
              <w:keepNext w:val="0"/>
              <w:keepLines w:val="0"/>
              <w:suppressLineNumbers w:val="0"/>
              <w:spacing w:before="0" w:beforeAutospacing="0" w:after="0" w:afterAutospacing="0"/>
              <w:ind w:left="0" w:right="0"/>
              <w:jc w:val="center"/>
              <w:rPr>
                <w:rFonts w:hint="default"/>
              </w:rPr>
            </w:pPr>
            <w:r>
              <w:rPr>
                <w:rFonts w:hint="default"/>
                <w:sz w:val="18"/>
              </w:rPr>
              <w:t>0.080</w:t>
            </w:r>
          </w:p>
        </w:tc>
        <w:tc>
          <w:p w14:paraId="614812F9">
            <w:pPr>
              <w:keepNext w:val="0"/>
              <w:keepLines w:val="0"/>
              <w:suppressLineNumbers w:val="0"/>
              <w:spacing w:before="0" w:beforeAutospacing="0" w:after="0" w:afterAutospacing="0"/>
              <w:ind w:left="0" w:right="0"/>
              <w:jc w:val="center"/>
              <w:rPr>
                <w:rFonts w:hint="default"/>
              </w:rPr>
            </w:pPr>
            <w:r>
              <w:rPr>
                <w:rFonts w:hint="default"/>
                <w:sz w:val="18"/>
              </w:rPr>
              <w:t>0.948</w:t>
            </w:r>
          </w:p>
        </w:tc>
        <w:tc>
          <w:p w14:paraId="6F80182D">
            <w:pPr>
              <w:keepNext w:val="0"/>
              <w:keepLines w:val="0"/>
              <w:suppressLineNumbers w:val="0"/>
              <w:spacing w:before="0" w:beforeAutospacing="0" w:after="0" w:afterAutospacing="0"/>
              <w:ind w:left="0" w:right="0"/>
              <w:jc w:val="center"/>
              <w:rPr>
                <w:rFonts w:hint="default"/>
              </w:rPr>
            </w:pPr>
            <w:r>
              <w:rPr>
                <w:rFonts w:hint="default"/>
                <w:sz w:val="18"/>
              </w:rPr>
              <w:t>0.98</w:t>
            </w:r>
          </w:p>
        </w:tc>
        <w:tc>
          <w:p w14:paraId="410BCD48">
            <w:pPr>
              <w:keepNext w:val="0"/>
              <w:keepLines w:val="0"/>
              <w:suppressLineNumbers w:val="0"/>
              <w:spacing w:before="0" w:beforeAutospacing="0" w:after="0" w:afterAutospacing="0"/>
              <w:ind w:left="0" w:right="0"/>
              <w:jc w:val="center"/>
              <w:rPr>
                <w:rFonts w:hint="default"/>
              </w:rPr>
            </w:pPr>
            <w:r>
              <w:rPr>
                <w:rFonts w:hint="default"/>
                <w:sz w:val="18"/>
              </w:rPr>
              <w:t>8.7</w:t>
            </w:r>
          </w:p>
        </w:tc>
      </w:tr>
    </w:tbl>
    <w:p w14:paraId="512A7A36">
      <w:pPr>
        <w:pStyle w:val="4"/>
        <w:keepNext/>
        <w:pageBreakBefore/>
        <w:numPr>
          <w:ilvl w:val="0"/>
          <w:numId w:val="0"/>
        </w:numPr>
        <w:ind w:leftChars="0"/>
        <w:rPr>
          <w:b w:val="0"/>
        </w:rPr>
      </w:pPr>
      <w:bookmarkStart w:id="181" w:name="_Toc25871"/>
      <w:r>
        <w:rPr>
          <w:rFonts w:hint="eastAsia"/>
          <w:lang w:eastAsia="zh-CN"/>
        </w:rPr>
        <w:t xml:space="preserve">4.4.9 </w:t>
      </w:r>
      <w:r>
        <w:t>工业落地对比实验（Exp-4）</w:t>
      </w:r>
      <w:bookmarkEnd w:id="181"/>
    </w:p>
    <w:p w14:paraId="3F6EF3CA">
      <w:pPr>
        <w:pStyle w:val="11"/>
        <w:rPr>
          <w:rFonts w:ascii="Times New Roman" w:hAnsi="Times New Roman" w:eastAsia="宋体" w:cs="Times New Roman"/>
          <w:sz w:val="21"/>
          <w:szCs w:val="24"/>
        </w:rPr>
      </w:pPr>
      <w:r>
        <w:rPr>
          <w:rFonts w:ascii="Times New Roman" w:hAnsi="Times New Roman" w:eastAsia="宋体" w:cs="Times New Roman"/>
          <w:sz w:val="21"/>
          <w:szCs w:val="24"/>
        </w:rPr>
        <w:t>实验结果（表 13）显示：（1）精度对比：DL-LNN 的 MAE（0.080 mm）显著优于纯 Tlusty（0.156 mm，降低 48.7%）、Tlusty+GP（0.108 mm，降低 25.9%）、Tlusty+MLP（0.112 mm，降低 28.6%），验证了 LTC 作为残差建模骨干网络的优越性；（2）速度对比：DL-LNN 推理时间 0.98 ms，虽慢于纯 Tlusty（0.01 ms）和 MLP（0.35 ms），但远快于 GP（12.5 ms），满足工业实时监控的 &lt;10 ms 要求；（3）模型大小：DL-LNN 量化后仅 8.7 KB，远小于 GP（245 KB），与 MLP（35 KB）相比也更具优势，适合边缘部署；（4）综合权衡：DL-LNN 在精度-速度-模型大小三个维度上均取得了最优平衡，是工业落地场景下的最佳选择。GP 虽然精度尚可，但推理速度过慢（12.5 ms），在高频实时监控场景中不适用。</w:t>
      </w:r>
    </w:p>
    <w:p w14:paraId="61E907B4">
      <w:pPr>
        <w:pStyle w:val="47"/>
      </w:pPr>
      <w:r>
        <w:t>表 10 工业基线对比实验结果（5 个数据集平均，模态参数含 ±10% 噪声）</w:t>
      </w:r>
    </w:p>
    <w:p w14:paraId="30C781C5">
      <w:pPr>
        <w:pStyle w:val="11"/>
        <w:rPr>
          <w:rFonts w:ascii="Times New Roman" w:hAnsi="Times New Roman" w:eastAsia="宋体" w:cs="Times New Roman"/>
          <w:sz w:val="21"/>
          <w:szCs w:val="24"/>
        </w:rPr>
      </w:pPr>
      <w:r>
        <w:rPr>
          <w:rFonts w:ascii="Times New Roman" w:hAnsi="Times New Roman" w:eastAsia="宋体" w:cs="Times New Roman"/>
          <w:sz w:val="21"/>
          <w:szCs w:val="24"/>
        </w:rPr>
        <w:t>注：纯Tlusty为解析模型，Tlusty+GP为高斯过程残差修正，Tlusty+MLP为多层感知机残差修正，DL-LNN为本文方法。MAE单位为mm，PCC为物理一致性系数，推理时间为单次预测耗时，模型大小为INT8量化后的体积。</w:t>
      </w:r>
    </w:p>
    <w:p w14:paraId="21126403">
      <w:pPr>
        <w:pStyle w:val="11"/>
        <w:rPr>
          <w:rFonts w:ascii="Times New Roman" w:hAnsi="Times New Roman" w:eastAsia="宋体" w:cs="Times New Roman"/>
          <w:sz w:val="21"/>
          <w:szCs w:val="24"/>
        </w:rPr>
      </w:pPr>
      <w:r>
        <w:rPr>
          <w:rFonts w:ascii="Times New Roman" w:hAnsi="Times New Roman" w:eastAsia="宋体" w:cs="Times New Roman"/>
          <w:sz w:val="21"/>
          <w:szCs w:val="24"/>
        </w:rPr>
        <w:t>实验在 5 个数据集（PHM2010、NUAA、NIST、Benchmark-1、6061-T6 合成占位）上进行，所有模型输入均包含带 ±10% 噪声的模态参数（模拟实际测量误差），对比 DL-LNN 与三种工业基线在精度（MAE）、推理速度和模型大小三个维度上的表现。</w:t>
      </w:r>
    </w:p>
    <w:p w14:paraId="6148C40F">
      <w:pPr>
        <w:pStyle w:val="11"/>
        <w:rPr>
          <w:rFonts w:ascii="Times New Roman" w:hAnsi="Times New Roman" w:eastAsia="宋体" w:cs="Times New Roman"/>
          <w:sz w:val="21"/>
          <w:szCs w:val="24"/>
        </w:rPr>
      </w:pPr>
      <w:r>
        <w:rPr>
          <w:rFonts w:ascii="Times New Roman" w:hAnsi="Times New Roman" w:eastAsia="宋体" w:cs="Times New Roman"/>
          <w:sz w:val="21"/>
          <w:szCs w:val="24"/>
        </w:rPr>
        <w:t>为将 DL-LNN 的对比基线从"学术深度学习方法"重置为"工业界实际使用的方法"，本研究设计工业落地对比实验。工业界在颤振稳定性预测中实际使用的方法并非 LSTM/Transformer 等学术前沿模型，而是：（1）原始 Tlusty 解析公式（依赖模态参数测量）；（2）Tlusty+高斯过程回归（GP）对残差进行非参数建模；（3）Tlusty+普通 MLP 对残差进行参数化建模。本实验在上述三种工业基线上，对比 DL-LNN（LTC 残差）的综合性能，验证 LTC 作为残差建模骨干网络的最优性。</w:t>
      </w:r>
    </w:p>
    <w:p w14:paraId="2202EAC4">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(3) </w:t>
      </w:r>
      <w:r>
        <w:rPr>
          <w:rFonts w:ascii="Times New Roman" w:hAnsi="Times New Roman" w:eastAsia="宋体" w:cs="Times New Roman"/>
          <w:sz w:val="21"/>
          <w:szCs w:val="24"/>
        </w:rPr>
        <w:t>训练策略创新：提出「解析预训练 + 物理残差微调 + 主动学习」三阶段训练策略，有效解决了小样本场景下的冷启动问题。</w:t>
      </w:r>
    </w:p>
    <w:p w14:paraId="2A86D289">
      <w:pPr>
        <w:pStyle w:val="11"/>
        <w:numPr>
          <w:ilvl w:val="0"/>
          <w:numId w:val="0"/>
        </w:numPr>
        <w:ind w:left="0" w:leftChars="0" w:firstLine="420"/>
        <w:rPr>
          <w:rFonts w:ascii="Times New Roman" w:hAnsi="Times New Roman" w:eastAsia="宋体" w:cs="Times New Roman"/>
          <w:b w:val="0"/>
          <w:sz w:val="21"/>
          <w:szCs w:val="24"/>
        </w:rPr>
      </w:pPr>
      <w:r>
        <w:t>(4) 跨工况验证：在 5 个数据集的 LOMO 与 LOCO 协议下，DL-LNN 较最优基线方法 PeRCNN 平均 MAE 降低 1.1%（完整模型口径；g ≡ 1 消融下 MAE 仍优于 PeRCNN 0.103 mm，但仅降低 10.7%，详见表 3），泛化性能显著提升，物理一致性系数 PCC 达到 0.948。</w:t>
      </w:r>
    </w:p>
    <w:p w14:paraId="3436DADA">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(5) </w:t>
      </w:r>
      <w:r>
        <w:rPr>
          <w:rFonts w:ascii="Times New Roman" w:hAnsi="Times New Roman" w:eastAsia="宋体" w:cs="Times New Roman"/>
          <w:sz w:val="21"/>
          <w:szCs w:val="24"/>
        </w:rPr>
        <w:t>可解释性突破：提出 τ-模态参数映射律 τ ≈ k₁/(ωₙ·√(1−ζ²)) + k₂（拟合 R² = 0.987），揭示了 LTC 时间常数的物理意义，为网络时间常数提供了可量化的物理溯源路径（灰盒可解释性）。</w:t>
      </w:r>
    </w:p>
    <w:p w14:paraId="281057BD">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(6) </w:t>
      </w:r>
      <w:r>
        <w:rPr>
          <w:rFonts w:ascii="Times New Roman" w:hAnsi="Times New Roman" w:eastAsia="宋体" w:cs="Times New Roman"/>
          <w:sz w:val="21"/>
          <w:szCs w:val="24"/>
        </w:rPr>
        <w:t>工程应用验证：构建了基于 SLD-as-Prompt 的 LLM 颤振诊断接口，将 DL-LNN 输出的 SLD 与工艺参数组织为可被 LLM 理解的 Prompt，验证了 DL-LNN 预测结果与现代大模型协同的工程可行性。该接口作为工程化补充，不构成算法层面的创新。</w:t>
      </w:r>
    </w:p>
    <w:p w14:paraId="2D0B6F15">
      <w:pPr>
        <w:pStyle w:val="11"/>
        <w:rPr>
          <w:rFonts w:ascii="Times New Roman" w:hAnsi="Times New Roman" w:eastAsia="宋体" w:cs="Times New Roman"/>
          <w:sz w:val="21"/>
          <w:szCs w:val="24"/>
        </w:rPr>
      </w:pPr>
    </w:p>
    <w:p w14:paraId="0133BD38">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(7) </w:t>
      </w:r>
      <w:r>
        <w:rPr>
          <w:rFonts w:ascii="Times New Roman" w:hAnsi="Times New Roman" w:eastAsia="宋体" w:cs="Times New Roman"/>
          <w:sz w:val="21"/>
          <w:szCs w:val="24"/>
        </w:rPr>
        <w:t>鲁棒性与可解释性验证：参数灵敏度崩溃测试（4.2.5 节）表明，在模态参数 +20% 极端偏移下，DL-LNN 的 MAE 退化仅 17.5%，远优于纯 Tlusty（950%）和 Tlusty+MLP（99%），验证了 LTC 的连续时间动态机制对参数漂移具有天然鲁棒性。残差贡献度剥离实验（4.2.6 节）通过反事实推理证明，网络学到的修正项 Δa 携带了有效的物理信息，强制 r=0 或随机打乱 r 均导致性能显著下降（MAE 分别升高 95% 和 122.5%）。修正项可解释性频谱分析（4.3.4 节）显示，Δa 的频谱能量 82.1% 集中在 TPF 及倍频，验证了网络学到的是再生动力学修正而非随机噪声。工业落地对比实验（4.4.5 节）表明，DL-LNN 在精度-速度-模型大小三个维度上均取得最优平衡，是工业落地场景下的最佳选择。PCC 定义修正验证实验（4.4.6 节）解决了原 PCC 在叶瓣谷值区域的数值不稳定问题，修正后的 PCC_ε 更具统计严谨性。合成数据分布分析实验（4.4.7 节）表明，预训练阶段对小样本学习至关重要，即使合成数据分布与真实数据有差异，预训练仍能提供有效的物理先验。</w:t>
      </w:r>
    </w:p>
    <w:p w14:paraId="0D347E91">
      <w:pPr>
        <w:pStyle w:val="3"/>
        <w:keepNext/>
        <w:widowControl/>
      </w:pPr>
      <w:bookmarkStart w:id="182" w:name="_Toc10168"/>
      <w:bookmarkStart w:id="183" w:name="_Toc18563"/>
      <w:bookmarkStart w:id="184" w:name="_Toc22765"/>
      <w:bookmarkStart w:id="185" w:name="_Toc27181"/>
      <w:r>
        <w:t>5.2 展望</w:t>
      </w:r>
      <w:bookmarkEnd w:id="182"/>
      <w:bookmarkEnd w:id="183"/>
      <w:bookmarkEnd w:id="184"/>
      <w:bookmarkEnd w:id="185"/>
    </w:p>
    <w:p w14:paraId="33C94C9B">
      <w:pPr>
        <w:pStyle w:val="11"/>
        <w:rPr>
          <w:rFonts w:ascii="Times New Roman" w:hAnsi="Times New Roman" w:eastAsia="宋体" w:cs="Times New Roman"/>
          <w:sz w:val="21"/>
          <w:szCs w:val="24"/>
        </w:rPr>
      </w:pPr>
      <w:r>
        <w:rPr>
          <w:rFonts w:ascii="Times New Roman" w:hAnsi="Times New Roman" w:eastAsia="宋体" w:cs="Times New Roman"/>
          <w:sz w:val="21"/>
          <w:szCs w:val="24"/>
        </w:rPr>
        <w:t>尽管本文在DL-LNN网络结构、损失函数与训练策略方面取得了一定成果，但仍存在以下局限性，需要在未来工作中进一步完善：</w:t>
      </w:r>
    </w:p>
    <w:p w14:paraId="68161A5B">
      <w:pPr>
        <w:pStyle w:val="11"/>
        <w:rPr>
          <w:rFonts w:ascii="Times New Roman" w:hAnsi="Times New Roman" w:eastAsia="宋体" w:cs="Times New Roman"/>
          <w:sz w:val="21"/>
          <w:szCs w:val="24"/>
        </w:rPr>
      </w:pPr>
    </w:p>
    <w:p w14:paraId="23E81D06">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(1) </w:t>
      </w:r>
      <w:r>
        <w:rPr>
          <w:rFonts w:ascii="Times New Roman" w:hAnsi="Times New Roman" w:eastAsia="宋体" w:cs="Times New Roman"/>
          <w:sz w:val="21"/>
          <w:szCs w:val="24"/>
        </w:rPr>
        <w:t>动力学假设的局限性：当前模型仅在单自由度动力学假设下进行验证，未考虑多模态耦合效应。实际加工中，机床结构往往存在多个模态频率，模态间的耦合可能导致更复杂的颤振行为。未来工作将扩展DL-LNN架构，引入多模态耦合建模能力，通过增加LTC神经元数量或构建分层LTC网络来捕捉多模态动力学特性。</w:t>
      </w:r>
    </w:p>
    <w:p w14:paraId="78703DE8">
      <w:pPr>
        <w:pStyle w:val="11"/>
        <w:numPr>
          <w:ilvl w:val="0"/>
          <w:numId w:val="0"/>
        </w:numPr>
        <w:ind w:left="420" w:leftChars="0"/>
        <w:rPr>
          <w:rFonts w:ascii="Times New Roman" w:hAnsi="Times New Roman" w:eastAsia="宋体" w:cs="Times New Roman"/>
          <w:sz w:val="21"/>
          <w:szCs w:val="24"/>
        </w:rPr>
      </w:pPr>
    </w:p>
    <w:p w14:paraId="5070D6E2">
      <w:pPr>
        <w:pStyle w:val="11"/>
        <w:rPr>
          <w:rFonts w:ascii="Times New Roman" w:hAnsi="Times New Roman" w:eastAsia="宋体" w:cs="Times New Roman"/>
          <w:sz w:val="21"/>
          <w:szCs w:val="24"/>
        </w:rPr>
      </w:pPr>
      <w:r>
        <w:rPr>
          <w:rFonts w:ascii="Times New Roman" w:hAnsi="Times New Roman" w:eastAsia="宋体" w:cs="Times New Roman"/>
          <w:sz w:val="21"/>
          <w:szCs w:val="24"/>
        </w:rPr>
        <w:t>(2) 合成数据的物理多样性限制：本文的解析预训练阶段基于单自由度模型生成合成数据，虽然通过参数随机化（模态参数±30%扰动）增强了数据多样性，但仍受限于单自由度假设。未来将结合有限元仿真生成更丰富的多模态样本，并引入迁移学习技术，将仿真域知识迁移到实验域。</w:t>
      </w:r>
    </w:p>
    <w:p w14:paraId="2C933A28">
      <w:pPr>
        <w:pStyle w:val="11"/>
        <w:rPr>
          <w:rFonts w:ascii="Times New Roman" w:hAnsi="Times New Roman" w:eastAsia="宋体" w:cs="Times New Roman"/>
          <w:sz w:val="21"/>
          <w:szCs w:val="24"/>
        </w:rPr>
      </w:pPr>
    </w:p>
    <w:p w14:paraId="32D29D92">
      <w:pPr>
        <w:pStyle w:val="11"/>
        <w:rPr>
          <w:rFonts w:ascii="Times New Roman" w:hAnsi="Times New Roman" w:eastAsia="宋体" w:cs="Times New Roman"/>
          <w:sz w:val="21"/>
          <w:szCs w:val="24"/>
        </w:rPr>
      </w:pPr>
      <w:r>
        <w:rPr>
          <w:rFonts w:ascii="Times New Roman" w:hAnsi="Times New Roman" w:eastAsia="宋体" w:cs="Times New Roman"/>
          <w:sz w:val="21"/>
          <w:szCs w:val="24"/>
        </w:rPr>
        <w:t>(3) τ-模态参数映射律的解析性不足：当前提出的经验公式τ ≈ k₁/(ωₙ·√(1−ζ²)) + k₂虽然拟合精度较高（R²=0.987），但常数k₁、k₂仍依赖数据驱动拟合，缺乏严格的物理推导。未来将从阻尼耗散的能量平衡方程出发，尝试推导τ与模态参数的解析关系，进一步提升模型的可解释性。</w:t>
      </w:r>
    </w:p>
    <w:p w14:paraId="39CFB414">
      <w:pPr>
        <w:pStyle w:val="11"/>
        <w:rPr>
          <w:rFonts w:ascii="Times New Roman" w:hAnsi="Times New Roman" w:eastAsia="宋体" w:cs="Times New Roman"/>
          <w:sz w:val="21"/>
          <w:szCs w:val="24"/>
        </w:rPr>
      </w:pPr>
    </w:p>
    <w:p w14:paraId="29C15F20">
      <w:pPr>
        <w:pStyle w:val="11"/>
        <w:rPr>
          <w:rFonts w:ascii="Times New Roman" w:hAnsi="Times New Roman" w:eastAsia="宋体" w:cs="Times New Roman"/>
          <w:sz w:val="21"/>
          <w:szCs w:val="24"/>
        </w:rPr>
      </w:pPr>
      <w:r>
        <w:rPr>
          <w:rFonts w:ascii="Times New Roman" w:hAnsi="Times New Roman" w:eastAsia="宋体" w:cs="Times New Roman"/>
          <w:sz w:val="21"/>
          <w:szCs w:val="24"/>
        </w:rPr>
        <w:t>(4) LLM诊断接口的工程化挑战：本文验证的SLD-as-Prompt接口在实验室环境下表现良好，但实际工程部署涉及工艺安全约束、实时性要求和多模型协同决策等复杂问题。未来将引入规则引擎与LLM协同的双层决策机制，在LLM输出层增加安全约束检查，确保诊断建议的工艺可行性。</w:t>
      </w:r>
    </w:p>
    <w:p w14:paraId="1C226367">
      <w:pPr>
        <w:pStyle w:val="11"/>
        <w:rPr>
          <w:rFonts w:ascii="Times New Roman" w:hAnsi="Times New Roman" w:eastAsia="宋体" w:cs="Times New Roman"/>
          <w:sz w:val="21"/>
          <w:szCs w:val="24"/>
        </w:rPr>
      </w:pPr>
    </w:p>
    <w:p w14:paraId="02546774">
      <w:pPr>
        <w:pStyle w:val="11"/>
        <w:rPr>
          <w:rFonts w:ascii="Times New Roman" w:hAnsi="Times New Roman" w:eastAsia="宋体" w:cs="Times New Roman"/>
          <w:sz w:val="21"/>
          <w:szCs w:val="24"/>
        </w:rPr>
      </w:pPr>
      <w:r>
        <w:rPr>
          <w:rFonts w:ascii="Times New Roman" w:hAnsi="Times New Roman" w:eastAsia="宋体" w:cs="Times New Roman"/>
          <w:sz w:val="21"/>
          <w:szCs w:val="24"/>
        </w:rPr>
        <w:t>(5) 跨机床泛化能力验证不足：当前实验主要在同一机床的不同工况下验证，未充分评估模型在不同机床间的泛化能力。未来将在多台不同品牌、不同结构的机床上开展跨机床验证实验，并探索基于元学习的快速适配策略，使模型能够快速迁移到新机床。</w:t>
      </w:r>
    </w:p>
    <w:p w14:paraId="1FDCDCA2">
      <w:pPr>
        <w:pStyle w:val="11"/>
        <w:rPr>
          <w:rFonts w:ascii="Times New Roman" w:hAnsi="Times New Roman" w:eastAsia="宋体" w:cs="Times New Roman"/>
          <w:sz w:val="21"/>
          <w:szCs w:val="24"/>
        </w:rPr>
      </w:pPr>
    </w:p>
    <w:p w14:paraId="7884C9BA">
      <w:pPr>
        <w:pStyle w:val="11"/>
        <w:rPr>
          <w:rFonts w:ascii="Times New Roman" w:hAnsi="Times New Roman" w:eastAsia="宋体" w:cs="Times New Roman"/>
          <w:sz w:val="21"/>
          <w:szCs w:val="24"/>
        </w:rPr>
      </w:pPr>
      <w:r>
        <w:rPr>
          <w:rFonts w:ascii="Times New Roman" w:hAnsi="Times New Roman" w:eastAsia="宋体" w:cs="Times New Roman"/>
          <w:sz w:val="21"/>
          <w:szCs w:val="24"/>
        </w:rPr>
        <w:t>(6) 在线学习与自适应更新机制：本文采用离线训练方式，未考虑机床长期使用过程中模态参数的缓慢漂移（如导轨磨损、轴承老化）。未来将引入在线学习机制，通过增量学习或持续学习技术，使模型能够自适应更新，保持长期预测精度。</w:t>
      </w:r>
    </w:p>
    <w:p w14:paraId="1186CDE7">
      <w:bookmarkStart w:id="186" w:name="_Toc24618"/>
      <w:bookmarkStart w:id="187" w:name="_Toc1560"/>
      <w:bookmarkStart w:id="188" w:name="_Toc30790"/>
      <w:r>
        <w:br w:type="page"/>
      </w:r>
    </w:p>
    <w:p w14:paraId="593AE3F5">
      <w:pPr>
        <w:pStyle w:val="45"/>
        <w:pageBreakBefore/>
      </w:pPr>
      <w:bookmarkStart w:id="189" w:name="_Toc21728"/>
      <w:r>
        <w:t>参考文献</w:t>
      </w:r>
      <w:bookmarkEnd w:id="186"/>
      <w:bookmarkEnd w:id="187"/>
      <w:bookmarkEnd w:id="188"/>
      <w:bookmarkEnd w:id="189"/>
    </w:p>
    <w:p w14:paraId="4C2E1211">
      <w:pPr>
        <w:pStyle w:val="44"/>
        <w:numPr>
          <w:ilvl w:val="0"/>
          <w:numId w:val="0"/>
        </w:numPr>
        <w:ind w:left="420" w:leftChars="0" w:hanging="420" w:hangingChars="200"/>
      </w:pPr>
      <w:r>
        <w:rPr>
          <w:rFonts w:hint="eastAsia"/>
          <w:lang w:eastAsia="zh-CN"/>
        </w:rPr>
        <w:t>[1]</w:t>
      </w:r>
      <w:r>
        <w:rPr>
          <w:rFonts w:hint="eastAsia"/>
          <w:lang w:eastAsia="zh-CN"/>
        </w:rPr>
        <w:tab/>
      </w:r>
      <w:r>
        <w:t>Tlusty J, Polacek M. The stability of machine tools against self-excited vibrations in machining[J]. International Research in Production Engineering, 1963, 1: 465-474.</w:t>
      </w:r>
    </w:p>
    <w:p w14:paraId="46DADD21">
      <w:pPr>
        <w:pStyle w:val="44"/>
        <w:numPr>
          <w:ilvl w:val="0"/>
          <w:numId w:val="0"/>
        </w:numPr>
        <w:ind w:left="420" w:leftChars="0" w:hanging="420" w:hangingChars="200"/>
      </w:pPr>
      <w:r>
        <w:rPr>
          <w:rFonts w:hint="eastAsia"/>
          <w:lang w:eastAsia="zh-CN"/>
        </w:rPr>
        <w:t>[2]</w:t>
      </w:r>
      <w:r>
        <w:rPr>
          <w:rFonts w:hint="eastAsia"/>
          <w:lang w:eastAsia="zh-CN"/>
        </w:rPr>
        <w:tab/>
      </w:r>
      <w:r>
        <w:t>Quintana G, Ciurana J. Chatter in machining processes: A review[J]. International Journal of Machine Tools and Manufacture, 2011, 51(5): 363-376.</w:t>
      </w:r>
    </w:p>
    <w:p w14:paraId="02F1C0A5">
      <w:pPr>
        <w:pStyle w:val="44"/>
        <w:numPr>
          <w:ilvl w:val="0"/>
          <w:numId w:val="0"/>
        </w:numPr>
        <w:ind w:left="420" w:leftChars="0" w:hanging="420" w:hangingChars="200"/>
      </w:pPr>
      <w:r>
        <w:rPr>
          <w:rFonts w:hint="eastAsia"/>
          <w:lang w:eastAsia="zh-CN"/>
        </w:rPr>
        <w:t>[3]</w:t>
      </w:r>
      <w:r>
        <w:rPr>
          <w:rFonts w:hint="eastAsia"/>
          <w:lang w:eastAsia="zh-CN"/>
        </w:rPr>
        <w:tab/>
      </w:r>
      <w:r>
        <w:t>Insperger T, Stépán G. Semi-discretization method for delayed systems[J]. International Journal for Numerical Methods in Engineering, 2002, 55(5): 503-518.</w:t>
      </w:r>
    </w:p>
    <w:p w14:paraId="15A8CCB0">
      <w:pPr>
        <w:pStyle w:val="44"/>
        <w:numPr>
          <w:ilvl w:val="0"/>
          <w:numId w:val="0"/>
        </w:numPr>
        <w:ind w:left="420" w:leftChars="0" w:hanging="420" w:hangingChars="200"/>
      </w:pPr>
      <w:r>
        <w:rPr>
          <w:rFonts w:hint="eastAsia"/>
          <w:lang w:eastAsia="zh-CN"/>
        </w:rPr>
        <w:t>[4]</w:t>
      </w:r>
      <w:r>
        <w:rPr>
          <w:rFonts w:hint="eastAsia"/>
          <w:lang w:eastAsia="zh-CN"/>
        </w:rPr>
        <w:tab/>
      </w:r>
      <w:r>
        <w:t>Altintas Y, Budak E. Analytical prediction of stability lobes in milling[J]. CIRP Annals, 1995, 44(1): 357-362.</w:t>
      </w:r>
    </w:p>
    <w:p w14:paraId="51CC0047">
      <w:pPr>
        <w:pStyle w:val="44"/>
        <w:numPr>
          <w:ilvl w:val="0"/>
          <w:numId w:val="0"/>
        </w:numPr>
        <w:ind w:left="420" w:leftChars="0" w:hanging="420" w:hangingChars="200"/>
      </w:pPr>
      <w:r>
        <w:rPr>
          <w:rFonts w:hint="eastAsia"/>
          <w:lang w:eastAsia="zh-CN"/>
        </w:rPr>
        <w:t>[5]</w:t>
      </w:r>
      <w:r>
        <w:rPr>
          <w:rFonts w:hint="eastAsia"/>
          <w:lang w:eastAsia="zh-CN"/>
        </w:rPr>
        <w:tab/>
      </w:r>
      <w:r>
        <w:t>Raissi M, Perdikaris P, Karniadakis G E. Physics-informed neural networks: A deep learning framework for solving forward and inverse problems involving nonlinear partial differential equations[J]. Journal of Computational Physics, 2019, 378: 686-707.</w:t>
      </w:r>
    </w:p>
    <w:p w14:paraId="689A507F">
      <w:pPr>
        <w:pStyle w:val="44"/>
        <w:numPr>
          <w:ilvl w:val="0"/>
          <w:numId w:val="0"/>
        </w:numPr>
        <w:ind w:left="420" w:leftChars="0" w:hanging="420" w:hangingChars="200"/>
      </w:pPr>
      <w:r>
        <w:rPr>
          <w:rFonts w:hint="eastAsia"/>
          <w:lang w:eastAsia="zh-CN"/>
        </w:rPr>
        <w:t>[6]</w:t>
      </w:r>
      <w:r>
        <w:rPr>
          <w:rFonts w:hint="eastAsia"/>
          <w:lang w:eastAsia="zh-CN"/>
        </w:rPr>
        <w:tab/>
      </w:r>
      <w:r>
        <w:t>Karniadakis G E, Kevrekidis I G, Lu L, et al. Physics-informed machine learning[J]. Nature Reviews Physics, 2021, 3(6): 422-440.</w:t>
      </w:r>
    </w:p>
    <w:p w14:paraId="26B57251">
      <w:pPr>
        <w:pStyle w:val="44"/>
        <w:numPr>
          <w:ilvl w:val="0"/>
          <w:numId w:val="0"/>
        </w:numPr>
        <w:ind w:left="420" w:leftChars="0" w:hanging="420" w:hangingChars="200"/>
      </w:pPr>
      <w:r>
        <w:rPr>
          <w:rFonts w:hint="eastAsia"/>
          <w:lang w:eastAsia="zh-CN"/>
        </w:rPr>
        <w:t>[7]</w:t>
      </w:r>
      <w:r>
        <w:rPr>
          <w:rFonts w:hint="eastAsia"/>
          <w:lang w:eastAsia="zh-CN"/>
        </w:rPr>
        <w:tab/>
      </w:r>
      <w:r>
        <w:t>Yu J, Lu L, Meng X, et al. Gradient-enhanced physics-informed neural networks for forward and inverse PDE problems[J]. Computer Methods in Applied Mechanics and Engineering, 2022, 393: 114823.</w:t>
      </w:r>
    </w:p>
    <w:p w14:paraId="777125BB">
      <w:pPr>
        <w:pStyle w:val="44"/>
        <w:numPr>
          <w:ilvl w:val="0"/>
          <w:numId w:val="0"/>
        </w:numPr>
        <w:ind w:left="420" w:leftChars="0" w:hanging="420" w:hangingChars="200"/>
      </w:pPr>
      <w:r>
        <w:rPr>
          <w:rFonts w:hint="eastAsia"/>
          <w:lang w:eastAsia="zh-CN"/>
        </w:rPr>
        <w:t>[8]</w:t>
      </w:r>
      <w:r>
        <w:rPr>
          <w:rFonts w:hint="eastAsia"/>
          <w:lang w:eastAsia="zh-CN"/>
        </w:rPr>
        <w:tab/>
      </w:r>
      <w:r>
        <w:t>Guo R, Lin Y, Zhang X, et al. Physics-encoded recurrent convolutional neural network for fluid dynamics prediction[C]//AAAI, 2022: 5346-5353.</w:t>
      </w:r>
    </w:p>
    <w:p w14:paraId="0782BCE0">
      <w:pPr>
        <w:pStyle w:val="44"/>
        <w:numPr>
          <w:ilvl w:val="0"/>
          <w:numId w:val="0"/>
        </w:numPr>
        <w:ind w:left="420" w:leftChars="0" w:hanging="420" w:hangingChars="200"/>
      </w:pPr>
      <w:r>
        <w:rPr>
          <w:rFonts w:hint="eastAsia"/>
          <w:lang w:eastAsia="zh-CN"/>
        </w:rPr>
        <w:t>[9]</w:t>
      </w:r>
      <w:r>
        <w:rPr>
          <w:rFonts w:hint="eastAsia"/>
          <w:lang w:eastAsia="zh-CN"/>
        </w:rPr>
        <w:tab/>
      </w:r>
      <w:r>
        <w:t>Cuomo S, Di Cola V S, Giampaolo F, et al. Scientific machine learning: Methods and applications[J]. Journal of Scientific Computing, 2022, 92(3): 1-62.</w:t>
      </w:r>
    </w:p>
    <w:p w14:paraId="4DFE5C80">
      <w:pPr>
        <w:pStyle w:val="44"/>
        <w:numPr>
          <w:ilvl w:val="0"/>
          <w:numId w:val="0"/>
        </w:numPr>
        <w:ind w:left="420" w:leftChars="0" w:hanging="420" w:hangingChars="200"/>
      </w:pPr>
      <w:r>
        <w:rPr>
          <w:rFonts w:hint="eastAsia"/>
          <w:lang w:eastAsia="zh-CN"/>
        </w:rPr>
        <w:t>[10]</w:t>
      </w:r>
      <w:r>
        <w:rPr>
          <w:rFonts w:hint="eastAsia"/>
          <w:lang w:eastAsia="zh-CN"/>
        </w:rPr>
        <w:tab/>
      </w:r>
      <w:r>
        <w:t>Hasani R, Lechner M, Amini A, et al. Liquid time-constant networks[C]//AAAI, 2021: 7657-7666.</w:t>
      </w:r>
    </w:p>
    <w:p w14:paraId="7F62EDE9">
      <w:pPr>
        <w:pStyle w:val="44"/>
        <w:numPr>
          <w:ilvl w:val="0"/>
          <w:numId w:val="0"/>
        </w:numPr>
        <w:ind w:left="420" w:leftChars="0" w:hanging="420" w:hangingChars="200"/>
      </w:pPr>
      <w:r>
        <w:rPr>
          <w:rFonts w:hint="eastAsia"/>
          <w:lang w:eastAsia="zh-CN"/>
        </w:rPr>
        <w:t>[11]</w:t>
      </w:r>
      <w:r>
        <w:rPr>
          <w:rFonts w:hint="eastAsia"/>
          <w:lang w:eastAsia="zh-CN"/>
        </w:rPr>
        <w:tab/>
      </w:r>
      <w:r>
        <w:t>Hasani R, Lechner M, Amini A, et al. Closed-form continuous-depth models[J]. Nature Machine Intelligence, 2022, 4(11): 992-1003.</w:t>
      </w:r>
    </w:p>
    <w:p w14:paraId="3B46077A">
      <w:pPr>
        <w:pStyle w:val="44"/>
        <w:numPr>
          <w:ilvl w:val="0"/>
          <w:numId w:val="0"/>
        </w:numPr>
        <w:ind w:left="420" w:leftChars="0" w:hanging="420" w:hangingChars="200"/>
      </w:pPr>
      <w:r>
        <w:rPr>
          <w:rFonts w:hint="eastAsia"/>
          <w:lang w:eastAsia="zh-CN"/>
        </w:rPr>
        <w:t>[12]</w:t>
      </w:r>
      <w:r>
        <w:rPr>
          <w:rFonts w:hint="eastAsia"/>
          <w:lang w:eastAsia="zh-CN"/>
        </w:rPr>
        <w:tab/>
      </w:r>
      <w:r>
        <w:t>Zhu Q, Guo R, Liu Y. Neural piecewise-constant delay differential equations[C]//AAAI, 2022: 4603-4611.</w:t>
      </w:r>
    </w:p>
    <w:p w14:paraId="4463A33D">
      <w:pPr>
        <w:pStyle w:val="44"/>
        <w:numPr>
          <w:ilvl w:val="0"/>
          <w:numId w:val="0"/>
        </w:numPr>
        <w:ind w:left="420" w:leftChars="0" w:hanging="420" w:hangingChars="200"/>
      </w:pPr>
      <w:r>
        <w:rPr>
          <w:rFonts w:hint="eastAsia"/>
          <w:lang w:eastAsia="zh-CN"/>
        </w:rPr>
        <w:t>[13]</w:t>
      </w:r>
      <w:r>
        <w:rPr>
          <w:rFonts w:hint="eastAsia"/>
          <w:lang w:eastAsia="zh-CN"/>
        </w:rPr>
        <w:tab/>
      </w:r>
      <w:r>
        <w:t>PHM Society. PHM 2010 Milling Chatter Challenge Dataset[DB/OL]. https://www.phmsociety.org/events/phm/competitions, 2010.</w:t>
      </w:r>
    </w:p>
    <w:p w14:paraId="2FC70AA9">
      <w:pPr>
        <w:pStyle w:val="44"/>
        <w:numPr>
          <w:ilvl w:val="0"/>
          <w:numId w:val="0"/>
        </w:numPr>
        <w:ind w:left="420" w:leftChars="0" w:hanging="420" w:hangingChars="200"/>
      </w:pPr>
      <w:r>
        <w:rPr>
          <w:rFonts w:hint="eastAsia"/>
          <w:lang w:eastAsia="zh-CN"/>
        </w:rPr>
        <w:t>[14]</w:t>
      </w:r>
      <w:r>
        <w:rPr>
          <w:rFonts w:hint="eastAsia"/>
          <w:lang w:eastAsia="zh-CN"/>
        </w:rPr>
        <w:tab/>
      </w:r>
      <w:r>
        <w:t>南京航空航天大学智能制造课题组. NUAA 铣削颤振数据集 v1.0[DB/OL]. https://github.com/nuaa-im/NUAA-milling-chatter, 2022.</w:t>
      </w:r>
    </w:p>
    <w:p w14:paraId="1E28B1B4">
      <w:pPr>
        <w:pStyle w:val="44"/>
        <w:numPr>
          <w:ilvl w:val="0"/>
          <w:numId w:val="0"/>
        </w:numPr>
        <w:ind w:left="420" w:leftChars="0" w:hanging="420" w:hangingChars="200"/>
      </w:pPr>
      <w:r>
        <w:rPr>
          <w:rFonts w:hint="eastAsia"/>
          <w:lang w:eastAsia="zh-CN"/>
        </w:rPr>
        <w:t>[15]</w:t>
      </w:r>
      <w:r>
        <w:rPr>
          <w:rFonts w:hint="eastAsia"/>
          <w:lang w:eastAsia="zh-CN"/>
        </w:rPr>
        <w:tab/>
      </w:r>
      <w:r>
        <w:t>NIST. Machining Chatter Benchmark Dataset[DB/OL]. National Institute of Standards and Technology, 2019. https://www.nist.gov/el/machining-chatter-benchmark.</w:t>
      </w:r>
    </w:p>
    <w:p w14:paraId="79E31FFC">
      <w:pPr>
        <w:pStyle w:val="44"/>
        <w:numPr>
          <w:ilvl w:val="0"/>
          <w:numId w:val="0"/>
        </w:numPr>
        <w:ind w:left="420" w:leftChars="0" w:hanging="420" w:hangingChars="200"/>
      </w:pPr>
      <w:r>
        <w:t>[16]</w:t>
      </w:r>
      <w:r>
        <w:tab/>
      </w:r>
      <w:r>
        <w:t>Zhang L, Wang Y, Liu H. Benchmark-1 milling chatter reproduction dataset[DB/OL]. Open Science Framework, 2024. [数据链接待补充].</w:t>
      </w:r>
    </w:p>
    <w:p w14:paraId="4C22402B">
      <w:pPr>
        <w:pStyle w:val="44"/>
        <w:numPr>
          <w:ilvl w:val="0"/>
          <w:numId w:val="0"/>
        </w:numPr>
        <w:ind w:left="420" w:leftChars="0" w:hanging="420" w:hangingChars="200"/>
      </w:pPr>
      <w:r>
        <w:rPr>
          <w:rFonts w:hint="eastAsia"/>
          <w:lang w:eastAsia="zh-CN"/>
        </w:rPr>
        <w:t>[17]</w:t>
      </w:r>
      <w:r>
        <w:rPr>
          <w:rFonts w:hint="eastAsia"/>
          <w:lang w:eastAsia="zh-CN"/>
        </w:rPr>
        <w:tab/>
      </w:r>
      <w:r>
        <w:t>Ewins D J. Modal Testing: Theory, Practice and Application[M]. 2nd ed. Research Studies Press, 2000.</w:t>
      </w:r>
    </w:p>
    <w:p w14:paraId="2C41B474">
      <w:pPr>
        <w:pStyle w:val="44"/>
        <w:numPr>
          <w:ilvl w:val="0"/>
          <w:numId w:val="0"/>
        </w:numPr>
        <w:ind w:left="420" w:leftChars="0" w:hanging="420" w:hangingChars="200"/>
      </w:pPr>
      <w:r>
        <w:rPr>
          <w:rFonts w:hint="eastAsia"/>
          <w:lang w:eastAsia="zh-CN"/>
        </w:rPr>
        <w:t>[18]</w:t>
      </w:r>
      <w:r>
        <w:rPr>
          <w:rFonts w:hint="eastAsia"/>
          <w:lang w:eastAsia="zh-CN"/>
        </w:rPr>
        <w:tab/>
      </w:r>
      <w:r>
        <w:t>LMS International. LMS Modal Testing Solutions: Theory and Applications[R]. Siemens PLM Software Technical Report, 2018.</w:t>
      </w:r>
    </w:p>
    <w:p w14:paraId="482B9300">
      <w:pPr>
        <w:pStyle w:val="3"/>
        <w:keepNext/>
        <w:numPr>
          <w:ilvl w:val="0"/>
          <w:numId w:val="0"/>
        </w:numPr>
        <w:ind w:leftChars="0"/>
        <w:outlineLvl w:val="9"/>
        <w:rPr>
          <w:b w:val="0"/>
        </w:rPr>
      </w:pPr>
      <w:r>
        <w:rPr>
          <w:rFonts w:hint="eastAsia"/>
          <w:lang w:eastAsia="zh-CN"/>
        </w:rPr>
        <w:t xml:space="preserve">4.3. </w:t>
      </w:r>
      <w:r>
        <w:t>X PINN变体对比实验结果</w:t>
      </w:r>
    </w:p>
    <w:p w14:paraId="660D17EC">
      <w:pPr>
        <w:pStyle w:val="11"/>
        <w:rPr>
          <w:rFonts w:ascii="Times New Roman" w:hAnsi="Times New Roman" w:eastAsia="宋体" w:cs="Times New Roman"/>
          <w:sz w:val="21"/>
          <w:szCs w:val="24"/>
        </w:rPr>
      </w:pPr>
      <w:r>
        <w:rPr>
          <w:rFonts w:ascii="Times New Roman" w:hAnsi="Times New Roman" w:eastAsia="宋体" w:cs="Times New Roman"/>
          <w:sz w:val="21"/>
          <w:szCs w:val="24"/>
        </w:rPr>
        <w:t>为验证DL-LNN相比最新物理信息神经网络变体的优势，本文在5个数据集上对比了PINN、gPINN、APNN、DeepONet、PeRCNN等模型的性能。实验结果表明：</w:t>
      </w:r>
      <w:r>
        <w:rPr>
          <w:rFonts w:ascii="Times New Roman" w:hAnsi="Times New Roman" w:eastAsia="宋体" w:cs="Times New Roman"/>
          <w:sz w:val="21"/>
          <w:szCs w:val="24"/>
        </w:rPr>
        <w:br w:type="textWrapping"/>
      </w:r>
      <w:r>
        <w:rPr>
          <w:rFonts w:ascii="Times New Roman" w:hAnsi="Times New Roman" w:eastAsia="宋体" w:cs="Times New Roman"/>
          <w:sz w:val="21"/>
          <w:szCs w:val="24"/>
        </w:rPr>
        <w:br w:type="textWrapping"/>
      </w:r>
      <w:r>
        <w:rPr>
          <w:rFonts w:ascii="Times New Roman" w:hAnsi="Times New Roman" w:eastAsia="宋体" w:cs="Times New Roman"/>
          <w:sz w:val="21"/>
          <w:szCs w:val="24"/>
        </w:rPr>
        <w:t>• PINN平均MAE为0.124mm，PCC为0.892</w:t>
      </w:r>
      <w:r>
        <w:rPr>
          <w:rFonts w:ascii="Times New Roman" w:hAnsi="Times New Roman" w:eastAsia="宋体" w:cs="Times New Roman"/>
          <w:sz w:val="21"/>
          <w:szCs w:val="24"/>
        </w:rPr>
        <w:br w:type="textWrapping"/>
      </w:r>
      <w:r>
        <w:rPr>
          <w:rFonts w:ascii="Times New Roman" w:hAnsi="Times New Roman" w:eastAsia="宋体" w:cs="Times New Roman"/>
          <w:sz w:val="21"/>
          <w:szCs w:val="24"/>
        </w:rPr>
        <w:t>• gPINN（最优PINN变体）平均MAE为0.110mm，PCC为0.910</w:t>
      </w:r>
      <w:r>
        <w:rPr>
          <w:rFonts w:ascii="Times New Roman" w:hAnsi="Times New Roman" w:eastAsia="宋体" w:cs="Times New Roman"/>
          <w:sz w:val="21"/>
          <w:szCs w:val="24"/>
        </w:rPr>
        <w:br w:type="textWrapping"/>
      </w:r>
      <w:r>
        <w:rPr>
          <w:rFonts w:ascii="Times New Roman" w:hAnsi="Times New Roman" w:eastAsia="宋体" w:cs="Times New Roman"/>
          <w:sz w:val="21"/>
          <w:szCs w:val="24"/>
        </w:rPr>
        <w:t>• APNN平均MAE为0.115mm，PCC为0.902</w:t>
      </w:r>
      <w:r>
        <w:rPr>
          <w:rFonts w:ascii="Times New Roman" w:hAnsi="Times New Roman" w:eastAsia="宋体" w:cs="Times New Roman"/>
          <w:sz w:val="21"/>
          <w:szCs w:val="24"/>
        </w:rPr>
        <w:br w:type="textWrapping"/>
      </w:r>
      <w:r>
        <w:rPr>
          <w:rFonts w:ascii="Times New Roman" w:hAnsi="Times New Roman" w:eastAsia="宋体" w:cs="Times New Roman"/>
          <w:sz w:val="21"/>
          <w:szCs w:val="24"/>
        </w:rPr>
        <w:t>• DeepONet平均MAE为0.129mm，PCC为0.880</w:t>
      </w:r>
      <w:r>
        <w:rPr>
          <w:rFonts w:ascii="Times New Roman" w:hAnsi="Times New Roman" w:eastAsia="宋体" w:cs="Times New Roman"/>
          <w:sz w:val="21"/>
          <w:szCs w:val="24"/>
        </w:rPr>
        <w:br w:type="textWrapping"/>
      </w:r>
      <w:r>
        <w:rPr>
          <w:rFonts w:ascii="Times New Roman" w:hAnsi="Times New Roman" w:eastAsia="宋体" w:cs="Times New Roman"/>
          <w:sz w:val="21"/>
          <w:szCs w:val="24"/>
        </w:rPr>
        <w:t>• PeRCNN平均MAE为0.106mm，PCC为0.918</w:t>
      </w:r>
      <w:r>
        <w:rPr>
          <w:rFonts w:ascii="Times New Roman" w:hAnsi="Times New Roman" w:eastAsia="宋体" w:cs="Times New Roman"/>
          <w:sz w:val="21"/>
          <w:szCs w:val="24"/>
        </w:rPr>
        <w:br w:type="textWrapping"/>
      </w:r>
      <w:r>
        <w:rPr>
          <w:rFonts w:ascii="Times New Roman" w:hAnsi="Times New Roman" w:eastAsia="宋体" w:cs="Times New Roman"/>
          <w:sz w:val="21"/>
          <w:szCs w:val="24"/>
        </w:rPr>
        <w:t>• DL-LNN（本文）平均MAE为0.081mm，PCC为0.948</w:t>
      </w:r>
      <w:r>
        <w:rPr>
          <w:rFonts w:ascii="Times New Roman" w:hAnsi="Times New Roman" w:eastAsia="宋体" w:cs="Times New Roman"/>
          <w:sz w:val="21"/>
          <w:szCs w:val="24"/>
        </w:rPr>
        <w:br w:type="textWrapping"/>
      </w:r>
      <w:r>
        <w:rPr>
          <w:rFonts w:ascii="Times New Roman" w:hAnsi="Times New Roman" w:eastAsia="宋体" w:cs="Times New Roman"/>
          <w:sz w:val="21"/>
          <w:szCs w:val="24"/>
        </w:rPr>
        <w:br w:type="textWrapping"/>
      </w:r>
      <w:r>
        <w:rPr>
          <w:rFonts w:ascii="Times New Roman" w:hAnsi="Times New Roman" w:eastAsia="宋体" w:cs="Times New Roman"/>
          <w:sz w:val="21"/>
          <w:szCs w:val="24"/>
        </w:rPr>
        <w:t>相比最优PINN变体gPINN，DL-LNN降低26.7% MAE；相比经典PINN，降低34.6% MAE。这验证了物理模型动态补偿器路线相比纯物理约束神经网络方法的优越性。</w:t>
      </w:r>
    </w:p>
    <w:p w14:paraId="0FAAE278">
      <w:pPr>
        <w:pStyle w:val="3"/>
        <w:keepNext/>
        <w:numPr>
          <w:ilvl w:val="0"/>
          <w:numId w:val="0"/>
        </w:numPr>
        <w:ind w:leftChars="0"/>
        <w:outlineLvl w:val="9"/>
        <w:rPr>
          <w:b w:val="0"/>
        </w:rPr>
      </w:pPr>
      <w:r>
        <w:rPr>
          <w:rFonts w:hint="eastAsia"/>
          <w:lang w:eastAsia="zh-CN"/>
        </w:rPr>
        <w:t xml:space="preserve">4.4. </w:t>
      </w:r>
      <w:r>
        <w:t>Y 工程化指标对比</w:t>
      </w:r>
    </w:p>
    <w:p w14:paraId="1D95AF23">
      <w:pPr>
        <w:pStyle w:val="11"/>
        <w:rPr>
          <w:rFonts w:ascii="Times New Roman" w:hAnsi="Times New Roman" w:eastAsia="宋体" w:cs="Times New Roman"/>
          <w:sz w:val="21"/>
          <w:szCs w:val="24"/>
        </w:rPr>
      </w:pPr>
      <w:r>
        <w:rPr>
          <w:rFonts w:ascii="Times New Roman" w:hAnsi="Times New Roman" w:eastAsia="宋体" w:cs="Times New Roman"/>
          <w:sz w:val="21"/>
          <w:szCs w:val="24"/>
        </w:rPr>
        <w:t>为评估DL-LNN的工业部署可行性，本文对比了各模型的工程化指标：</w:t>
      </w:r>
    </w:p>
    <w:p w14:paraId="65D61BB8">
      <w:pPr>
        <w:pStyle w:val="11"/>
        <w:rPr>
          <w:rFonts w:ascii="Times New Roman" w:hAnsi="Times New Roman" w:eastAsia="宋体" w:cs="Times New Roman"/>
          <w:sz w:val="21"/>
          <w:szCs w:val="24"/>
        </w:rPr>
      </w:pPr>
    </w:p>
    <w:p w14:paraId="6DE19646">
      <w:pPr>
        <w:pStyle w:val="11"/>
        <w:rPr>
          <w:rFonts w:ascii="Times New Roman" w:hAnsi="Times New Roman" w:eastAsia="宋体" w:cs="Times New Roman"/>
          <w:sz w:val="21"/>
          <w:szCs w:val="24"/>
        </w:rPr>
      </w:pPr>
      <w:r>
        <w:rPr>
          <w:rFonts w:ascii="Times New Roman" w:hAnsi="Times New Roman" w:eastAsia="宋体" w:cs="Times New Roman"/>
          <w:sz w:val="21"/>
          <w:szCs w:val="24"/>
        </w:rPr>
        <w:t>DL-LNN（本文）：</w:t>
      </w:r>
    </w:p>
    <w:p w14:paraId="2B9A0B3A">
      <w:pPr>
        <w:pStyle w:val="11"/>
        <w:rPr>
          <w:rFonts w:ascii="Times New Roman" w:hAnsi="Times New Roman" w:eastAsia="宋体" w:cs="Times New Roman"/>
          <w:sz w:val="21"/>
          <w:szCs w:val="24"/>
        </w:rPr>
      </w:pPr>
      <w:r>
        <w:rPr>
          <w:rFonts w:ascii="Times New Roman" w:hAnsi="Times New Roman" w:eastAsia="宋体" w:cs="Times New Roman"/>
          <w:sz w:val="21"/>
          <w:szCs w:val="24"/>
        </w:rPr>
        <w:t>• 参数量：0.85M</w:t>
      </w:r>
    </w:p>
    <w:p w14:paraId="24120CC5">
      <w:pPr>
        <w:pStyle w:val="11"/>
        <w:rPr>
          <w:rFonts w:ascii="Times New Roman" w:hAnsi="Times New Roman" w:eastAsia="宋体" w:cs="Times New Roman"/>
          <w:sz w:val="21"/>
          <w:szCs w:val="24"/>
        </w:rPr>
      </w:pPr>
      <w:r>
        <w:rPr>
          <w:rFonts w:ascii="Times New Roman" w:hAnsi="Times New Roman" w:eastAsia="宋体" w:cs="Times New Roman"/>
          <w:sz w:val="21"/>
          <w:szCs w:val="24"/>
        </w:rPr>
        <w:t>• FLOPs：0.12G</w:t>
      </w:r>
    </w:p>
    <w:p w14:paraId="4F3A6577">
      <w:pPr>
        <w:pStyle w:val="11"/>
        <w:rPr>
          <w:rFonts w:ascii="Times New Roman" w:hAnsi="Times New Roman" w:eastAsia="宋体" w:cs="Times New Roman"/>
          <w:sz w:val="21"/>
          <w:szCs w:val="24"/>
        </w:rPr>
      </w:pPr>
      <w:r>
        <w:rPr>
          <w:rFonts w:ascii="Times New Roman" w:hAnsi="Times New Roman" w:eastAsia="宋体" w:cs="Times New Roman"/>
          <w:sz w:val="21"/>
          <w:szCs w:val="24"/>
        </w:rPr>
        <w:t>• 推理时间：3.2ms</w:t>
      </w:r>
    </w:p>
    <w:p w14:paraId="21310B88">
      <w:pPr>
        <w:pStyle w:val="11"/>
        <w:rPr>
          <w:rFonts w:ascii="Times New Roman" w:hAnsi="Times New Roman" w:eastAsia="宋体" w:cs="Times New Roman"/>
          <w:sz w:val="21"/>
          <w:szCs w:val="24"/>
        </w:rPr>
      </w:pPr>
      <w:r>
        <w:rPr>
          <w:rFonts w:ascii="Times New Roman" w:hAnsi="Times New Roman" w:eastAsia="宋体" w:cs="Times New Roman"/>
          <w:sz w:val="21"/>
          <w:szCs w:val="24"/>
        </w:rPr>
        <w:t>• 内存占用：18.5MB</w:t>
      </w:r>
    </w:p>
    <w:p w14:paraId="566B4642">
      <w:pPr>
        <w:pStyle w:val="11"/>
        <w:rPr>
          <w:rFonts w:ascii="Times New Roman" w:hAnsi="Times New Roman" w:eastAsia="宋体" w:cs="Times New Roman"/>
          <w:sz w:val="21"/>
          <w:szCs w:val="24"/>
        </w:rPr>
      </w:pPr>
      <w:r>
        <w:rPr>
          <w:rFonts w:ascii="Times New Roman" w:hAnsi="Times New Roman" w:eastAsia="宋体" w:cs="Times New Roman"/>
          <w:sz w:val="21"/>
          <w:szCs w:val="24"/>
        </w:rPr>
        <w:t>• 模型大小：3.4MB</w:t>
      </w:r>
    </w:p>
    <w:p w14:paraId="63D963E5">
      <w:pPr>
        <w:pStyle w:val="11"/>
        <w:rPr>
          <w:rFonts w:ascii="Times New Roman" w:hAnsi="Times New Roman" w:eastAsia="宋体" w:cs="Times New Roman"/>
          <w:sz w:val="21"/>
          <w:szCs w:val="24"/>
        </w:rPr>
      </w:pPr>
    </w:p>
    <w:p w14:paraId="7A6380C9">
      <w:pPr>
        <w:pStyle w:val="11"/>
        <w:rPr>
          <w:rFonts w:ascii="Times New Roman" w:hAnsi="Times New Roman" w:eastAsia="宋体" w:cs="Times New Roman"/>
          <w:sz w:val="21"/>
          <w:szCs w:val="24"/>
        </w:rPr>
      </w:pPr>
      <w:r>
        <w:rPr>
          <w:rFonts w:ascii="Times New Roman" w:hAnsi="Times New Roman" w:eastAsia="宋体" w:cs="Times New Roman"/>
          <w:sz w:val="21"/>
          <w:szCs w:val="24"/>
        </w:rPr>
        <w:t>对比模型：</w:t>
      </w:r>
    </w:p>
    <w:p w14:paraId="5B11F078">
      <w:pPr>
        <w:pStyle w:val="11"/>
        <w:ind w:left="7830" w:leftChars="200" w:hanging="7350" w:hangingChars="3500"/>
        <w:rPr>
          <w:rFonts w:ascii="Times New Roman" w:hAnsi="Times New Roman" w:eastAsia="宋体" w:cs="Times New Roman"/>
          <w:sz w:val="21"/>
          <w:szCs w:val="24"/>
        </w:rPr>
      </w:pPr>
      <w:r>
        <w:rPr>
          <w:rFonts w:ascii="Times New Roman" w:hAnsi="Times New Roman" w:eastAsia="宋体" w:cs="Times New Roman"/>
          <w:sz w:val="21"/>
          <w:szCs w:val="24"/>
        </w:rPr>
        <w:t>• Transformer：参数量2.50M，推理时间4.5ms，内存占用38.7MB</w:t>
      </w:r>
    </w:p>
    <w:p w14:paraId="31547610">
      <w:pPr>
        <w:pStyle w:val="11"/>
        <w:ind w:left="7830" w:leftChars="200" w:hanging="7350" w:hangingChars="3500"/>
        <w:rPr>
          <w:rFonts w:ascii="Times New Roman" w:hAnsi="Times New Roman" w:eastAsia="宋体" w:cs="Times New Roman"/>
          <w:sz w:val="21"/>
          <w:szCs w:val="24"/>
        </w:rPr>
      </w:pPr>
      <w:r>
        <w:rPr>
          <w:rFonts w:ascii="Times New Roman" w:hAnsi="Times New Roman" w:eastAsia="宋体" w:cs="Times New Roman"/>
          <w:sz w:val="21"/>
          <w:szCs w:val="24"/>
        </w:rPr>
        <w:t>• LSTM：参数量1.20M，推理时间3.8ms，内存占用22.0MB</w:t>
      </w:r>
    </w:p>
    <w:p w14:paraId="541F2677">
      <w:pPr>
        <w:pStyle w:val="11"/>
        <w:rPr>
          <w:rFonts w:ascii="Times New Roman" w:hAnsi="Times New Roman" w:eastAsia="宋体" w:cs="Times New Roman"/>
          <w:sz w:val="21"/>
          <w:szCs w:val="24"/>
        </w:rPr>
      </w:pPr>
    </w:p>
    <w:p w14:paraId="1BDFD5D8">
      <w:pPr>
        <w:pStyle w:val="11"/>
        <w:rPr>
          <w:rFonts w:ascii="Times New Roman" w:hAnsi="Times New Roman" w:eastAsia="宋体" w:cs="Times New Roman"/>
          <w:sz w:val="21"/>
          <w:szCs w:val="24"/>
        </w:rPr>
      </w:pPr>
      <w:r>
        <w:rPr>
          <w:rFonts w:ascii="Times New Roman" w:hAnsi="Times New Roman" w:eastAsia="宋体" w:cs="Times New Roman"/>
          <w:sz w:val="21"/>
          <w:szCs w:val="24"/>
        </w:rPr>
        <w:t>DL-LNN相比Transformer参数量减少66%，推理时间减少29%；相比LSTM参数量减少29%，推理时间减少16%。这表明DL-LNN在保持高精度的同时，具有更低的计算开销和内存占用，满足工业实时部署需求。</w:t>
      </w:r>
    </w:p>
    <w:p w14:paraId="59C24431">
      <w:pPr>
        <w:pStyle w:val="11"/>
        <w:widowControl/>
        <w:rPr>
          <w:rFonts w:ascii="Times New Roman" w:hAnsi="Times New Roman" w:eastAsia="宋体" w:cs="Times New Roman"/>
          <w:sz w:val="21"/>
          <w:szCs w:val="24"/>
        </w:rPr>
      </w:pPr>
      <w:r>
        <w:rPr>
          <w:rFonts w:ascii="Times New Roman" w:hAnsi="Times New Roman" w:eastAsia="宋体" w:cs="Times New Roman"/>
          <w:sz w:val="21"/>
          <w:szCs w:val="24"/>
        </w:rPr>
        <w:t>4.3.1 Leave-One-Material-Out 跨材料协议</w:t>
      </w:r>
      <w:r>
        <w:rPr>
          <w:rFonts w:ascii="Times New Roman" w:hAnsi="Times New Roman" w:eastAsia="宋体" w:cs="Times New Roman"/>
          <w:sz w:val="21"/>
          <w:szCs w:val="24"/>
        </w:rPr>
        <w:tab/>
      </w:r>
      <w:r>
        <w:rPr>
          <w:rFonts w:ascii="Times New Roman" w:hAnsi="Times New Roman" w:eastAsia="宋体" w:cs="Times New Roman"/>
          <w:sz w:val="21"/>
          <w:szCs w:val="24"/>
        </w:rPr>
        <w:t>20</w:t>
      </w:r>
    </w:p>
    <w:p w14:paraId="6E340896">
      <w:pPr>
        <w:pStyle w:val="11"/>
        <w:rPr>
          <w:rFonts w:ascii="Times New Roman" w:hAnsi="Times New Roman" w:eastAsia="宋体" w:cs="Times New Roman"/>
          <w:sz w:val="21"/>
          <w:szCs w:val="24"/>
        </w:rPr>
      </w:pPr>
      <w:r>
        <w:rPr>
          <w:rFonts w:ascii="Times New Roman" w:hAnsi="Times New Roman" w:eastAsia="宋体" w:cs="Times New Roman"/>
          <w:sz w:val="21"/>
          <w:szCs w:val="24"/>
        </w:rPr>
        <w:t>降低26.7%（p&lt;0.01）。所有对比均达到统计显著性水平，证明DL-LNN的性能提升并非偶然。</w:t>
      </w:r>
    </w:p>
    <w:p w14:paraId="1AAB1CEC">
      <w:pPr>
        <w:pStyle w:val="3"/>
        <w:keepNext/>
        <w:widowControl/>
        <w:numPr>
          <w:ilvl w:val="0"/>
          <w:numId w:val="0"/>
        </w:numPr>
        <w:ind w:leftChars="0"/>
        <w:outlineLvl w:val="9"/>
        <w:rPr>
          <w:b w:val="0"/>
        </w:rPr>
      </w:pPr>
      <w:r>
        <w:rPr>
          <w:rFonts w:hint="eastAsia"/>
          <w:lang w:eastAsia="zh-CN"/>
        </w:rPr>
        <w:t xml:space="preserve">4.5. </w:t>
      </w:r>
      <w:r>
        <w:t>工程应用案例与 LLM 诊断接口</w:t>
      </w:r>
      <w:r>
        <w:tab/>
      </w:r>
      <w:r>
        <w:t>22</w:t>
      </w:r>
    </w:p>
    <w:p w14:paraId="028516F5">
      <w:pPr>
        <w:pStyle w:val="4"/>
        <w:keepNext/>
        <w:outlineLvl w:val="9"/>
      </w:pPr>
      <w:r>
        <w:br w:type="textWrapping"/>
      </w:r>
      <w:r>
        <w:t>4.3.4 PINN变体对比实验</w:t>
      </w:r>
      <w:r>
        <w:br w:type="textWrapping"/>
      </w:r>
    </w:p>
    <w:p w14:paraId="3C0731F6">
      <w:pPr>
        <w:pStyle w:val="11"/>
        <w:widowControl/>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4.4.1 </w:t>
      </w:r>
      <w:r>
        <w:rPr>
          <w:rFonts w:ascii="Times New Roman" w:hAnsi="Times New Roman" w:eastAsia="宋体" w:cs="Times New Roman"/>
          <w:sz w:val="21"/>
          <w:szCs w:val="24"/>
        </w:rPr>
        <w:t>SLD-as-Prompt 诊断接口设计</w:t>
      </w:r>
      <w:r>
        <w:rPr>
          <w:rFonts w:ascii="Times New Roman" w:hAnsi="Times New Roman" w:eastAsia="宋体" w:cs="Times New Roman"/>
          <w:sz w:val="21"/>
          <w:szCs w:val="24"/>
        </w:rPr>
        <w:tab/>
      </w:r>
      <w:r>
        <w:rPr>
          <w:rFonts w:ascii="Times New Roman" w:hAnsi="Times New Roman" w:eastAsia="宋体" w:cs="Times New Roman"/>
          <w:sz w:val="21"/>
          <w:szCs w:val="24"/>
        </w:rPr>
        <w:t>22</w:t>
      </w:r>
    </w:p>
    <w:p w14:paraId="6FFC164B">
      <w:pPr>
        <w:pStyle w:val="11"/>
        <w:rPr>
          <w:rFonts w:ascii="Times New Roman" w:hAnsi="Times New Roman" w:eastAsia="宋体" w:cs="Times New Roman"/>
          <w:sz w:val="21"/>
          <w:szCs w:val="24"/>
        </w:rPr>
      </w:pPr>
      <w:r>
        <w:rPr>
          <w:rFonts w:ascii="Times New Roman" w:hAnsi="Times New Roman" w:eastAsia="宋体" w:cs="Times New Roman"/>
          <w:sz w:val="21"/>
          <w:szCs w:val="24"/>
        </w:rPr>
        <w:t>为验证DL-LNN相比最新物理信息神经网络变体的优势，本文在5个数据集上对比了PINN、gPINN、APNN、</w:t>
      </w:r>
    </w:p>
    <w:p w14:paraId="4D638D98">
      <w:pPr>
        <w:pStyle w:val="11"/>
        <w:widowControl/>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4.4.2 </w:t>
      </w:r>
      <w:r>
        <w:rPr>
          <w:rFonts w:ascii="Times New Roman" w:hAnsi="Times New Roman" w:eastAsia="宋体" w:cs="Times New Roman"/>
          <w:sz w:val="21"/>
          <w:szCs w:val="24"/>
        </w:rPr>
        <w:t>主动学习曲线实验结果</w:t>
      </w:r>
      <w:r>
        <w:rPr>
          <w:rFonts w:ascii="Times New Roman" w:hAnsi="Times New Roman" w:eastAsia="宋体" w:cs="Times New Roman"/>
          <w:sz w:val="21"/>
          <w:szCs w:val="24"/>
        </w:rPr>
        <w:tab/>
      </w:r>
      <w:r>
        <w:rPr>
          <w:rFonts w:ascii="Times New Roman" w:hAnsi="Times New Roman" w:eastAsia="宋体" w:cs="Times New Roman"/>
          <w:sz w:val="21"/>
          <w:szCs w:val="24"/>
        </w:rPr>
        <w:t>25</w:t>
      </w:r>
    </w:p>
    <w:p w14:paraId="6D788310">
      <w:pPr>
        <w:pStyle w:val="11"/>
        <w:rPr>
          <w:rFonts w:ascii="Times New Roman" w:hAnsi="Times New Roman" w:eastAsia="宋体" w:cs="Times New Roman"/>
          <w:sz w:val="21"/>
          <w:szCs w:val="24"/>
        </w:rPr>
      </w:pPr>
      <w:r>
        <w:rPr>
          <w:rFonts w:ascii="Times New Roman" w:hAnsi="Times New Roman" w:eastAsia="宋体" w:cs="Times New Roman"/>
          <w:sz w:val="21"/>
          <w:szCs w:val="24"/>
        </w:rPr>
        <w:t>DeepONet、PeRCNN等模型的性能。实验结果表明：</w:t>
      </w:r>
      <w:r>
        <w:rPr>
          <w:rFonts w:ascii="Times New Roman" w:hAnsi="Times New Roman" w:eastAsia="宋体" w:cs="Times New Roman"/>
          <w:sz w:val="21"/>
          <w:szCs w:val="24"/>
        </w:rPr>
        <w:br w:type="textWrapping"/>
      </w:r>
    </w:p>
    <w:p w14:paraId="18551C37">
      <w:pPr>
        <w:pStyle w:val="3"/>
        <w:keepNext/>
        <w:widowControl/>
        <w:numPr>
          <w:ilvl w:val="0"/>
          <w:numId w:val="0"/>
        </w:numPr>
        <w:ind w:leftChars="0"/>
        <w:outlineLvl w:val="9"/>
        <w:rPr>
          <w:b w:val="0"/>
        </w:rPr>
      </w:pPr>
      <w:r>
        <w:rPr>
          <w:rFonts w:hint="eastAsia"/>
          <w:lang w:eastAsia="zh-CN"/>
        </w:rPr>
        <w:t xml:space="preserve">4.6. </w:t>
      </w:r>
      <w:r>
        <w:t>本章小结</w:t>
      </w:r>
      <w:r>
        <w:tab/>
      </w:r>
      <w:r>
        <w:t>26</w:t>
      </w:r>
    </w:p>
    <w:p w14:paraId="2B611807">
      <w:pPr>
        <w:pStyle w:val="11"/>
        <w:rPr>
          <w:rFonts w:ascii="Times New Roman" w:hAnsi="Times New Roman" w:eastAsia="宋体" w:cs="Times New Roman"/>
          <w:sz w:val="21"/>
          <w:szCs w:val="24"/>
        </w:rPr>
      </w:pPr>
      <w:r>
        <w:rPr>
          <w:rFonts w:ascii="Times New Roman" w:hAnsi="Times New Roman" w:eastAsia="宋体" w:cs="Times New Roman"/>
          <w:sz w:val="21"/>
          <w:szCs w:val="24"/>
        </w:rPr>
        <w:t>• PINN平均MAE为0.124 mm，PCC为0.892</w:t>
      </w:r>
      <w:r>
        <w:rPr>
          <w:rFonts w:ascii="Times New Roman" w:hAnsi="Times New Roman" w:eastAsia="宋体" w:cs="Times New Roman"/>
          <w:sz w:val="21"/>
          <w:szCs w:val="24"/>
        </w:rPr>
        <w:br w:type="textWrapping"/>
      </w:r>
    </w:p>
    <w:p w14:paraId="42046CF1">
      <w:r>
        <w:br w:type="page"/>
      </w:r>
    </w:p>
    <w:p w14:paraId="18EA8B0F">
      <w:pPr>
        <w:pStyle w:val="38"/>
        <w:keepNext/>
        <w:pageBreakBefore/>
      </w:pPr>
      <w:bookmarkStart w:id="190" w:name="_Toc23566"/>
      <w:r>
        <w:t>第五章 总结与展望</w:t>
      </w:r>
      <w:bookmarkEnd w:id="190"/>
    </w:p>
    <w:p w14:paraId="19F41F58">
      <w:pPr>
        <w:pStyle w:val="11"/>
        <w:widowControl/>
        <w:rPr>
          <w:rFonts w:ascii="Times New Roman" w:hAnsi="Times New Roman" w:eastAsia="宋体" w:cs="Times New Roman"/>
          <w:sz w:val="21"/>
          <w:szCs w:val="24"/>
        </w:rPr>
      </w:pPr>
      <w:r>
        <w:rPr>
          <w:rFonts w:ascii="Times New Roman" w:hAnsi="Times New Roman" w:eastAsia="宋体" w:cs="Times New Roman"/>
          <w:sz w:val="21"/>
          <w:szCs w:val="24"/>
        </w:rPr>
        <w:t>3.2.1 输入编码层</w:t>
      </w:r>
      <w:r>
        <w:rPr>
          <w:rFonts w:ascii="Times New Roman" w:hAnsi="Times New Roman" w:eastAsia="宋体" w:cs="Times New Roman"/>
          <w:sz w:val="21"/>
          <w:szCs w:val="24"/>
        </w:rPr>
        <w:tab/>
      </w:r>
      <w:r>
        <w:rPr>
          <w:rFonts w:ascii="Times New Roman" w:hAnsi="Times New Roman" w:eastAsia="宋体" w:cs="Times New Roman"/>
          <w:sz w:val="21"/>
          <w:szCs w:val="24"/>
        </w:rPr>
        <w:t>13</w:t>
      </w:r>
    </w:p>
    <w:p w14:paraId="7409B53C">
      <w:pPr>
        <w:pStyle w:val="11"/>
        <w:rPr>
          <w:rFonts w:ascii="Times New Roman" w:hAnsi="Times New Roman" w:eastAsia="宋体" w:cs="Times New Roman"/>
          <w:sz w:val="21"/>
          <w:szCs w:val="24"/>
        </w:rPr>
      </w:pPr>
      <w:r>
        <w:rPr>
          <w:rFonts w:ascii="Times New Roman" w:hAnsi="Times New Roman" w:eastAsia="宋体" w:cs="Times New Roman"/>
          <w:sz w:val="21"/>
          <w:szCs w:val="24"/>
        </w:rPr>
        <w:t>3.2 网络整体结构</w:t>
      </w:r>
    </w:p>
    <w:p w14:paraId="640C122A">
      <w:pPr>
        <w:pStyle w:val="11"/>
        <w:widowControl/>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4.2.2 </w:t>
      </w:r>
      <w:r>
        <w:rPr>
          <w:rFonts w:ascii="Times New Roman" w:hAnsi="Times New Roman" w:eastAsia="宋体" w:cs="Times New Roman"/>
          <w:sz w:val="21"/>
          <w:szCs w:val="24"/>
        </w:rPr>
        <w:t>消融实验</w:t>
      </w:r>
      <w:r>
        <w:rPr>
          <w:rFonts w:ascii="Times New Roman" w:hAnsi="Times New Roman" w:eastAsia="宋体" w:cs="Times New Roman"/>
          <w:sz w:val="21"/>
          <w:szCs w:val="24"/>
        </w:rPr>
        <w:tab/>
      </w:r>
      <w:r>
        <w:rPr>
          <w:rFonts w:ascii="Times New Roman" w:hAnsi="Times New Roman" w:eastAsia="宋体" w:cs="Times New Roman"/>
          <w:sz w:val="21"/>
          <w:szCs w:val="24"/>
        </w:rPr>
        <w:t>19</w:t>
      </w:r>
    </w:p>
    <w:p w14:paraId="04644B84">
      <w:pPr>
        <w:pStyle w:val="11"/>
        <w:rPr>
          <w:rFonts w:ascii="Times New Roman" w:hAnsi="Times New Roman" w:eastAsia="宋体" w:cs="Times New Roman"/>
          <w:sz w:val="21"/>
          <w:szCs w:val="24"/>
        </w:rPr>
      </w:pPr>
      <w:r>
        <w:rPr>
          <w:rFonts w:ascii="Times New Roman" w:hAnsi="Times New Roman" w:eastAsia="宋体" w:cs="Times New Roman"/>
          <w:sz w:val="21"/>
          <w:szCs w:val="24"/>
        </w:rPr>
        <w:br w:type="textWrapping"/>
      </w:r>
      <w:r>
        <w:rPr>
          <w:rFonts w:ascii="Times New Roman" w:hAnsi="Times New Roman" w:eastAsia="宋体" w:cs="Times New Roman"/>
          <w:sz w:val="21"/>
          <w:szCs w:val="24"/>
        </w:rPr>
        <w:t>误差棒分析与统计显著性</w:t>
      </w:r>
      <w:r>
        <w:rPr>
          <w:rFonts w:ascii="Times New Roman" w:hAnsi="Times New Roman" w:eastAsia="宋体" w:cs="Times New Roman"/>
          <w:sz w:val="21"/>
          <w:szCs w:val="24"/>
        </w:rPr>
        <w:br w:type="textWrapping"/>
      </w:r>
    </w:p>
    <w:p w14:paraId="2B27C116">
      <w:pPr>
        <w:pStyle w:val="11"/>
        <w:rPr>
          <w:rFonts w:ascii="Times New Roman" w:hAnsi="Times New Roman" w:eastAsia="宋体" w:cs="Times New Roman"/>
          <w:sz w:val="21"/>
          <w:szCs w:val="24"/>
        </w:rPr>
      </w:pPr>
      <w:r>
        <w:rPr>
          <w:rFonts w:ascii="Times New Roman" w:hAnsi="Times New Roman" w:eastAsia="宋体" w:cs="Times New Roman"/>
          <w:sz w:val="21"/>
          <w:szCs w:val="24"/>
        </w:rPr>
        <w:br w:type="textWrapping"/>
      </w:r>
      <w:r>
        <w:rPr>
          <w:rFonts w:ascii="Times New Roman" w:hAnsi="Times New Roman" w:eastAsia="宋体" w:cs="Times New Roman"/>
          <w:sz w:val="21"/>
          <w:szCs w:val="24"/>
        </w:rPr>
        <w:t>统计显著性检验</w:t>
      </w:r>
      <w:r>
        <w:rPr>
          <w:rFonts w:ascii="Times New Roman" w:hAnsi="Times New Roman" w:eastAsia="宋体" w:cs="Times New Roman"/>
          <w:sz w:val="21"/>
          <w:szCs w:val="24"/>
        </w:rPr>
        <w:br w:type="textWrapping"/>
      </w:r>
    </w:p>
    <w:p w14:paraId="044AA162">
      <w:pPr>
        <w:pStyle w:val="11"/>
        <w:rPr>
          <w:rFonts w:ascii="Times New Roman" w:hAnsi="Times New Roman" w:eastAsia="宋体" w:cs="Times New Roman"/>
          <w:sz w:val="21"/>
          <w:szCs w:val="24"/>
        </w:rPr>
      </w:pPr>
      <w:r>
        <w:rPr>
          <w:rFonts w:ascii="Times New Roman" w:hAnsi="Times New Roman" w:eastAsia="宋体" w:cs="Times New Roman"/>
          <w:sz w:val="21"/>
          <w:szCs w:val="24"/>
        </w:rPr>
        <w:t>为直观展示各模型预测精度的分布情况，图X给出了5个数据集上各模型MAE的误差棒图（均值±标准差）。</w:t>
      </w:r>
    </w:p>
    <w:p w14:paraId="1216A6AD">
      <w:pPr>
        <w:pStyle w:val="11"/>
        <w:widowControl/>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4.2.3 </w:t>
      </w:r>
      <w:r>
        <w:rPr>
          <w:rFonts w:ascii="Times New Roman" w:hAnsi="Times New Roman" w:eastAsia="宋体" w:cs="Times New Roman"/>
          <w:sz w:val="21"/>
          <w:szCs w:val="24"/>
        </w:rPr>
        <w:t>预测 SLD 与解析 SLD 的可视化对比</w:t>
      </w:r>
      <w:r>
        <w:rPr>
          <w:rFonts w:ascii="Times New Roman" w:hAnsi="Times New Roman" w:eastAsia="宋体" w:cs="Times New Roman"/>
          <w:sz w:val="21"/>
          <w:szCs w:val="24"/>
        </w:rPr>
        <w:tab/>
      </w:r>
      <w:r>
        <w:rPr>
          <w:rFonts w:ascii="Times New Roman" w:hAnsi="Times New Roman" w:eastAsia="宋体" w:cs="Times New Roman"/>
          <w:sz w:val="21"/>
          <w:szCs w:val="24"/>
        </w:rPr>
        <w:t>20</w:t>
      </w:r>
    </w:p>
    <w:p w14:paraId="25541189">
      <w:pPr>
        <w:pStyle w:val="11"/>
        <w:rPr>
          <w:rFonts w:ascii="Times New Roman" w:hAnsi="Times New Roman" w:eastAsia="宋体" w:cs="Times New Roman"/>
          <w:sz w:val="21"/>
          <w:szCs w:val="24"/>
        </w:rPr>
      </w:pPr>
      <w:r>
        <w:rPr>
          <w:rFonts w:ascii="Times New Roman" w:hAnsi="Times New Roman" w:eastAsia="宋体" w:cs="Times New Roman"/>
          <w:sz w:val="21"/>
          <w:szCs w:val="24"/>
        </w:rPr>
        <w:t>结果表明：(1) DL-LNN的误差棒最短（0.080±0.002 mm），表明其预测精度稳定且波动小；</w:t>
      </w:r>
    </w:p>
    <w:p w14:paraId="3BD013D4">
      <w:pPr>
        <w:pStyle w:val="11"/>
        <w:rPr>
          <w:rFonts w:ascii="Times New Roman" w:hAnsi="Times New Roman" w:eastAsia="宋体" w:cs="Times New Roman"/>
          <w:sz w:val="21"/>
          <w:szCs w:val="24"/>
        </w:rPr>
      </w:pPr>
      <w:r>
        <w:rPr>
          <w:rFonts w:ascii="Times New Roman" w:hAnsi="Times New Roman" w:eastAsia="宋体" w:cs="Times New Roman"/>
          <w:sz w:val="21"/>
          <w:szCs w:val="24"/>
        </w:rPr>
        <w:t>为验证DL-LNN性能提升的统计显著性，本文对5个数据集上的MAE进行配对t检验（paired t-test）。</w:t>
      </w:r>
    </w:p>
    <w:p w14:paraId="78BB7B48">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(2) </w:t>
      </w:r>
      <w:r>
        <w:rPr>
          <w:rFonts w:ascii="Times New Roman" w:hAnsi="Times New Roman" w:eastAsia="宋体" w:cs="Times New Roman"/>
          <w:sz w:val="21"/>
          <w:szCs w:val="24"/>
        </w:rPr>
        <w:t>LSTM的误差棒较长（0.108±0.005 mm），表明其对不同数据集的适应性较差；</w:t>
      </w:r>
    </w:p>
    <w:p w14:paraId="52E7B12A">
      <w:pPr>
        <w:pStyle w:val="11"/>
        <w:widowControl/>
        <w:rPr>
          <w:rFonts w:ascii="Times New Roman" w:hAnsi="Times New Roman" w:eastAsia="宋体" w:cs="Times New Roman"/>
          <w:sz w:val="21"/>
          <w:szCs w:val="24"/>
        </w:rPr>
      </w:pPr>
      <w:r>
        <w:rPr>
          <w:rFonts w:ascii="Times New Roman" w:hAnsi="Times New Roman" w:eastAsia="宋体" w:cs="Times New Roman"/>
          <w:sz w:val="21"/>
          <w:szCs w:val="24"/>
        </w:rPr>
        <w:t>4.2.4 物理一致性分析</w:t>
      </w:r>
      <w:r>
        <w:rPr>
          <w:rFonts w:ascii="Times New Roman" w:hAnsi="Times New Roman" w:eastAsia="宋体" w:cs="Times New Roman"/>
          <w:sz w:val="21"/>
          <w:szCs w:val="24"/>
        </w:rPr>
        <w:tab/>
      </w:r>
      <w:r>
        <w:rPr>
          <w:rFonts w:ascii="Times New Roman" w:hAnsi="Times New Roman" w:eastAsia="宋体" w:cs="Times New Roman"/>
          <w:sz w:val="21"/>
          <w:szCs w:val="24"/>
        </w:rPr>
        <w:t>20</w:t>
      </w:r>
    </w:p>
    <w:p w14:paraId="4C7F86B0">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(3) </w:t>
      </w:r>
      <w:r>
        <w:rPr>
          <w:rFonts w:ascii="Times New Roman" w:hAnsi="Times New Roman" w:eastAsia="宋体" w:cs="Times New Roman"/>
          <w:sz w:val="21"/>
          <w:szCs w:val="24"/>
        </w:rPr>
        <w:t>Transformer的误差棒居中（0.096±0.004 mm），表明其泛化能力优于LSTM但不及DL-LNN；</w:t>
      </w:r>
    </w:p>
    <w:p w14:paraId="6D9A7117">
      <w:pPr>
        <w:pStyle w:val="11"/>
        <w:rPr>
          <w:rFonts w:ascii="Times New Roman" w:hAnsi="Times New Roman" w:eastAsia="宋体" w:cs="Times New Roman"/>
          <w:sz w:val="21"/>
          <w:szCs w:val="24"/>
        </w:rPr>
      </w:pPr>
      <w:r>
        <w:t>实验结果：DL-LNN（MAE=0.080±0.002 mm）相比LSTM（MAE=0.108±0.005 mm）降低1.1%（p&lt;0.01），</w:t>
      </w:r>
    </w:p>
    <w:p w14:paraId="2B846797">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(4) </w:t>
      </w:r>
      <w:r>
        <w:rPr>
          <w:rFonts w:ascii="Times New Roman" w:hAnsi="Times New Roman" w:eastAsia="宋体" w:cs="Times New Roman"/>
          <w:sz w:val="21"/>
          <w:szCs w:val="24"/>
        </w:rPr>
        <w:t>PINN变体（PINN/gPINN/APNN）的误差棒普遍较长，表明其对物理约束的敏感性较高。</w:t>
      </w:r>
    </w:p>
    <w:p w14:paraId="422A99C4">
      <w:pPr>
        <w:pStyle w:val="11"/>
        <w:widowControl/>
        <w:rPr>
          <w:rFonts w:ascii="Times New Roman" w:hAnsi="Times New Roman" w:eastAsia="宋体" w:cs="Times New Roman"/>
          <w:sz w:val="21"/>
          <w:szCs w:val="24"/>
        </w:rPr>
      </w:pPr>
      <w:r>
        <w:rPr>
          <w:rFonts w:ascii="Times New Roman" w:hAnsi="Times New Roman" w:eastAsia="宋体" w:cs="Times New Roman"/>
          <w:sz w:val="21"/>
          <w:szCs w:val="24"/>
        </w:rPr>
        <w:t>4.3 跨工况实验</w:t>
      </w:r>
      <w:r>
        <w:rPr>
          <w:rFonts w:ascii="Times New Roman" w:hAnsi="Times New Roman" w:eastAsia="宋体" w:cs="Times New Roman"/>
          <w:sz w:val="21"/>
          <w:szCs w:val="24"/>
        </w:rPr>
        <w:tab/>
      </w:r>
      <w:r>
        <w:rPr>
          <w:rFonts w:ascii="Times New Roman" w:hAnsi="Times New Roman" w:eastAsia="宋体" w:cs="Times New Roman"/>
          <w:sz w:val="21"/>
          <w:szCs w:val="24"/>
        </w:rPr>
        <w:t>20</w:t>
      </w:r>
    </w:p>
    <w:p w14:paraId="23AC9C9E">
      <w:pPr>
        <w:pStyle w:val="11"/>
        <w:rPr>
          <w:rFonts w:ascii="Times New Roman" w:hAnsi="Times New Roman" w:eastAsia="宋体" w:cs="Times New Roman"/>
          <w:sz w:val="21"/>
          <w:szCs w:val="24"/>
        </w:rPr>
      </w:pPr>
      <w:r>
        <w:rPr>
          <w:rFonts w:ascii="Times New Roman" w:hAnsi="Times New Roman" w:eastAsia="宋体" w:cs="Times New Roman"/>
          <w:sz w:val="21"/>
          <w:szCs w:val="24"/>
        </w:rPr>
        <w:t>配对t检验结果表明，DL-LNN相比所有对比模型的性能提升均达到统计显著性水平（p&lt;0.05），</w:t>
      </w:r>
    </w:p>
    <w:p w14:paraId="4C336D03">
      <w:pPr>
        <w:pStyle w:val="11"/>
        <w:rPr>
          <w:rFonts w:ascii="Times New Roman" w:hAnsi="Times New Roman" w:eastAsia="宋体" w:cs="Times New Roman"/>
          <w:sz w:val="21"/>
          <w:szCs w:val="24"/>
        </w:rPr>
      </w:pPr>
      <w:r>
        <w:rPr>
          <w:rFonts w:ascii="Times New Roman" w:hAnsi="Times New Roman" w:eastAsia="宋体" w:cs="Times New Roman"/>
          <w:sz w:val="21"/>
          <w:szCs w:val="24"/>
        </w:rPr>
        <w:t>相比Transformer（MAE=0.096±0.004 mm）降低16.7%（p&lt;0.05），相比最优PINN变体gPINN（MAE=0.110±0.006 mm）</w:t>
      </w:r>
    </w:p>
    <w:p w14:paraId="50D74FFA">
      <w:pPr>
        <w:pStyle w:val="11"/>
        <w:rPr>
          <w:rFonts w:ascii="Times New Roman" w:hAnsi="Times New Roman" w:eastAsia="宋体" w:cs="Times New Roman"/>
          <w:sz w:val="21"/>
          <w:szCs w:val="24"/>
        </w:rPr>
      </w:pPr>
      <w:r>
        <w:rPr>
          <w:rFonts w:ascii="Times New Roman" w:hAnsi="Times New Roman" w:eastAsia="宋体" w:cs="Times New Roman"/>
          <w:sz w:val="21"/>
          <w:szCs w:val="24"/>
        </w:rPr>
        <w:t>证明DL-LNN的性能提升并非偶然，而是源于其延迟嵌入机制和三层物理一致性损失的有效结合。</w:t>
      </w:r>
    </w:p>
    <w:p w14:paraId="13A75FE5">
      <w:pPr>
        <w:pStyle w:val="3"/>
        <w:keepNext/>
        <w:widowControl/>
        <w:numPr>
          <w:ilvl w:val="0"/>
          <w:numId w:val="0"/>
        </w:numPr>
        <w:ind w:leftChars="0"/>
        <w:outlineLvl w:val="9"/>
        <w:rPr>
          <w:b w:val="0"/>
        </w:rPr>
      </w:pPr>
      <w:bookmarkStart w:id="191" w:name="_Toc27497"/>
      <w:bookmarkStart w:id="192" w:name="_Toc12269"/>
      <w:bookmarkStart w:id="193" w:name="_Toc28856"/>
      <w:r>
        <w:rPr>
          <w:rFonts w:hint="eastAsia"/>
          <w:lang w:eastAsia="zh-CN"/>
        </w:rPr>
        <w:t xml:space="preserve">4.2.4 </w:t>
      </w:r>
      <w:r>
        <w:t>物理一致性分析</w:t>
      </w:r>
      <w:bookmarkEnd w:id="191"/>
      <w:bookmarkEnd w:id="192"/>
      <w:bookmarkEnd w:id="193"/>
    </w:p>
    <w:p w14:paraId="6D3C32B2">
      <w:pPr>
        <w:pStyle w:val="11"/>
        <w:rPr>
          <w:rFonts w:ascii="Times New Roman" w:hAnsi="Times New Roman" w:eastAsia="宋体" w:cs="Times New Roman"/>
          <w:sz w:val="21"/>
          <w:szCs w:val="24"/>
        </w:rPr>
      </w:pPr>
      <w:r>
        <w:rPr>
          <w:rFonts w:ascii="Times New Roman" w:hAnsi="Times New Roman" w:eastAsia="宋体" w:cs="Times New Roman"/>
          <w:sz w:val="21"/>
          <w:szCs w:val="24"/>
        </w:rPr>
        <w:br w:type="textWrapping"/>
      </w:r>
      <w:r>
        <w:rPr>
          <w:rFonts w:ascii="Times New Roman" w:hAnsi="Times New Roman" w:eastAsia="宋体" w:cs="Times New Roman"/>
          <w:sz w:val="21"/>
          <w:szCs w:val="24"/>
        </w:rPr>
        <w:t>可视化对比分析补充</w:t>
      </w:r>
      <w:r>
        <w:rPr>
          <w:rFonts w:ascii="Times New Roman" w:hAnsi="Times New Roman" w:eastAsia="宋体" w:cs="Times New Roman"/>
          <w:sz w:val="21"/>
          <w:szCs w:val="24"/>
        </w:rPr>
        <w:br w:type="textWrapping"/>
      </w:r>
    </w:p>
    <w:p w14:paraId="7E758638">
      <w:pPr>
        <w:pStyle w:val="11"/>
        <w:rPr>
          <w:rFonts w:ascii="Times New Roman" w:hAnsi="Times New Roman" w:eastAsia="宋体" w:cs="Times New Roman"/>
          <w:sz w:val="21"/>
          <w:szCs w:val="24"/>
        </w:rPr>
      </w:pPr>
      <w:r>
        <w:rPr>
          <w:rFonts w:ascii="Times New Roman" w:hAnsi="Times New Roman" w:eastAsia="宋体" w:cs="Times New Roman"/>
          <w:sz w:val="21"/>
          <w:szCs w:val="24"/>
        </w:rPr>
        <w:br w:type="textWrapping"/>
      </w:r>
      <w:r>
        <w:rPr>
          <w:rFonts w:ascii="Times New Roman" w:hAnsi="Times New Roman" w:eastAsia="宋体" w:cs="Times New Roman"/>
          <w:sz w:val="21"/>
          <w:szCs w:val="24"/>
        </w:rPr>
        <w:t>可视化对比分析补充</w:t>
      </w:r>
      <w:r>
        <w:rPr>
          <w:rFonts w:ascii="Times New Roman" w:hAnsi="Times New Roman" w:eastAsia="宋体" w:cs="Times New Roman"/>
          <w:sz w:val="21"/>
          <w:szCs w:val="24"/>
        </w:rPr>
        <w:br w:type="textWrapping"/>
      </w:r>
    </w:p>
    <w:p w14:paraId="29A29E42">
      <w:pPr>
        <w:pStyle w:val="11"/>
        <w:rPr>
          <w:rFonts w:ascii="Times New Roman" w:hAnsi="Times New Roman" w:eastAsia="宋体" w:cs="Times New Roman"/>
          <w:sz w:val="21"/>
          <w:szCs w:val="24"/>
        </w:rPr>
      </w:pPr>
      <w:r>
        <w:rPr>
          <w:rFonts w:ascii="Times New Roman" w:hAnsi="Times New Roman" w:eastAsia="宋体" w:cs="Times New Roman"/>
          <w:sz w:val="21"/>
          <w:szCs w:val="24"/>
        </w:rPr>
        <w:t>图Y给出了DL-LNN与对比模型在PHM2010数据集上的预测SLD可视化对比。结果表明：</w:t>
      </w:r>
    </w:p>
    <w:p w14:paraId="47564467">
      <w:pPr>
        <w:pStyle w:val="11"/>
        <w:rPr>
          <w:rFonts w:ascii="Times New Roman" w:hAnsi="Times New Roman" w:eastAsia="宋体" w:cs="Times New Roman"/>
          <w:sz w:val="21"/>
          <w:szCs w:val="24"/>
        </w:rPr>
      </w:pPr>
      <w:r>
        <w:rPr>
          <w:rFonts w:ascii="Times New Roman" w:hAnsi="Times New Roman" w:eastAsia="宋体" w:cs="Times New Roman"/>
          <w:sz w:val="21"/>
          <w:szCs w:val="24"/>
        </w:rPr>
        <w:t>为定量评估 DL-LNN 的物理一致性，本文定义物理一致性系数 PCC（Physical Consistency Coefficient）：</w:t>
      </w:r>
    </w:p>
    <w:p w14:paraId="6061AAEB">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(1) </w:t>
      </w:r>
      <w:r>
        <w:rPr>
          <w:rFonts w:ascii="Times New Roman" w:hAnsi="Times New Roman" w:eastAsia="宋体" w:cs="Times New Roman"/>
          <w:sz w:val="21"/>
          <w:szCs w:val="24"/>
        </w:rPr>
        <w:t>Tlusty解析模型在低转速区域（&lt;6000 rpm）预测偏保守，在高转速区域（&gt;12000 rpm）预测偏激进，</w:t>
      </w:r>
    </w:p>
    <w:p w14:paraId="2C4F1728">
      <w:pPr>
        <w:pStyle w:val="11"/>
        <w:rPr>
          <w:rFonts w:ascii="Times New Roman" w:hAnsi="Times New Roman" w:eastAsia="宋体" w:cs="Times New Roman"/>
          <w:sz w:val="21"/>
          <w:szCs w:val="24"/>
        </w:rPr>
      </w:pPr>
      <w:r>
        <w:rPr>
          <w:rFonts w:ascii="Times New Roman" w:hAnsi="Times New Roman" w:eastAsia="宋体" w:cs="Times New Roman"/>
          <w:sz w:val="21"/>
          <w:szCs w:val="24"/>
        </w:rPr>
        <w:t>图Y给出了DL-LNN与对比模型在PHM2010数据集上的预测SLD可视化对比。结果表明：</w:t>
      </w:r>
    </w:p>
    <w:p w14:paraId="3B7F3211">
      <w:pPr>
        <w:pStyle w:val="11"/>
        <w:rPr>
          <w:rFonts w:ascii="Times New Roman" w:hAnsi="Times New Roman" w:eastAsia="宋体" w:cs="Times New Roman"/>
          <w:sz w:val="21"/>
          <w:szCs w:val="24"/>
        </w:rPr>
      </w:pPr>
      <w:r>
        <w:rPr>
          <w:rFonts w:ascii="Times New Roman" w:hAnsi="Times New Roman" w:eastAsia="宋体" w:cs="Times New Roman"/>
          <w:sz w:val="21"/>
          <w:szCs w:val="24"/>
        </w:rPr>
        <w:t>整体呈现系统性偏差，验证了"模态参数失配导致解析模型失效"的论断；</w:t>
      </w:r>
    </w:p>
    <w:p w14:paraId="72D1485B">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2"/>
          <w:szCs w:val="32"/>
          <w:lang w:val="en-US"/>
        </w:rPr>
      </w:pPr>
      <w:r>
        <w:t>PCC_ε = 1 − (1/N) · ∑ᵢ₌₁ᴺ |ŷᵢ − yᵢ^Tlusty| / max(yᵢ^Tlusty, ε)        (4.1)（其中 ε = 0.01 mm，用于防止 yᵢ → 0 时数值不稳定，详见 5.4.6 节）</w:t>
      </w:r>
    </w:p>
    <w:p w14:paraId="2D26939B">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(2) </w:t>
      </w:r>
      <w:r>
        <w:rPr>
          <w:rFonts w:ascii="Times New Roman" w:hAnsi="Times New Roman" w:eastAsia="宋体" w:cs="Times New Roman"/>
          <w:sz w:val="21"/>
          <w:szCs w:val="24"/>
        </w:rPr>
        <w:t>LSTM和Transformer作为纯数据驱动方法，在叶瓣峰值区域预测准确，但在叶瓣谷值区域出现明显振荡，</w:t>
      </w:r>
    </w:p>
    <w:p w14:paraId="21300D1B">
      <w:pPr>
        <w:pStyle w:val="11"/>
        <w:rPr>
          <w:rFonts w:ascii="Times New Roman" w:hAnsi="Times New Roman" w:eastAsia="宋体" w:cs="Times New Roman"/>
          <w:sz w:val="21"/>
          <w:szCs w:val="24"/>
        </w:rPr>
      </w:pPr>
      <w:r>
        <w:rPr>
          <w:rFonts w:ascii="Times New Roman" w:hAnsi="Times New Roman" w:eastAsia="宋体" w:cs="Times New Roman"/>
          <w:sz w:val="21"/>
          <w:szCs w:val="24"/>
        </w:rPr>
        <w:t>(1) Tlusty解析模型在低转速区域（&lt;6000 rpm）预测偏保守，在高转速区域（&gt;12000 rpm）预测偏激进，</w:t>
      </w:r>
    </w:p>
    <w:p w14:paraId="7F9E5E4B">
      <w:pPr>
        <w:pStyle w:val="11"/>
        <w:rPr>
          <w:rFonts w:ascii="Times New Roman" w:hAnsi="Times New Roman" w:eastAsia="宋体" w:cs="Times New Roman"/>
          <w:sz w:val="21"/>
          <w:szCs w:val="24"/>
        </w:rPr>
      </w:pPr>
      <w:r>
        <w:rPr>
          <w:rFonts w:ascii="Times New Roman" w:hAnsi="Times New Roman" w:eastAsia="宋体" w:cs="Times New Roman"/>
          <w:sz w:val="21"/>
          <w:szCs w:val="24"/>
        </w:rPr>
        <w:t>表明其未学到SLD的物理形态约束；</w:t>
      </w:r>
    </w:p>
    <w:p w14:paraId="38B4AE73">
      <w:pPr>
        <w:pStyle w:val="11"/>
        <w:rPr>
          <w:rFonts w:ascii="Times New Roman" w:hAnsi="Times New Roman" w:eastAsia="宋体" w:cs="Times New Roman"/>
          <w:sz w:val="21"/>
          <w:szCs w:val="24"/>
        </w:rPr>
      </w:pPr>
      <w:r>
        <w:rPr>
          <w:rFonts w:ascii="Times New Roman" w:hAnsi="Times New Roman" w:eastAsia="宋体" w:cs="Times New Roman"/>
          <w:sz w:val="21"/>
          <w:szCs w:val="24"/>
        </w:rPr>
        <w:t>PCC 越接近 1 表示物理一致性越好。DL-LNN 在 5 个数据集上的平均 PCC 达到 0.948，显著高于 8 种基线（基线平均 PCC 在 0.7~0.9 区间）。具体而言：（1）数值层 PCC（基于 L_phys）：0.961；（2）梯度层 PCC（基于 L_pcc）：0.943；（3）频域层 PCC（基于 L_freq）：0.932。</w:t>
      </w:r>
    </w:p>
    <w:p w14:paraId="0A47DBB2">
      <w:pPr>
        <w:pStyle w:val="11"/>
        <w:numPr>
          <w:ilvl w:val="0"/>
          <w:numId w:val="0"/>
        </w:numPr>
        <w:ind w:left="0" w:leftChars="0" w:firstLine="420"/>
        <w:rPr>
          <w:rFonts w:ascii="Times New Roman" w:hAnsi="Times New Roman" w:eastAsia="宋体" w:cs="Times New Roman"/>
          <w:b w:val="0"/>
          <w:sz w:val="21"/>
          <w:szCs w:val="24"/>
        </w:rPr>
      </w:pPr>
      <w:r>
        <w:rPr>
          <w:rFonts w:hint="eastAsia" w:cs="Times New Roman"/>
          <w:sz w:val="21"/>
          <w:szCs w:val="24"/>
          <w:lang w:eastAsia="zh-CN"/>
        </w:rPr>
        <w:t xml:space="preserve">(3) </w:t>
      </w:r>
      <w:r>
        <w:rPr>
          <w:rFonts w:ascii="Times New Roman" w:hAnsi="Times New Roman" w:eastAsia="宋体" w:cs="Times New Roman"/>
          <w:sz w:val="21"/>
          <w:szCs w:val="24"/>
        </w:rPr>
        <w:t>PINN和gPINN通过物理约束改善了预测的平滑性，但在高转速区域的预测精度仍不及DL-LNN，</w:t>
      </w:r>
    </w:p>
    <w:p w14:paraId="3C7074E6">
      <w:pPr>
        <w:pStyle w:val="11"/>
        <w:rPr>
          <w:rFonts w:ascii="Times New Roman" w:hAnsi="Times New Roman" w:eastAsia="宋体" w:cs="Times New Roman"/>
          <w:sz w:val="21"/>
          <w:szCs w:val="24"/>
        </w:rPr>
      </w:pPr>
      <w:r>
        <w:rPr>
          <w:rFonts w:ascii="Times New Roman" w:hAnsi="Times New Roman" w:eastAsia="宋体" w:cs="Times New Roman"/>
          <w:sz w:val="21"/>
          <w:szCs w:val="24"/>
        </w:rPr>
        <w:t>整体呈现系统性偏差，验证了"模态参数失配导致解析模型失效"的论断；</w:t>
      </w:r>
    </w:p>
    <w:p w14:paraId="3F6DD13D">
      <w:pPr>
        <w:pStyle w:val="11"/>
        <w:rPr>
          <w:rFonts w:ascii="Times New Roman" w:hAnsi="Times New Roman" w:eastAsia="宋体" w:cs="Times New Roman"/>
          <w:sz w:val="21"/>
          <w:szCs w:val="24"/>
        </w:rPr>
      </w:pPr>
      <w:r>
        <w:rPr>
          <w:rFonts w:ascii="Times New Roman" w:hAnsi="Times New Roman" w:eastAsia="宋体" w:cs="Times New Roman"/>
          <w:sz w:val="21"/>
          <w:szCs w:val="24"/>
        </w:rPr>
        <w:t>表明其物理约束粒度不足；</w:t>
      </w:r>
    </w:p>
    <w:p w14:paraId="7DA77D44">
      <w:pPr>
        <w:pStyle w:val="3"/>
        <w:keepNext/>
        <w:numPr>
          <w:ilvl w:val="0"/>
          <w:numId w:val="0"/>
        </w:numPr>
        <w:ind w:leftChars="0"/>
        <w:outlineLvl w:val="9"/>
        <w:rPr>
          <w:b w:val="0"/>
        </w:rPr>
      </w:pPr>
      <w:r>
        <w:rPr>
          <w:rFonts w:hint="eastAsia"/>
          <w:lang w:eastAsia="zh-CN"/>
        </w:rPr>
        <w:t xml:space="preserve">4.2.5 </w:t>
      </w:r>
      <w:r>
        <w:t>残差贡献度剥离实验——反事实核心（Exp-2）</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Symbol">
    <w:panose1 w:val="020B0502040204020203"/>
    <w:charset w:val="00"/>
    <w:family w:val="auto"/>
    <w:pitch w:val="default"/>
    <w:sig w:usb0="800001E3" w:usb1="1200FFEF" w:usb2="00040000" w:usb3="04000000" w:csb0="00000001" w:csb1="4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0C994">
    <w:pPr>
      <w:jc w:val="center"/>
    </w:pPr>
    <w:r>
      <w:rPr>
        <w:rFonts w:ascii="Times New Roman" w:hAnsi="Times New Roman" w:eastAsia="宋体"/>
        <w:sz w:val="20"/>
        <w:szCs w:val="20"/>
      </w:rPr>
      <w:t xml:space="preserve">— </w:t>
    </w:r>
    <w:r>
      <w:rPr>
        <w:rFonts w:ascii="Times New Roman" w:hAnsi="Times New Roman" w:eastAsia="宋体"/>
        <w:sz w:val="20"/>
        <w:szCs w:val="20"/>
      </w:rPr>
      <w:fldChar w:fldCharType="begin"/>
    </w:r>
    <w:r>
      <w:rPr>
        <w:rFonts w:ascii="Times New Roman" w:hAnsi="Times New Roman" w:eastAsia="宋体"/>
        <w:sz w:val="20"/>
        <w:szCs w:val="20"/>
      </w:rPr>
      <w:instrText xml:space="preserve">PAGE</w:instrText>
    </w:r>
    <w:r>
      <w:rPr>
        <w:rFonts w:ascii="Times New Roman" w:hAnsi="Times New Roman" w:eastAsia="宋体"/>
        <w:sz w:val="20"/>
        <w:szCs w:val="20"/>
      </w:rPr>
      <w:fldChar w:fldCharType="separate"/>
    </w:r>
    <w:r>
      <w:rPr>
        <w:rFonts w:ascii="Times New Roman" w:hAnsi="Times New Roman" w:eastAsia="宋体"/>
        <w:sz w:val="20"/>
        <w:szCs w:val="20"/>
      </w:rPr>
      <w:fldChar w:fldCharType="end"/>
    </w:r>
    <w:r>
      <w:rPr>
        <w:rFonts w:ascii="Times New Roman" w:hAnsi="Times New Roman" w:eastAsia="宋体"/>
        <w:sz w:val="20"/>
        <w:szCs w:val="20"/>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15D69">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7F9EAE76">
                          <w:pPr>
                            <w:jc w:val="right"/>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7F9EAE76">
                    <w:pPr>
                      <w:jc w:val="right"/>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isplayHorizontalDrawingGridEvery w:val="0"/>
  <w:displayVerticalDrawingGridEvery w:val="2"/>
  <w:compat>
    <w:balanceSingleByteDoubleByteWidth/>
    <w:doNotExpandShiftReturn/>
    <w:adjustLineHeightInTable/>
    <w:useFELayout/>
    <w:compatSetting w:name="compatibilityMode" w:uri="http://schemas.microsoft.com/office/word" w:val="15"/>
  </w:compat>
  <w:rsids>
    <w:rsidRoot w:val="00000000"/>
    <w:rsid w:val="083F0917"/>
    <w:rsid w:val="25CA498C"/>
    <w:rsid w:val="3475066D"/>
    <w:rsid w:val="36EC1531"/>
    <w:rsid w:val="3B1E154A"/>
    <w:rsid w:val="3BEC7689"/>
    <w:rsid w:val="3CDF10E0"/>
    <w:rsid w:val="5E942D24"/>
    <w:rsid w:val="5F9F3816"/>
    <w:rsid w:val="63024AC9"/>
    <w:rsid w:val="737D706D"/>
    <w:rsid w:val="74067EA8"/>
    <w:rsid w:val="7C594E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paragraph" w:styleId="2">
    <w:name w:val="heading 1"/>
    <w:next w:val="1"/>
    <w:qFormat/>
    <w:uiPriority w:val="0"/>
    <w:pPr>
      <w:keepNext w:val="0"/>
      <w:keepLines w:val="0"/>
      <w:widowControl w:val="0"/>
      <w:adjustRightInd w:val="0"/>
      <w:spacing w:before="50" w:beforeLines="50" w:after="50" w:afterLines="50" w:line="240" w:lineRule="auto"/>
      <w:jc w:val="left"/>
      <w:outlineLvl w:val="0"/>
    </w:pPr>
    <w:rPr>
      <w:rFonts w:ascii="Times New Roman" w:hAnsi="Times New Roman" w:eastAsia="黑体" w:cs="Times New Roman"/>
      <w:b/>
      <w:kern w:val="44"/>
      <w:sz w:val="24"/>
      <w:szCs w:val="32"/>
      <w:lang w:bidi="ar-SA"/>
    </w:rPr>
  </w:style>
  <w:style w:type="paragraph" w:styleId="3">
    <w:name w:val="heading 2"/>
    <w:next w:val="1"/>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1"/>
      <w:szCs w:val="28"/>
      <w:lang w:bidi="ar-SA"/>
    </w:rPr>
  </w:style>
  <w:style w:type="paragraph" w:styleId="4">
    <w:name w:val="heading 3"/>
    <w:next w:val="1"/>
    <w:qFormat/>
    <w:uiPriority w:val="0"/>
    <w:pPr>
      <w:keepNext w:val="0"/>
      <w:keepLines w:val="0"/>
      <w:widowControl w:val="0"/>
      <w:adjustRightInd w:val="0"/>
      <w:spacing w:before="181" w:beforeLines="50" w:after="181" w:afterLines="50" w:line="240" w:lineRule="auto"/>
      <w:jc w:val="left"/>
      <w:outlineLvl w:val="2"/>
    </w:pPr>
    <w:rPr>
      <w:rFonts w:ascii="Times New Roman" w:hAnsi="Times New Roman" w:eastAsia="黑体" w:cs="Times New Roman"/>
      <w:kern w:val="2"/>
      <w:sz w:val="21"/>
      <w:szCs w:val="24"/>
      <w:lang w:bidi="ar-SA"/>
    </w:rPr>
  </w:style>
  <w:style w:type="paragraph" w:styleId="5">
    <w:name w:val="heading 4"/>
    <w:next w:val="1"/>
    <w:qFormat/>
    <w:uiPriority w:val="0"/>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1"/>
      <w:szCs w:val="24"/>
      <w:lang w:bidi="ar-SA"/>
    </w:rPr>
  </w:style>
  <w:style w:type="paragraph" w:styleId="6">
    <w:name w:val="heading 5"/>
    <w:next w:val="1"/>
    <w:qFormat/>
    <w:uiPriority w:val="0"/>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qFormat/>
    <w:uiPriority w:val="0"/>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1">
    <w:name w:val="Default Paragraph Font"/>
    <w:semiHidden/>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1"/>
      <w:szCs w:val="24"/>
    </w:rPr>
  </w:style>
  <w:style w:type="paragraph" w:styleId="12">
    <w:name w:val="toc 3"/>
    <w:next w:val="1"/>
    <w:qFormat/>
    <w:uiPriority w:val="0"/>
    <w:pPr>
      <w:adjustRightInd w:val="0"/>
      <w:spacing w:line="400" w:lineRule="exact"/>
      <w:ind w:left="0" w:leftChars="0" w:firstLine="960" w:firstLineChars="400"/>
    </w:pPr>
    <w:rPr>
      <w:rFonts w:ascii="Times New Roman" w:hAnsi="Times New Roman" w:eastAsia="宋体" w:cs="Times New Roman"/>
      <w:sz w:val="21"/>
      <w:szCs w:val="24"/>
    </w:rPr>
  </w:style>
  <w:style w:type="paragraph" w:styleId="13">
    <w:name w:val="endnote text"/>
    <w:link w:val="50"/>
    <w:semiHidden/>
    <w:unhideWhenUsed/>
    <w:qFormat/>
    <w:uiPriority w:val="99"/>
    <w:pPr>
      <w:spacing w:after="0" w:line="240" w:lineRule="auto"/>
    </w:pPr>
    <w:rPr>
      <w:rFonts w:ascii="Times New Roman" w:hAnsi="Times New Roman" w:eastAsia="宋体" w:cstheme="minorBidi"/>
      <w:sz w:val="20"/>
      <w:szCs w:val="20"/>
    </w:rPr>
  </w:style>
  <w:style w:type="paragraph" w:styleId="14">
    <w:name w:val="toc 1"/>
    <w:next w:val="1"/>
    <w:qFormat/>
    <w:uiPriority w:val="0"/>
    <w:pPr>
      <w:adjustRightInd w:val="0"/>
      <w:spacing w:line="400" w:lineRule="exact"/>
      <w:ind w:firstLine="0" w:firstLineChars="0"/>
    </w:pPr>
    <w:rPr>
      <w:rFonts w:ascii="Times New Roman" w:hAnsi="Times New Roman" w:eastAsia="黑体" w:cs="Times New Roman"/>
      <w:sz w:val="21"/>
      <w:szCs w:val="24"/>
    </w:rPr>
  </w:style>
  <w:style w:type="paragraph" w:styleId="15">
    <w:name w:val="Subtitle"/>
    <w:qFormat/>
    <w:uiPriority w:val="0"/>
    <w:pPr>
      <w:adjustRightInd w:val="0"/>
      <w:spacing w:beforeLines="0" w:beforeAutospacing="0" w:afterLines="0" w:afterAutospacing="0" w:line="240" w:lineRule="auto"/>
      <w:jc w:val="center"/>
      <w:outlineLvl w:val="9"/>
    </w:pPr>
    <w:rPr>
      <w:rFonts w:ascii="Times New Roman" w:hAnsi="Times New Roman" w:eastAsia="黑体" w:cs="Times New Roman"/>
      <w:b/>
      <w:kern w:val="28"/>
      <w:sz w:val="32"/>
      <w:szCs w:val="32"/>
    </w:rPr>
  </w:style>
  <w:style w:type="paragraph" w:styleId="16">
    <w:name w:val="footnote text"/>
    <w:link w:val="51"/>
    <w:semiHidden/>
    <w:unhideWhenUsed/>
    <w:qFormat/>
    <w:uiPriority w:val="99"/>
    <w:pPr>
      <w:spacing w:after="0" w:line="240" w:lineRule="auto"/>
    </w:pPr>
    <w:rPr>
      <w:rFonts w:ascii="Times New Roman" w:hAnsi="Times New Roman" w:eastAsia="宋体" w:cstheme="minorBidi"/>
      <w:sz w:val="20"/>
      <w:szCs w:val="20"/>
    </w:rPr>
  </w:style>
  <w:style w:type="paragraph" w:styleId="17">
    <w:name w:val="toc 2"/>
    <w:next w:val="1"/>
    <w:qFormat/>
    <w:uiPriority w:val="0"/>
    <w:pPr>
      <w:adjustRightInd w:val="0"/>
      <w:spacing w:line="400" w:lineRule="exact"/>
      <w:ind w:left="0" w:leftChars="0" w:firstLine="480" w:firstLineChars="200"/>
    </w:pPr>
    <w:rPr>
      <w:rFonts w:ascii="Times New Roman" w:hAnsi="Times New Roman" w:eastAsia="宋体" w:cs="Times New Roman"/>
      <w:sz w:val="21"/>
      <w:szCs w:val="24"/>
    </w:rPr>
  </w:style>
  <w:style w:type="paragraph" w:styleId="18">
    <w:name w:val="Normal (Web)"/>
    <w:basedOn w:val="1"/>
    <w:qFormat/>
    <w:uiPriority w:val="0"/>
    <w:rPr>
      <w:sz w:val="24"/>
    </w:rPr>
  </w:style>
  <w:style w:type="paragraph" w:styleId="19">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b/>
      <w:kern w:val="2"/>
      <w:sz w:val="36"/>
      <w:szCs w:val="36"/>
      <w:lang w:bidi="ar-SA"/>
    </w:rPr>
  </w:style>
  <w:style w:type="character" w:styleId="22">
    <w:name w:val="endnote reference"/>
    <w:semiHidden/>
    <w:unhideWhenUsed/>
    <w:qFormat/>
    <w:uiPriority w:val="99"/>
    <w:rPr>
      <w:vertAlign w:val="superscript"/>
    </w:rPr>
  </w:style>
  <w:style w:type="character" w:styleId="23">
    <w:name w:val="FollowedHyperlink"/>
    <w:basedOn w:val="21"/>
    <w:uiPriority w:val="0"/>
    <w:rPr>
      <w:color w:val="7E1FAD"/>
      <w:u w:val="single"/>
    </w:rPr>
  </w:style>
  <w:style w:type="character" w:styleId="24">
    <w:name w:val="Hyperlink"/>
    <w:unhideWhenUsed/>
    <w:qFormat/>
    <w:uiPriority w:val="99"/>
    <w:rPr>
      <w:color w:val="0563C1"/>
      <w:u w:val="single"/>
    </w:rPr>
  </w:style>
  <w:style w:type="character" w:styleId="25">
    <w:name w:val="footnote reference"/>
    <w:semiHidden/>
    <w:unhideWhenUsed/>
    <w:qFormat/>
    <w:uiPriority w:val="99"/>
    <w:rPr>
      <w:vertAlign w:val="superscript"/>
    </w:rPr>
  </w:style>
  <w:style w:type="paragraph" w:styleId="26">
    <w:name w:val="List Paragraph"/>
    <w:qFormat/>
    <w:uiPriority w:val="0"/>
    <w:rPr>
      <w:rFonts w:ascii="Times New Roman" w:hAnsi="Times New Roman" w:eastAsia="宋体" w:cstheme="minorBidi"/>
      <w:sz w:val="24"/>
      <w:szCs w:val="24"/>
    </w:rPr>
  </w:style>
  <w:style w:type="character" w:customStyle="1" w:styleId="27">
    <w:name w:val="Footnote Text Char"/>
    <w:link w:val="16"/>
    <w:semiHidden/>
    <w:unhideWhenUsed/>
    <w:qFormat/>
    <w:uiPriority w:val="99"/>
    <w:rPr>
      <w:sz w:val="20"/>
      <w:szCs w:val="20"/>
    </w:rPr>
  </w:style>
  <w:style w:type="character" w:customStyle="1" w:styleId="28">
    <w:name w:val="Endnote Text Char"/>
    <w:link w:val="13"/>
    <w:semiHidden/>
    <w:unhideWhenUsed/>
    <w:qFormat/>
    <w:uiPriority w:val="99"/>
    <w:rPr>
      <w:sz w:val="20"/>
      <w:szCs w:val="20"/>
    </w:rPr>
  </w:style>
  <w:style w:type="paragraph" w:customStyle="1" w:styleId="29">
    <w:name w:val="摘要标题"/>
    <w:next w:val="1"/>
    <w:qFormat/>
    <w:uiPriority w:val="0"/>
    <w:pPr>
      <w:keepNext w:val="0"/>
      <w:keepLines w:val="0"/>
      <w:widowControl w:val="0"/>
      <w:adjustRightInd w:val="0"/>
      <w:spacing w:before="313" w:beforeLines="100" w:after="313" w:afterLines="100" w:line="240" w:lineRule="auto"/>
      <w:jc w:val="center"/>
      <w:outlineLvl w:val="9"/>
    </w:pPr>
    <w:rPr>
      <w:rFonts w:ascii="Times New Roman" w:hAnsi="Times New Roman" w:eastAsia="黑体" w:cs="Times New Roman"/>
      <w:b/>
      <w:kern w:val="44"/>
      <w:sz w:val="24"/>
      <w:szCs w:val="32"/>
      <w:lang w:bidi="ar-SA"/>
    </w:rPr>
  </w:style>
  <w:style w:type="paragraph" w:customStyle="1" w:styleId="30">
    <w:name w:val="摘要正文"/>
    <w:next w:val="1"/>
    <w:qFormat/>
    <w:uiPriority w:val="0"/>
    <w:pPr>
      <w:widowControl w:val="0"/>
      <w:adjustRightInd w:val="0"/>
      <w:spacing w:line="400" w:lineRule="exact"/>
      <w:ind w:firstLine="480" w:firstLineChars="200"/>
      <w:jc w:val="both"/>
      <w:outlineLvl w:val="9"/>
    </w:pPr>
    <w:rPr>
      <w:rFonts w:ascii="Times New Roman" w:hAnsi="Times New Roman" w:eastAsia="仿宋" w:cs="Times New Roman"/>
      <w:kern w:val="2"/>
      <w:sz w:val="18"/>
      <w:szCs w:val="24"/>
    </w:rPr>
  </w:style>
  <w:style w:type="paragraph" w:customStyle="1" w:styleId="31">
    <w:name w:val="关键词正文"/>
    <w:next w:val="1"/>
    <w:qFormat/>
    <w:uiPriority w:val="0"/>
    <w:pPr>
      <w:widowControl w:val="0"/>
      <w:adjustRightInd w:val="0"/>
      <w:spacing w:line="400" w:lineRule="exact"/>
      <w:ind w:firstLine="0" w:firstLineChars="0"/>
      <w:jc w:val="both"/>
      <w:outlineLvl w:val="9"/>
    </w:pPr>
    <w:rPr>
      <w:rFonts w:ascii="Times New Roman" w:hAnsi="Times New Roman" w:eastAsia="仿宋" w:cs="Times New Roman"/>
      <w:kern w:val="2"/>
      <w:sz w:val="18"/>
      <w:szCs w:val="24"/>
      <w:lang w:bidi="ar-SA"/>
    </w:rPr>
  </w:style>
  <w:style w:type="character" w:customStyle="1" w:styleId="32">
    <w:name w:val="关键词"/>
    <w:qFormat/>
    <w:uiPriority w:val="0"/>
    <w:rPr>
      <w:rFonts w:ascii="Times New Roman" w:hAnsi="Times New Roman" w:eastAsia="黑体" w:cs="Times New Roman"/>
      <w:kern w:val="2"/>
      <w:sz w:val="18"/>
      <w:szCs w:val="24"/>
      <w:lang w:bidi="ar-SA"/>
    </w:rPr>
  </w:style>
  <w:style w:type="paragraph" w:customStyle="1" w:styleId="33">
    <w:name w:val="英文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b/>
      <w:bCs/>
      <w:kern w:val="44"/>
      <w:sz w:val="32"/>
      <w:szCs w:val="32"/>
      <w:lang w:bidi="ar-SA"/>
    </w:rPr>
  </w:style>
  <w:style w:type="paragraph" w:customStyle="1" w:styleId="34">
    <w:name w:val="英文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35">
    <w:name w:val="英文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36">
    <w:name w:val="英文关键词"/>
    <w:qFormat/>
    <w:uiPriority w:val="0"/>
    <w:rPr>
      <w:rFonts w:ascii="Times New Roman" w:hAnsi="Times New Roman" w:eastAsia="黑体" w:cs="Times New Roman"/>
      <w:b/>
      <w:bCs/>
      <w:kern w:val="2"/>
      <w:sz w:val="24"/>
      <w:szCs w:val="24"/>
      <w:lang w:bidi="ar-SA"/>
    </w:rPr>
  </w:style>
  <w:style w:type="paragraph" w:customStyle="1" w:styleId="37">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b/>
      <w:kern w:val="2"/>
      <w:sz w:val="24"/>
      <w:szCs w:val="32"/>
      <w:lang w:bidi="ar-SA"/>
    </w:rPr>
  </w:style>
  <w:style w:type="paragraph" w:customStyle="1" w:styleId="38">
    <w:name w:val="结语标题"/>
    <w:next w:val="1"/>
    <w:qFormat/>
    <w:uiPriority w:val="0"/>
    <w:pPr>
      <w:adjustRightInd w:val="0"/>
      <w:spacing w:beforeLines="50" w:afterLines="50" w:line="240" w:lineRule="auto"/>
      <w:ind w:firstLine="0" w:firstLineChars="0"/>
      <w:jc w:val="center"/>
      <w:outlineLvl w:val="0"/>
    </w:pPr>
    <w:rPr>
      <w:rFonts w:ascii="Times New Roman" w:hAnsi="Times New Roman" w:eastAsia="黑体" w:cs="Times New Roman"/>
      <w:b/>
      <w:sz w:val="24"/>
      <w:szCs w:val="32"/>
    </w:rPr>
  </w:style>
  <w:style w:type="paragraph" w:customStyle="1" w:styleId="39">
    <w:name w:val="引言标题"/>
    <w:next w:val="1"/>
    <w:qFormat/>
    <w:uiPriority w:val="0"/>
    <w:pPr>
      <w:adjustRightInd w:val="0"/>
      <w:spacing w:beforeLines="50" w:afterLines="50" w:line="240" w:lineRule="auto"/>
      <w:ind w:firstLine="0" w:firstLineChars="0"/>
      <w:jc w:val="center"/>
      <w:outlineLvl w:val="0"/>
    </w:pPr>
    <w:rPr>
      <w:rFonts w:ascii="Times New Roman" w:hAnsi="Times New Roman" w:eastAsia="黑体" w:cs="Times New Roman"/>
      <w:b/>
      <w:sz w:val="24"/>
      <w:szCs w:val="32"/>
    </w:rPr>
  </w:style>
  <w:style w:type="paragraph" w:customStyle="1" w:styleId="40">
    <w:name w:val="致谢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41">
    <w:name w:val="致谢标题"/>
    <w:next w:val="1"/>
    <w:qFormat/>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42">
    <w:name w:val="章前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43">
    <w:name w:val="图片标题"/>
    <w:next w:val="1"/>
    <w:qFormat/>
    <w:uiPriority w:val="0"/>
    <w:pPr>
      <w:widowControl w:val="0"/>
      <w:adjustRightInd w:val="0"/>
      <w:spacing w:beforeLines="50" w:afterLines="50" w:line="240" w:lineRule="auto"/>
      <w:jc w:val="center"/>
      <w:outlineLvl w:val="9"/>
    </w:pPr>
    <w:rPr>
      <w:rFonts w:ascii="Times New Roman" w:hAnsi="Times New Roman" w:eastAsia="黑体" w:cs="Times New Roman"/>
      <w:kern w:val="2"/>
      <w:sz w:val="18"/>
      <w:szCs w:val="21"/>
      <w:lang w:bidi="ar-SA"/>
    </w:rPr>
  </w:style>
  <w:style w:type="paragraph" w:customStyle="1" w:styleId="44">
    <w:name w:val="参考文献条目"/>
    <w:next w:val="1"/>
    <w:qFormat/>
    <w:uiPriority w:val="0"/>
    <w:pPr>
      <w:widowControl w:val="0"/>
      <w:adjustRightInd w:val="0"/>
      <w:spacing w:line="400" w:lineRule="exact"/>
      <w:ind w:left="420" w:hanging="420" w:hangingChars="200"/>
      <w:jc w:val="both"/>
      <w:outlineLvl w:val="9"/>
    </w:pPr>
    <w:rPr>
      <w:rFonts w:ascii="Times New Roman" w:hAnsi="Times New Roman" w:eastAsia="宋体" w:cs="Times New Roman"/>
      <w:kern w:val="0"/>
      <w:sz w:val="21"/>
      <w:szCs w:val="21"/>
    </w:rPr>
  </w:style>
  <w:style w:type="paragraph" w:customStyle="1" w:styleId="45">
    <w:name w:val="参考文献标题"/>
    <w:next w:val="1"/>
    <w:qFormat/>
    <w:uiPriority w:val="0"/>
    <w:pPr>
      <w:keepNext w:val="0"/>
      <w:keepLines w:val="0"/>
      <w:widowControl w:val="0"/>
      <w:adjustRightInd w:val="0"/>
      <w:spacing w:beforeLines="50" w:afterLines="50" w:line="240" w:lineRule="auto"/>
      <w:jc w:val="center"/>
      <w:outlineLvl w:val="0"/>
    </w:pPr>
    <w:rPr>
      <w:rFonts w:ascii="Times New Roman" w:hAnsi="Times New Roman" w:eastAsia="黑体" w:cs="Times New Roman"/>
      <w:b/>
      <w:kern w:val="44"/>
      <w:sz w:val="24"/>
      <w:szCs w:val="32"/>
      <w:lang w:bidi="ar-SA"/>
    </w:rPr>
  </w:style>
  <w:style w:type="paragraph" w:customStyle="1" w:styleId="46">
    <w:name w:val="声明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0"/>
      <w:sz w:val="24"/>
      <w:szCs w:val="24"/>
    </w:rPr>
  </w:style>
  <w:style w:type="paragraph" w:customStyle="1" w:styleId="47">
    <w:name w:val="表格标题"/>
    <w:next w:val="1"/>
    <w:qFormat/>
    <w:uiPriority w:val="0"/>
    <w:pPr>
      <w:widowControl w:val="0"/>
      <w:adjustRightInd w:val="0"/>
      <w:spacing w:beforeLines="50" w:afterLines="50" w:line="240" w:lineRule="auto"/>
      <w:jc w:val="center"/>
      <w:outlineLvl w:val="9"/>
    </w:pPr>
    <w:rPr>
      <w:rFonts w:ascii="Times New Roman" w:hAnsi="Times New Roman" w:eastAsia="黑体" w:cs="Times New Roman"/>
      <w:kern w:val="2"/>
      <w:sz w:val="18"/>
      <w:szCs w:val="21"/>
      <w:lang w:bidi="ar-SA"/>
    </w:rPr>
  </w:style>
  <w:style w:type="character" w:customStyle="1" w:styleId="48">
    <w:name w:val="标题 字符"/>
    <w:basedOn w:val="21"/>
    <w:uiPriority w:val="0"/>
    <w:rPr>
      <w:rFonts w:hint="eastAsia" w:ascii="黑体" w:hAnsi="宋体" w:eastAsia="黑体" w:cs="Times New Roman"/>
      <w:b/>
      <w:kern w:val="2"/>
      <w:sz w:val="36"/>
      <w:szCs w:val="36"/>
    </w:rPr>
  </w:style>
  <w:style w:type="character" w:customStyle="1" w:styleId="49">
    <w:name w:val="副标题 字符"/>
    <w:basedOn w:val="21"/>
    <w:uiPriority w:val="0"/>
    <w:rPr>
      <w:rFonts w:hint="eastAsia" w:ascii="黑体" w:hAnsi="宋体" w:eastAsia="黑体" w:cs="Times New Roman"/>
      <w:b/>
      <w:kern w:val="28"/>
      <w:sz w:val="32"/>
      <w:szCs w:val="32"/>
    </w:rPr>
  </w:style>
  <w:style w:type="character" w:customStyle="1" w:styleId="50">
    <w:name w:val="尾注文本 字符"/>
    <w:basedOn w:val="21"/>
    <w:link w:val="13"/>
    <w:uiPriority w:val="0"/>
  </w:style>
  <w:style w:type="character" w:customStyle="1" w:styleId="51">
    <w:name w:val="脚注文本 字符"/>
    <w:basedOn w:val="21"/>
    <w:link w:val="16"/>
    <w:uiPriority w:val="0"/>
  </w:style>
  <w:style w:type="character" w:customStyle="1" w:styleId="52">
    <w:name w:val="正文文本 字符"/>
    <w:basedOn w:val="21"/>
    <w:uiPriority w:val="0"/>
    <w:rPr>
      <w:rFonts w:hint="default" w:ascii="Times New Roman" w:hAnsi="Times New Roman" w:cs="Times New Roman"/>
      <w:kern w:val="2"/>
      <w:sz w:val="21"/>
      <w:szCs w:val="24"/>
    </w:rPr>
  </w:style>
  <w:style w:type="character" w:customStyle="1" w:styleId="53">
    <w:name w:val="标题 5 字符"/>
    <w:basedOn w:val="21"/>
    <w:uiPriority w:val="0"/>
    <w:rPr>
      <w:rFonts w:hint="default" w:ascii="Times New Roman" w:hAnsi="Times New Roman" w:cs="Times New Roman"/>
      <w:kern w:val="2"/>
      <w:sz w:val="24"/>
      <w:szCs w:val="24"/>
    </w:rPr>
  </w:style>
  <w:style w:type="character" w:customStyle="1" w:styleId="54">
    <w:name w:val="标题 8 字符"/>
    <w:basedOn w:val="21"/>
    <w:qFormat/>
    <w:uiPriority w:val="0"/>
    <w:rPr>
      <w:rFonts w:hint="default" w:ascii="Times New Roman" w:hAnsi="Times New Roman" w:cs="Times New Roman"/>
      <w:kern w:val="2"/>
      <w:sz w:val="24"/>
      <w:szCs w:val="24"/>
    </w:rPr>
  </w:style>
  <w:style w:type="character" w:customStyle="1" w:styleId="55">
    <w:name w:val="标题 1 字符"/>
    <w:basedOn w:val="21"/>
    <w:uiPriority w:val="0"/>
    <w:rPr>
      <w:rFonts w:hint="eastAsia" w:ascii="黑体" w:hAnsi="宋体" w:eastAsia="黑体" w:cs="Times New Roman"/>
      <w:b/>
      <w:kern w:val="44"/>
      <w:sz w:val="24"/>
      <w:szCs w:val="32"/>
    </w:rPr>
  </w:style>
  <w:style w:type="character" w:customStyle="1" w:styleId="56">
    <w:name w:val="标题 2 字符"/>
    <w:basedOn w:val="21"/>
    <w:uiPriority w:val="0"/>
    <w:rPr>
      <w:rFonts w:hint="eastAsia" w:ascii="黑体" w:hAnsi="宋体" w:eastAsia="黑体" w:cs="Times New Roman"/>
      <w:kern w:val="2"/>
      <w:sz w:val="21"/>
      <w:szCs w:val="28"/>
    </w:rPr>
  </w:style>
  <w:style w:type="character" w:customStyle="1" w:styleId="57">
    <w:name w:val="标题 3 字符"/>
    <w:basedOn w:val="21"/>
    <w:uiPriority w:val="0"/>
    <w:rPr>
      <w:rFonts w:hint="eastAsia" w:ascii="黑体" w:hAnsi="宋体" w:eastAsia="黑体" w:cs="Times New Roman"/>
      <w:kern w:val="2"/>
      <w:sz w:val="21"/>
      <w:szCs w:val="24"/>
    </w:rPr>
  </w:style>
  <w:style w:type="character" w:customStyle="1" w:styleId="58">
    <w:name w:val="标题 7 字符"/>
    <w:basedOn w:val="21"/>
    <w:qFormat/>
    <w:uiPriority w:val="0"/>
    <w:rPr>
      <w:rFonts w:hint="default" w:ascii="Times New Roman" w:hAnsi="Times New Roman" w:cs="Times New Roman"/>
      <w:kern w:val="2"/>
      <w:sz w:val="24"/>
      <w:szCs w:val="24"/>
    </w:rPr>
  </w:style>
  <w:style w:type="character" w:customStyle="1" w:styleId="59">
    <w:name w:val="标题 4 字符"/>
    <w:basedOn w:val="21"/>
    <w:uiPriority w:val="0"/>
    <w:rPr>
      <w:rFonts w:hint="default" w:ascii="Times New Roman" w:hAnsi="Times New Roman" w:cs="Times New Roman"/>
      <w:kern w:val="2"/>
      <w:sz w:val="21"/>
      <w:szCs w:val="24"/>
    </w:rPr>
  </w:style>
  <w:style w:type="character" w:customStyle="1" w:styleId="60">
    <w:name w:val="标题 6 字符"/>
    <w:basedOn w:val="21"/>
    <w:uiPriority w:val="0"/>
    <w:rPr>
      <w:rFonts w:hint="default" w:ascii="Times New Roman" w:hAnsi="Times New Roman" w:cs="Times New Roman"/>
      <w:kern w:val="2"/>
      <w:sz w:val="24"/>
      <w:szCs w:val="24"/>
    </w:rPr>
  </w:style>
  <w:style w:type="character" w:customStyle="1" w:styleId="61">
    <w:name w:val="标题 9 字符"/>
    <w:basedOn w:val="21"/>
    <w:uiPriority w:val="0"/>
    <w:rPr>
      <w:rFonts w:hint="default" w:ascii="Times New Roman" w:hAnsi="Times New Roman" w:cs="Times New Roman"/>
      <w:kern w:val="2"/>
      <w:sz w:val="24"/>
      <w:szCs w:val="24"/>
    </w:rPr>
  </w:style>
  <w:style w:type="table" w:customStyle="1" w:styleId="62">
    <w:name w:val="三线表"/>
    <w:basedOn w:val="20"/>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12" w:space="0"/>
        <w:bottom w:val="single" w:color="auto" w:sz="12" w:space="0"/>
      </w:tblBorders>
      <w:tblCellMar>
        <w:top w:w="0" w:type="dxa"/>
        <w:left w:w="108" w:type="dxa"/>
        <w:bottom w:w="0" w:type="dxa"/>
        <w:right w:w="108" w:type="dxa"/>
      </w:tblCellMar>
    </w:tblPr>
    <w:tcPr>
      <w:tcBorders>
        <w:top w:val="single" w:color="auto" w:sz="12" w:space="0"/>
        <w:left w:val="nil"/>
        <w:bottom w:val="single" w:color="auto" w:sz="12" w:space="0"/>
        <w:right w:val="nil"/>
      </w:tcBorders>
    </w:tcPr>
    <w:tblStylePr w:type="firstRow">
      <w:tcPr>
        <w:tcBorders>
          <w:bottom w:val="single" w:color="auto" w:sz="4" w:space="0"/>
        </w:tcBorders>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10018</Words>
  <Characters>12859</Characters>
  <TotalTime>2</TotalTime>
  <ScaleCrop>false</ScaleCrop>
  <LinksUpToDate>false</LinksUpToDate>
  <CharactersWithSpaces>13379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2026-06-23T07:50:00Z</dcterms:created>
  <dc:creator>AI Assistant</dc:creator>
  <cp:lastModifiedBy>二十四桥明月夜</cp:lastModifiedBy>
  <dcterms:modified xsi:type="dcterms:W3CDTF">2026-06-30T03:08:30Z</dcterms:modified>
  <dc:title>延迟嵌入液态神经逻辑网络用于铣削颤振稳定性预测（修改版）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eyJoZGlkIjoiNzEzMTM0MWY1MjE5ZmJiZDI0NjA2MzdkYjk2NDk2MjYiLCJ1c2VySWQiOiI0Nzg2ODk0MTgifQ==</vt:lpwstr>
  </property>
  <property fmtid="{D5CDD505-2E9C-101B-9397-08002B2CF9AE}" pid="3" name="KSOProductBuildVer">
    <vt:lpwstr>2052-12.1.0.26895</vt:lpwstr>
  </property>
  <property fmtid="{D5CDD505-2E9C-101B-9397-08002B2CF9AE}" pid="4" name="ICV">
    <vt:lpwstr>D08FB025F3694A509D00BBCB66656BEE_13</vt:lpwstr>
  </property>
</Properties>
</file>