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footnotes.xml" ContentType="application/vnd.openxmlformats-officedocument.wordprocessingml.footnotes+xml"/>
  <Override PartName="/word/theme/theme1.xml" ContentType="application/vnd.openxmlformats-officedocument.theme+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2" Type="http://schemas.openxmlformats.org/officeDocument/2006/relationships/extended-properties" Target="docProps/app.xml" /><Relationship Id="rId1" Type="http://schemas.openxmlformats.org/package/2006/relationships/metadata/core-properties" Target="docProps/core.xml" /></Relationships>
</file>

<file path=word/document.xml><?xml version="1.0" encoding="utf-8"?>
<w:document xmlns:v="urn:schemas-microsoft-com:vml" xmlns:w="http://schemas.openxmlformats.org/wordprocessingml/2006/main" xmlns:o="urn:schemas-microsoft-com:office:office" xmlns:m="http://schemas.openxmlformats.org/officeDocument/2006/math">
  <w:body>
    <w:sdt>
      <w:sdtPr>
        <w:docPartObj>
          <w:docPartGallery w:val="Table of Contents"/>
          <w:docPartUnique w:val="1"/>
        </w:docPartObj>
      </w:sdtPr>
      <w:sdtContent>
        <w:p>
          <w:pPr>
            <w:pStyle w:val="00003f"/>
          </w:pPr>
          <w:r>
            <w:t>Table of Contents</w:t>
          </w:r>
        </w:p>
        <w:p>
          <w:r>
            <w:fldChar w:fldCharType="begin" w:dirty="1"/>
          </w:r>
          <w:r>
            <w:rPr/>
            <w:instrText>TOC \o "1-3" \h \z \u</w:instrText>
          </w:r>
          <w:r>
            <w:fldChar w:fldCharType="separate"/>
          </w:r>
          <w:r>
            <w:fldChar w:fldCharType="end"/>
          </w:r>
        </w:p>
      </w:sdtContent>
    </w:sdt>
    <w:p>
      <w:pPr>
        <w:pStyle w:val="00001d"/>
      </w:pPr>
      <w:bookmarkStart w:id="1" w:name="X63d40983ce4d57a537ff5cf72537ea2acd3a070"/>
      <w:r>
        <w:rPr>
          <w:rFonts w:hint="eastAsia"/>
        </w:rPr>
        <w:t>铣削颤振深度学习预测的公平基准评估：统计显著性、评估指标陷阱与边缘部署效率的系统性研究</w:t>
      </w:r>
    </w:p>
    <w:p>
      <w:pPr>
        <w:pStyle w:val="000011"/>
      </w:pPr>
      <w:r>
        <w:rPr>
          <w:rFonts w:hint="eastAsia"/>
          <w:b w:val="1"/>
          <w:bCs w:val="1"/>
        </w:rPr>
        <w:t>（A</w:t>
      </w:r>
      <w:r>
        <w:rPr>
          <w:b w:val="1"/>
          <w:bCs w:val="1"/>
        </w:rPr>
        <w:t xml:space="preserve"> Fair Benchmark Evaluation of Deep Learning for Milling Chatter Prediction: Statistical Significance, Metric Pitfalls, and Edge-Deployment </w:t>
      </w:r>
      <w:r>
        <w:rPr>
          <w:rFonts w:hint="eastAsia"/>
          <w:b w:val="1"/>
          <w:bCs w:val="1"/>
        </w:rPr>
        <w:t>Efficiency）</w:t>
      </w:r>
    </w:p>
    <w:p>
      <w:r>
        <w:pict>
          <v:rect style="width:0;height:1.5pt" o:hr="t" o:hrstd="t" o:hralign="center"/>
        </w:pict>
      </w:r>
    </w:p>
    <w:p>
      <w:pPr>
        <w:pStyle w:val="000011"/>
      </w:pPr>
      <w:r>
        <w:rPr>
          <w:rFonts w:hint="eastAsia"/>
          <w:b w:val="1"/>
          <w:bCs w:val="1"/>
        </w:rPr>
        <w:t>摘要</w:t>
      </w:r>
      <w:r>
        <w:rPr>
          <w:rFonts w:hint="eastAsia"/>
        </w:rPr>
        <w:t>：深度学习方法在铣削颤振预测领域的文献中普遍报告”显著优于基线”的结论，但相当一部分工作缺乏统计显著性检验、多种子重复与指标一致性核查，其可信度存疑[19-20,37,54]。本文不提出新模型，而是对该领域一个代表性的物理引导连续时间神经网络（以液态时间常数网络</w:t>
      </w:r>
      <w:r>
        <w:t xml:space="preserve"> </w:t>
      </w:r>
      <w:r>
        <w:rPr>
          <w:rFonts w:hint="eastAsia"/>
        </w:rPr>
        <w:t>LTC[25]为主干，记作</w:t>
      </w:r>
      <w:r>
        <w:t xml:space="preserve"> </w:t>
      </w:r>
      <w:r>
        <w:rPr>
          <w:rFonts w:hint="eastAsia"/>
        </w:rPr>
        <w:t>DL-LNN）及</w:t>
      </w:r>
      <w:r>
        <w:t xml:space="preserve"> 8 </w:t>
      </w:r>
      <w:r>
        <w:rPr>
          <w:rFonts w:hint="eastAsia"/>
        </w:rPr>
        <w:t>种主流基线（BPNN、CNN、LSTM[63]、GRU、Transformer[62]、PINN[18]、gPINN[21]、PeRCNN[41]）开展严格控制变量的公平基准评估，并系统诊断评估过程本身的陷阱。在统一训练预算、统一数据划分、5</w:t>
      </w:r>
      <w:r>
        <w:t xml:space="preserve"> </w:t>
      </w:r>
      <w:r>
        <w:rPr>
          <w:rFonts w:hint="eastAsia"/>
        </w:rPr>
        <w:t>随机种子重复的条件下，本文得到三项与主流文献叙事相悖但可完全复现的发现：（1）</w:t>
      </w:r>
      <w:r>
        <w:rPr>
          <w:rFonts w:hint="eastAsia"/>
          <w:b w:val="1"/>
          <w:bCs w:val="1"/>
        </w:rPr>
        <w:t>各模型精度差异未达统计显著</w:t>
      </w:r>
      <w:r>
        <w:rPr>
          <w:rFonts w:hint="eastAsia"/>
        </w:rPr>
        <w:t>——在工业铝合金数据集上</w:t>
      </w:r>
      <w:r>
        <w:t xml:space="preserve"> 9 </w:t>
      </w:r>
      <w:r>
        <w:rPr>
          <w:rFonts w:hint="eastAsia"/>
        </w:rPr>
        <w:t>种模型的</w:t>
      </w:r>
      <w:r>
        <w:t xml:space="preserve"> MAE </w:t>
      </w:r>
      <w:r>
        <w:rPr>
          <w:rFonts w:hint="eastAsia"/>
        </w:rPr>
        <w:t>处于</w:t>
      </w:r>
      <w:r>
        <w:t xml:space="preserve"> 1.21~1.23 </w:t>
      </w:r>
      <w:r>
        <w:rPr>
          <w:rFonts w:hint="eastAsia"/>
        </w:rPr>
        <w:t>的窄带内，Welch</w:t>
      </w:r>
      <w:r>
        <w:t xml:space="preserve"> t </w:t>
      </w:r>
      <w:r>
        <w:rPr>
          <w:rFonts w:hint="eastAsia"/>
        </w:rPr>
        <w:t>检验</w:t>
      </w:r>
      <w:r>
        <w:t xml:space="preserve"> p </w:t>
      </w:r>
      <w:r>
        <w:rPr>
          <w:rFonts w:hint="eastAsia"/>
        </w:rPr>
        <w:t>值全部大于</w:t>
      </w:r>
      <w:r>
        <w:t xml:space="preserve"> </w:t>
      </w:r>
      <w:r>
        <w:rPr>
          <w:rFonts w:hint="eastAsia"/>
        </w:rPr>
        <w:t>0.05，最小者亦达</w:t>
      </w:r>
      <w:r>
        <w:t xml:space="preserve"> </w:t>
      </w:r>
      <w:r>
        <w:rPr>
          <w:rFonts w:hint="eastAsia"/>
        </w:rPr>
        <w:t>0.147，表明在该类点回归任务设定下”模型架构选择”对精度的边际贡献远小于文献所暗示；（2）</w:t>
      </w:r>
      <w:r>
        <w:rPr>
          <w:rFonts w:hint="eastAsia"/>
          <w:b w:val="1"/>
          <w:bCs w:val="1"/>
        </w:rPr>
        <w:t>评估指标存在系统性陷阱</w:t>
      </w:r>
      <w:r>
        <w:rPr>
          <w:rFonts w:hint="eastAsia"/>
        </w:rPr>
        <w:t>——所有模型在所有数据集上决定系数</w:t>
      </w:r>
      <w:r>
        <w:t xml:space="preserve"> R² </w:t>
      </w:r>
      <w:r>
        <w:rPr>
          <w:rFonts w:hint="eastAsia"/>
        </w:rPr>
        <w:t>均为负值（如</w:t>
      </w:r>
      <w:r>
        <w:t xml:space="preserve"> PHM2010 </w:t>
      </w:r>
      <w:r>
        <w:rPr>
          <w:rFonts w:hint="eastAsia"/>
        </w:rPr>
        <w:t>上</w:t>
      </w:r>
      <w:r>
        <w:t xml:space="preserve"> DL-LNN </w:t>
      </w:r>
      <w:r>
        <w:rPr>
          <w:rFonts w:hint="eastAsia"/>
        </w:rPr>
        <w:t>的</w:t>
      </w:r>
      <w:r>
        <w:t xml:space="preserve"> </w:t>
      </w:r>
      <w:r>
        <w:rPr>
          <w:rFonts w:hint="eastAsia"/>
        </w:rPr>
        <w:t>R²=−0.057），而皮尔逊相关系数</w:t>
      </w:r>
      <w:r>
        <w:t xml:space="preserve"> PCC </w:t>
      </w:r>
      <w:r>
        <w:rPr>
          <w:rFonts w:hint="eastAsia"/>
        </w:rPr>
        <w:t>却高达</w:t>
      </w:r>
      <w:r>
        <w:t xml:space="preserve"> </w:t>
      </w:r>
      <w:r>
        <w:rPr>
          <w:rFonts w:hint="eastAsia"/>
        </w:rPr>
        <w:t>0.98~0.999，二者的数学关系证明预测存在未校准的系统性偏移或方差塌缩，单独报告</w:t>
      </w:r>
      <w:r>
        <w:t xml:space="preserve"> PCC </w:t>
      </w:r>
      <w:r>
        <w:rPr>
          <w:rFonts w:hint="eastAsia"/>
        </w:rPr>
        <w:t>会严重高估模型能力，这一现象在既有颤振预测文献中鲜有披露；（3）</w:t>
      </w:r>
      <w:r>
        <w:rPr>
          <w:rFonts w:hint="eastAsia"/>
          <w:b w:val="1"/>
          <w:bCs w:val="1"/>
        </w:rPr>
        <w:t>效率而非精度构成真实的选型依据</w:t>
      </w:r>
      <w:r>
        <w:rPr>
          <w:rFonts w:hint="eastAsia"/>
        </w:rPr>
        <w:t>——在精度无显著差异的前提下，连续时间模型以</w:t>
      </w:r>
      <w:r>
        <w:t xml:space="preserve"> 10.8 </w:t>
      </w:r>
      <w:r>
        <w:rPr>
          <w:rFonts w:hint="eastAsia"/>
        </w:rPr>
        <w:t>万参数（约为</w:t>
      </w:r>
      <w:r>
        <w:t xml:space="preserve"> Transformer </w:t>
      </w:r>
      <w:r>
        <w:rPr>
          <w:rFonts w:hint="eastAsia"/>
        </w:rPr>
        <w:t>的</w:t>
      </w:r>
      <w:r>
        <w:t xml:space="preserve"> </w:t>
      </w:r>
      <w:r>
        <w:rPr>
          <w:rFonts w:hint="eastAsia"/>
        </w:rPr>
        <w:t>1/3.8）、8</w:t>
      </w:r>
      <w:r>
        <w:t xml:space="preserve"> 576 </w:t>
      </w:r>
      <w:r>
        <w:rPr>
          <w:rFonts w:hint="eastAsia"/>
        </w:rPr>
        <w:t>FLOPs/步（约为</w:t>
      </w:r>
      <w:r>
        <w:t xml:space="preserve"> Transformer </w:t>
      </w:r>
      <w:r>
        <w:rPr>
          <w:rFonts w:hint="eastAsia"/>
        </w:rPr>
        <w:t>的</w:t>
      </w:r>
      <w:r>
        <w:t xml:space="preserve"> </w:t>
      </w:r>
      <w:r>
        <w:rPr>
          <w:rFonts w:hint="eastAsia"/>
        </w:rPr>
        <w:t>1/92.7）实现单样本平均</w:t>
      </w:r>
      <w:r>
        <w:t xml:space="preserve"> 1.00 ms </w:t>
      </w:r>
      <w:r>
        <w:rPr>
          <w:rFonts w:hint="eastAsia"/>
        </w:rPr>
        <w:t>推理延迟与</w:t>
      </w:r>
      <w:r>
        <w:t xml:space="preserve"> 128 </w:t>
      </w:r>
      <w:r>
        <w:rPr>
          <w:rFonts w:hint="eastAsia"/>
        </w:rPr>
        <w:t>批次下</w:t>
      </w:r>
      <w:r>
        <w:t xml:space="preserve"> 11.2 </w:t>
      </w:r>
      <w:r>
        <w:rPr>
          <w:rFonts w:hint="eastAsia"/>
        </w:rPr>
        <w:t>万样本/秒吞吐，满足颤振在线监测的毫秒级实时约束[16-17]。基于上述发现，本文进一步给出该领域基准评估的检查清单（多种子重复、Welch</w:t>
      </w:r>
      <w:r>
        <w:t xml:space="preserve"> t </w:t>
      </w:r>
      <w:r>
        <w:rPr>
          <w:rFonts w:hint="eastAsia"/>
        </w:rPr>
        <w:t>检验与效应量、R²/PCC</w:t>
      </w:r>
      <w:r>
        <w:t xml:space="preserve"> </w:t>
      </w:r>
      <w:r>
        <w:rPr>
          <w:rFonts w:hint="eastAsia"/>
        </w:rPr>
        <w:t>联合报告、合成数据显式标注、基线崩溃检测），并公开全部实验产物（JSON</w:t>
      </w:r>
      <w:r>
        <w:t xml:space="preserve"> </w:t>
      </w:r>
      <w:r>
        <w:rPr>
          <w:rFonts w:hint="eastAsia"/>
        </w:rPr>
        <w:t>原始结果与图表）以供复核。本研究的价值不在于”击败基线”，而在于揭示当前颤振智能预测评估实践中被忽视的方法学缺陷，为后续研究建立可信的比较基准。</w:t>
      </w:r>
    </w:p>
    <w:p>
      <w:pPr>
        <w:pStyle w:val="00000f"/>
      </w:pPr>
      <w:r>
        <w:rPr>
          <w:rFonts w:hint="eastAsia"/>
          <w:b w:val="1"/>
          <w:bCs w:val="1"/>
        </w:rPr>
        <w:t>关键词</w:t>
      </w:r>
      <w:r>
        <w:rPr>
          <w:rFonts w:hint="eastAsia"/>
        </w:rPr>
        <w:t>：铣削颤振；深度学习；基准评估；统计显著性；评估指标；液态时间常数网络；物理引导机器学习；边缘部署</w:t>
      </w:r>
    </w:p>
    <w:p>
      <w:r>
        <w:pict>
          <v:rect style="width:0;height:1.5pt" o:hr="t" o:hrstd="t" o:hralign="center"/>
        </w:pict>
      </w:r>
    </w:p>
    <w:p>
      <w:pPr>
        <w:pStyle w:val="00001f"/>
      </w:pPr>
      <w:bookmarkStart w:id="2" w:name="引言"/>
      <w:r>
        <w:t xml:space="preserve">0 </w:t>
      </w:r>
      <w:r>
        <w:rPr>
          <w:rFonts w:hint="eastAsia"/>
        </w:rPr>
        <w:t>引言</w:t>
      </w:r>
    </w:p>
    <w:p>
      <w:pPr>
        <w:pStyle w:val="000021"/>
      </w:pPr>
      <w:bookmarkStart w:id="3" w:name="研究背景"/>
      <w:r>
        <w:t xml:space="preserve">0.1 </w:t>
      </w:r>
      <w:r>
        <w:rPr>
          <w:rFonts w:hint="eastAsia"/>
        </w:rPr>
        <w:t>研究背景</w:t>
      </w:r>
    </w:p>
    <w:p>
      <w:pPr>
        <w:pStyle w:val="000011"/>
      </w:pPr>
      <w:r>
        <w:rPr>
          <w:rFonts w:hint="eastAsia"/>
        </w:rPr>
        <w:t>再生型颤振（regenerative</w:t>
      </w:r>
      <w:r>
        <w:t xml:space="preserve"> </w:t>
      </w:r>
      <w:r>
        <w:rPr>
          <w:rFonts w:hint="eastAsia"/>
        </w:rPr>
        <w:t>chatter）是铣削加工中最主要的失稳形式，由刀齿当前切削厚度受前一刀齿留下的振纹调制而形成的时滞反馈所致，其经典理论由</w:t>
      </w:r>
      <w:r>
        <w:t xml:space="preserve"> Tlusty </w:t>
      </w:r>
      <w:r>
        <w:rPr>
          <w:rFonts w:hint="eastAsia"/>
        </w:rPr>
        <w:t>与</w:t>
      </w:r>
      <w:r>
        <w:t xml:space="preserve"> </w:t>
      </w:r>
      <w:r>
        <w:rPr>
          <w:rFonts w:hint="eastAsia"/>
        </w:rPr>
        <w:t>Polacek[1]、Tobias[2]及</w:t>
      </w:r>
      <w:r>
        <w:t xml:space="preserve"> </w:t>
      </w:r>
      <w:r>
        <w:rPr>
          <w:rFonts w:hint="eastAsia"/>
        </w:rPr>
        <w:t>Merritt[3]在</w:t>
      </w:r>
      <w:r>
        <w:t xml:space="preserve"> 20 </w:t>
      </w:r>
      <w:r>
        <w:rPr>
          <w:rFonts w:hint="eastAsia"/>
        </w:rPr>
        <w:t>世纪</w:t>
      </w:r>
      <w:r>
        <w:t xml:space="preserve"> 60 </w:t>
      </w:r>
      <w:r>
        <w:rPr>
          <w:rFonts w:hint="eastAsia"/>
        </w:rPr>
        <w:t>年代奠定。颤振一旦发生，将导致表面质量恶化、刀具寿命骤降乃至主轴损伤，据综述统计其造成的生产率损失可达</w:t>
      </w:r>
      <w:r>
        <w:t xml:space="preserve"> 30% </w:t>
      </w:r>
      <w:r>
        <w:rPr>
          <w:rFonts w:hint="eastAsia"/>
        </w:rPr>
        <w:t>以上[4-5]。工程上抑制颤振的主流手段是依据稳定性叶瓣图（Stability</w:t>
      </w:r>
      <w:r>
        <w:t xml:space="preserve"> Lobe Diagram, </w:t>
      </w:r>
      <w:r>
        <w:rPr>
          <w:rFonts w:hint="eastAsia"/>
        </w:rPr>
        <w:t>SLD）选择主轴转速与轴向切深的稳定组合[6-7]：Altintas</w:t>
      </w:r>
      <w:r>
        <w:t xml:space="preserve"> </w:t>
      </w:r>
      <w:r>
        <w:rPr>
          <w:rFonts w:hint="eastAsia"/>
        </w:rPr>
        <w:t>与</w:t>
      </w:r>
      <w:r>
        <w:t xml:space="preserve"> </w:t>
      </w:r>
      <w:r>
        <w:rPr>
          <w:rFonts w:hint="eastAsia"/>
        </w:rPr>
        <w:t>Budak[8]提出的零阶频域解析法（ZOA）及其切削力建模基础[9]至今仍是商业</w:t>
      </w:r>
      <w:r>
        <w:t xml:space="preserve"> CAM </w:t>
      </w:r>
      <w:r>
        <w:rPr>
          <w:rFonts w:hint="eastAsia"/>
        </w:rPr>
        <w:t>软件的标准配置；Insperger</w:t>
      </w:r>
      <w:r>
        <w:t xml:space="preserve"> </w:t>
      </w:r>
      <w:r>
        <w:rPr>
          <w:rFonts w:hint="eastAsia"/>
        </w:rPr>
        <w:t>与</w:t>
      </w:r>
      <w:r>
        <w:t xml:space="preserve"> </w:t>
      </w:r>
      <w:r>
        <w:rPr>
          <w:rFonts w:hint="eastAsia"/>
        </w:rPr>
        <w:t>Stépán[12]的半离散化方法与时滞动力系统理论[13]则提供了更高精度的数值途径，并被推广至多时滞[14]与变转速[15]工况。</w:t>
      </w:r>
    </w:p>
    <w:p>
      <w:pPr>
        <w:pStyle w:val="00000f"/>
      </w:pPr>
      <w:r>
        <w:rPr>
          <w:rFonts w:hint="eastAsia"/>
        </w:rPr>
        <w:t>解析与半解析方法的局限在于依赖精确的模态参数（固有频率、阻尼比、模态刚度），后者需通过锤击试验[11]获取且随刀具-夹具-工件组合变化而漂移[10]。这一局限推动了数据驱动方法的兴起：基于振动信号的颤振检测[16-17]与基于深度学习的稳定性预测近年来大量涌现。特别地，物理信息神经网络（PINN）[18]及物理信息机器学习（PIML）范式[19-20]为”小样本+物理先验”的制造场景提供了新工具：梯度增强</w:t>
      </w:r>
      <w:r>
        <w:t xml:space="preserve"> </w:t>
      </w:r>
      <w:r>
        <w:rPr>
          <w:rFonts w:hint="eastAsia"/>
        </w:rPr>
        <w:t>PINN（gPINN）[21]、物理编码循环卷积网络（PeRCNN）[41]、物理引导颤振稳定性建模[37]等工作相继出现，制造领域的</w:t>
      </w:r>
      <w:r>
        <w:t xml:space="preserve"> PIML </w:t>
      </w:r>
      <w:r>
        <w:rPr>
          <w:rFonts w:hint="eastAsia"/>
        </w:rPr>
        <w:t>综述[40]亦将颤振预测列为典型应用。与此并行，以神经常微分方程（Neural</w:t>
      </w:r>
      <w:r>
        <w:t xml:space="preserve"> </w:t>
      </w:r>
      <w:r>
        <w:rPr>
          <w:rFonts w:hint="eastAsia"/>
        </w:rPr>
        <w:t>ODE）[27]、连续时间循环网络（CT-RNN）[28]、液态时间常数网络（LTC）[25-26]为代表的连续时间神经网络因其与机床动力学微分方程的结构同构性，被认为是颤振这类时滞动力系统[12-13]建模的天然候选[42]。</w:t>
      </w:r>
    </w:p>
    <w:p>
      <w:pPr>
        <w:pStyle w:val="000021"/>
      </w:pPr>
      <w:bookmarkEnd w:id="3"/>
      <w:bookmarkStart w:id="4" w:name="问题的提出被忽视的评估危机"/>
      <w:r>
        <w:t xml:space="preserve">0.2 </w:t>
      </w:r>
      <w:r>
        <w:rPr>
          <w:rFonts w:hint="eastAsia"/>
        </w:rPr>
        <w:t>问题的提出：被忽视的评估危机</w:t>
      </w:r>
    </w:p>
    <w:p>
      <w:pPr>
        <w:pStyle w:val="000011"/>
      </w:pPr>
      <w:r>
        <w:rPr>
          <w:rFonts w:hint="eastAsia"/>
        </w:rPr>
        <w:t>然而，在方法快速涌现的同时，该领域的</w:t>
      </w:r>
      <w:r>
        <w:rPr>
          <w:rFonts w:hint="eastAsia"/>
          <w:b w:val="1"/>
          <w:bCs w:val="1"/>
        </w:rPr>
        <w:t>评估实践</w:t>
      </w:r>
      <w:r>
        <w:rPr>
          <w:rFonts w:hint="eastAsia"/>
        </w:rPr>
        <w:t>存在系统性缺陷，且鲜有文献正面讨论：</w:t>
      </w:r>
    </w:p>
    <w:p>
      <w:pPr>
        <w:pStyle w:val="00000f"/>
      </w:pPr>
      <w:r>
        <w:rPr>
          <w:rFonts w:hint="eastAsia"/>
          <w:b w:val="1"/>
          <w:bCs w:val="1"/>
        </w:rPr>
        <w:t>其一，统计显著性检验普遍缺失。</w:t>
      </w:r>
      <w:r>
        <w:t xml:space="preserve"> </w:t>
      </w:r>
      <w:r>
        <w:rPr>
          <w:rFonts w:hint="eastAsia"/>
        </w:rPr>
        <w:t>大量工作仅报告单次训练的点估计指标，未做多随机种子重复，更未做假设检验。机器学习界早已指出，深度模型性能对随机种子高度敏感，无显著性检验的”SOTA</w:t>
      </w:r>
      <w:r>
        <w:t xml:space="preserve"> </w:t>
      </w:r>
      <w:r>
        <w:rPr>
          <w:rFonts w:hint="eastAsia"/>
        </w:rPr>
        <w:t>宣称”大概率是噪声[64]；Karniadakis</w:t>
      </w:r>
      <w:r>
        <w:t xml:space="preserve"> </w:t>
      </w:r>
      <w:r>
        <w:rPr>
          <w:rFonts w:hint="eastAsia"/>
        </w:rPr>
        <w:t>等[19]与</w:t>
      </w:r>
      <w:r>
        <w:t xml:space="preserve"> Cuomo </w:t>
      </w:r>
      <w:r>
        <w:rPr>
          <w:rFonts w:hint="eastAsia"/>
        </w:rPr>
        <w:t>等[20]的</w:t>
      </w:r>
      <w:r>
        <w:t xml:space="preserve"> PIML </w:t>
      </w:r>
      <w:r>
        <w:rPr>
          <w:rFonts w:hint="eastAsia"/>
        </w:rPr>
        <w:t>综述亦呼吁更严格的实证标准。在制造应用文献中，“较基线降低</w:t>
      </w:r>
      <w:r>
        <w:t xml:space="preserve"> X%”</w:t>
      </w:r>
      <w:r>
        <w:rPr>
          <w:rFonts w:hint="eastAsia"/>
        </w:rPr>
        <w:t>的表述往往缺乏</w:t>
      </w:r>
      <w:r>
        <w:t xml:space="preserve"> p </w:t>
      </w:r>
      <w:r>
        <w:rPr>
          <w:rFonts w:hint="eastAsia"/>
        </w:rPr>
        <w:t>值与效应量支撑。</w:t>
      </w:r>
    </w:p>
    <w:p>
      <w:pPr>
        <w:pStyle w:val="00000f"/>
      </w:pPr>
      <w:r>
        <w:rPr>
          <w:rFonts w:hint="eastAsia"/>
          <w:b w:val="1"/>
          <w:bCs w:val="1"/>
        </w:rPr>
        <w:t>其二，评估指标选择性报告。</w:t>
      </w:r>
      <w:r>
        <w:rPr>
          <w:rFonts w:hint="eastAsia"/>
        </w:rPr>
        <w:t xml:space="preserve"> R²、PCC、MAE、RMSE </w:t>
      </w:r>
      <w:r>
        <w:rPr>
          <w:rFonts w:hint="eastAsia"/>
        </w:rPr>
        <w:t>各自刻画预测质量的不同侧面：PCC</w:t>
      </w:r>
      <w:r>
        <w:t xml:space="preserve"> </w:t>
      </w:r>
      <w:r>
        <w:rPr>
          <w:rFonts w:hint="eastAsia"/>
        </w:rPr>
        <w:t>仅度量线性相关而对系统性偏移和缩放完全不敏感；R²</w:t>
      </w:r>
      <w:r>
        <w:t xml:space="preserve"> </w:t>
      </w:r>
      <w:r>
        <w:rPr>
          <w:rFonts w:hint="eastAsia"/>
        </w:rPr>
        <w:t>则同时惩罚偏移与方差失配，R²&lt;0</w:t>
      </w:r>
      <w:r>
        <w:t xml:space="preserve"> </w:t>
      </w:r>
      <w:r>
        <w:rPr>
          <w:rFonts w:hint="eastAsia"/>
        </w:rPr>
        <w:t>意味着预测劣于”恒取均值”的朴素基线。若模型输出与真值高度线性相关但存在未校准的偏移，则会出现”PCC≈0.99</w:t>
      </w:r>
      <w:r>
        <w:t xml:space="preserve"> </w:t>
      </w:r>
      <w:r>
        <w:rPr>
          <w:rFonts w:hint="eastAsia"/>
        </w:rPr>
        <w:t>且</w:t>
      </w:r>
      <w:r>
        <w:t xml:space="preserve"> </w:t>
      </w:r>
      <w:r>
        <w:rPr>
          <w:rFonts w:hint="eastAsia"/>
        </w:rPr>
        <w:t>R²&lt;0”的组合——此时仅报告</w:t>
      </w:r>
      <w:r>
        <w:t xml:space="preserve"> PCC </w:t>
      </w:r>
      <w:r>
        <w:rPr>
          <w:rFonts w:hint="eastAsia"/>
        </w:rPr>
        <w:t>将制造模型高度可用的假象。Cooper</w:t>
      </w:r>
      <w:r>
        <w:t xml:space="preserve"> </w:t>
      </w:r>
      <w:r>
        <w:rPr>
          <w:rFonts w:hint="eastAsia"/>
        </w:rPr>
        <w:t>等[38]在制造</w:t>
      </w:r>
      <w:r>
        <w:t xml:space="preserve"> PINN </w:t>
      </w:r>
      <w:r>
        <w:rPr>
          <w:rFonts w:hint="eastAsia"/>
        </w:rPr>
        <w:t>的误差均化研究中已触及类似的误差结构问题，但指标间矛盾作为评估陷阱尚未在颤振文献中被系统披露。</w:t>
      </w:r>
    </w:p>
    <w:p>
      <w:pPr>
        <w:pStyle w:val="00000f"/>
      </w:pPr>
      <w:r>
        <w:rPr>
          <w:rFonts w:hint="eastAsia"/>
          <w:b w:val="1"/>
          <w:bCs w:val="1"/>
        </w:rPr>
        <w:t>其三，基线实现质量失控。</w:t>
      </w:r>
      <w:r>
        <w:t xml:space="preserve"> </w:t>
      </w:r>
      <w:r>
        <w:rPr>
          <w:rFonts w:hint="eastAsia"/>
        </w:rPr>
        <w:t>公平比较要求所有基线在同等超参数搜索预算下调优[64]。实践中基线常因学习率不当、序列长度不匹配等原因训练崩溃（如输出常数），使新方法被”假性”衬托为最优。Wang</w:t>
      </w:r>
      <w:r>
        <w:t xml:space="preserve"> </w:t>
      </w:r>
      <w:r>
        <w:rPr>
          <w:rFonts w:hint="eastAsia"/>
        </w:rPr>
        <w:t>等[35]与</w:t>
      </w:r>
      <w:r>
        <w:t xml:space="preserve"> Krishnapriyan </w:t>
      </w:r>
      <w:r>
        <w:rPr>
          <w:rFonts w:hint="eastAsia"/>
        </w:rPr>
        <w:t>等[36]对</w:t>
      </w:r>
      <w:r>
        <w:t xml:space="preserve"> PINN </w:t>
      </w:r>
      <w:r>
        <w:rPr>
          <w:rFonts w:hint="eastAsia"/>
        </w:rPr>
        <w:t>失败模式的分析表明，即使是被比较的”物理基线”本身也可能处于病态训练状态。</w:t>
      </w:r>
    </w:p>
    <w:p>
      <w:pPr>
        <w:pStyle w:val="00000f"/>
      </w:pPr>
      <w:r>
        <w:rPr>
          <w:rFonts w:hint="eastAsia"/>
          <w:b w:val="1"/>
          <w:bCs w:val="1"/>
        </w:rPr>
        <w:t>其四，合成数据与真实数据混用而不加标注。</w:t>
      </w:r>
      <w:r>
        <w:t xml:space="preserve"> </w:t>
      </w:r>
      <w:r>
        <w:rPr>
          <w:rFonts w:hint="eastAsia"/>
        </w:rPr>
        <w:t>用解析模型（如</w:t>
      </w:r>
      <w:r>
        <w:t xml:space="preserve"> </w:t>
      </w:r>
      <w:r>
        <w:rPr>
          <w:rFonts w:hint="eastAsia"/>
        </w:rPr>
        <w:t>ZOA[8]）生成的合成数据验证”学习到了物理”存在循环论证风险；若合成数据与真实数据混合报告而不加区分，则进一步损害结论的外部效度[39-40]。</w:t>
      </w:r>
    </w:p>
    <w:p>
      <w:pPr>
        <w:pStyle w:val="000021"/>
      </w:pPr>
      <w:bookmarkEnd w:id="4"/>
      <w:bookmarkStart w:id="5" w:name="本文工作与贡献"/>
      <w:r>
        <w:t xml:space="preserve">0.3 </w:t>
      </w:r>
      <w:r>
        <w:rPr>
          <w:rFonts w:hint="eastAsia"/>
        </w:rPr>
        <w:t>本文工作与贡献</w:t>
      </w:r>
    </w:p>
    <w:p>
      <w:pPr>
        <w:pStyle w:val="000011"/>
      </w:pPr>
      <w:r>
        <w:rPr>
          <w:rFonts w:hint="eastAsia"/>
        </w:rPr>
        <w:t>针对上述评估危机，本文的立场是：</w:t>
      </w:r>
      <w:r>
        <w:rPr>
          <w:rFonts w:hint="eastAsia"/>
          <w:b w:val="1"/>
          <w:bCs w:val="1"/>
        </w:rPr>
        <w:t>在提出更多新模型之前，该领域更需要一次严格、透明、可复现的基准评估。</w:t>
      </w:r>
      <w:r>
        <w:t xml:space="preserve"> </w:t>
      </w:r>
      <w:r>
        <w:rPr>
          <w:rFonts w:hint="eastAsia"/>
        </w:rPr>
        <w:t>本文以一个代表性的物理引导连续时间网络（DL-LNN，以</w:t>
      </w:r>
      <w:r>
        <w:t xml:space="preserve"> </w:t>
      </w:r>
      <w:r>
        <w:rPr>
          <w:rFonts w:hint="eastAsia"/>
        </w:rPr>
        <w:t>LTC[25]为主干、融合</w:t>
      </w:r>
      <w:r>
        <w:t xml:space="preserve"> Tlusty </w:t>
      </w:r>
      <w:r>
        <w:rPr>
          <w:rFonts w:hint="eastAsia"/>
        </w:rPr>
        <w:t>解析先验[1,8]）及</w:t>
      </w:r>
      <w:r>
        <w:t xml:space="preserve"> 8 </w:t>
      </w:r>
      <w:r>
        <w:rPr>
          <w:rFonts w:hint="eastAsia"/>
        </w:rPr>
        <w:t>种覆盖”纯数据驱动/物理信息/物理编码”三谱系的基线为对象，在统一协议下开展系统评估，贡献如下：</w:t>
      </w:r>
    </w:p>
    <w:p>
      <w:pPr>
        <w:pStyle w:val="000012"/>
        <w:numPr>
          <w:ilvl w:val="0"/>
          <w:numId w:val="1"/>
        </w:numPr>
      </w:pPr>
      <w:r>
        <w:rPr>
          <w:rFonts w:hint="eastAsia"/>
          <w:b w:val="1"/>
          <w:bCs w:val="1"/>
        </w:rPr>
        <w:t>公平基准</w:t>
      </w:r>
      <w:r>
        <w:rPr>
          <w:rFonts w:hint="eastAsia"/>
        </w:rPr>
        <w:t>：统一训练预算、统一数据划分、5</w:t>
      </w:r>
      <w:r>
        <w:t xml:space="preserve"> </w:t>
      </w:r>
      <w:r>
        <w:rPr>
          <w:rFonts w:hint="eastAsia"/>
        </w:rPr>
        <w:t>随机种子（42~46）重复、Welch</w:t>
      </w:r>
      <w:r>
        <w:t xml:space="preserve"> </w:t>
      </w:r>
      <w:r>
        <w:rPr>
          <w:rFonts w:hint="eastAsia"/>
        </w:rPr>
        <w:t>不等方差</w:t>
      </w:r>
      <w:r>
        <w:t xml:space="preserve"> t </w:t>
      </w:r>
      <w:r>
        <w:rPr>
          <w:rFonts w:hint="eastAsia"/>
        </w:rPr>
        <w:t>检验，给出该领域少见的完整显著性报告——结论是</w:t>
      </w:r>
      <w:r>
        <w:rPr>
          <w:rFonts w:hint="eastAsia"/>
          <w:b w:val="1"/>
          <w:bCs w:val="1"/>
        </w:rPr>
        <w:t>九种模型精度差异均不显著（p&gt;0.05）</w:t>
      </w:r>
      <w:r>
        <w:rPr>
          <w:rFonts w:hint="eastAsia"/>
        </w:rPr>
        <w:t>（第</w:t>
      </w:r>
      <w:r>
        <w:t xml:space="preserve"> 4.2 </w:t>
      </w:r>
      <w:r>
        <w:rPr>
          <w:rFonts w:hint="eastAsia"/>
        </w:rPr>
        <w:t>节）。</w:t>
      </w:r>
    </w:p>
    <w:p>
      <w:pPr>
        <w:pStyle w:val="000012"/>
        <w:numPr>
          <w:ilvl w:val="0"/>
          <w:numId w:val="1"/>
        </w:numPr>
      </w:pPr>
      <w:r>
        <w:rPr>
          <w:rFonts w:hint="eastAsia"/>
          <w:b w:val="1"/>
          <w:bCs w:val="1"/>
        </w:rPr>
        <w:t>指标陷阱诊断</w:t>
      </w:r>
      <w:r>
        <w:rPr>
          <w:rFonts w:hint="eastAsia"/>
        </w:rPr>
        <w:t>：首次在颤振预测语境下系统披露并解释”R²</w:t>
      </w:r>
      <w:r>
        <w:t xml:space="preserve"> </w:t>
      </w:r>
      <w:r>
        <w:rPr>
          <w:rFonts w:hint="eastAsia"/>
        </w:rPr>
        <w:t>全面为负而</w:t>
      </w:r>
      <w:r>
        <w:t xml:space="preserve"> </w:t>
      </w:r>
      <w:r>
        <w:rPr>
          <w:rFonts w:hint="eastAsia"/>
        </w:rPr>
        <w:t>PCC≈0.99”的指标矛盾，给出其数学成因（系统性偏移/方差塌缩）与复现证据，论证单指标报告的误导性（第</w:t>
      </w:r>
      <w:r>
        <w:t xml:space="preserve"> 4.3 </w:t>
      </w:r>
      <w:r>
        <w:rPr>
          <w:rFonts w:hint="eastAsia"/>
        </w:rPr>
        <w:t>节）。</w:t>
      </w:r>
    </w:p>
    <w:p>
      <w:pPr>
        <w:pStyle w:val="000012"/>
        <w:numPr>
          <w:ilvl w:val="0"/>
          <w:numId w:val="1"/>
        </w:numPr>
      </w:pPr>
      <w:r>
        <w:rPr>
          <w:rFonts w:hint="eastAsia"/>
          <w:b w:val="1"/>
          <w:bCs w:val="1"/>
        </w:rPr>
        <w:t>效率基准</w:t>
      </w:r>
      <w:r>
        <w:rPr>
          <w:rFonts w:hint="eastAsia"/>
        </w:rPr>
        <w:t>：在精度无显著差异的前提下，将比较维度转向参数量、FLOPs、推理延迟分位数与批处理吞吐，给出面向边缘部署的完整效率画像（第</w:t>
      </w:r>
      <w:r>
        <w:t xml:space="preserve"> 4.4 </w:t>
      </w:r>
      <w:r>
        <w:rPr>
          <w:rFonts w:hint="eastAsia"/>
        </w:rPr>
        <w:t>节），并结合时间常数分布分析连续时间模型的可解释性红利（第</w:t>
      </w:r>
      <w:r>
        <w:t xml:space="preserve"> 4.5 </w:t>
      </w:r>
      <w:r>
        <w:rPr>
          <w:rFonts w:hint="eastAsia"/>
        </w:rPr>
        <w:t>节）。</w:t>
      </w:r>
    </w:p>
    <w:p>
      <w:pPr>
        <w:pStyle w:val="000012"/>
        <w:numPr>
          <w:ilvl w:val="0"/>
          <w:numId w:val="1"/>
        </w:numPr>
      </w:pPr>
      <w:r>
        <w:rPr>
          <w:rFonts w:hint="eastAsia"/>
          <w:b w:val="1"/>
          <w:bCs w:val="1"/>
        </w:rPr>
        <w:t>评估检查清单与开放产物</w:t>
      </w:r>
      <w:r>
        <w:rPr>
          <w:rFonts w:hint="eastAsia"/>
        </w:rPr>
        <w:t>：提炼颤振智能预测基准评估的五项检查清单，并公开全部原始</w:t>
      </w:r>
      <w:r>
        <w:t xml:space="preserve"> JSON </w:t>
      </w:r>
      <w:r>
        <w:rPr>
          <w:rFonts w:hint="eastAsia"/>
        </w:rPr>
        <w:t>结果与图表（第</w:t>
      </w:r>
      <w:r>
        <w:t xml:space="preserve"> 5.3 </w:t>
      </w:r>
      <w:r>
        <w:rPr>
          <w:rFonts w:hint="eastAsia"/>
        </w:rPr>
        <w:t>节），供社区复核与延用。</w:t>
      </w:r>
    </w:p>
    <w:p>
      <w:pPr>
        <w:pStyle w:val="000011"/>
      </w:pPr>
      <w:r>
        <w:rPr>
          <w:rFonts w:hint="eastAsia"/>
        </w:rPr>
        <w:t>本文其余部分组织如下：第</w:t>
      </w:r>
      <w:r>
        <w:t xml:space="preserve"> 1 </w:t>
      </w:r>
      <w:r>
        <w:rPr>
          <w:rFonts w:hint="eastAsia"/>
        </w:rPr>
        <w:t>节综述相关文献；第</w:t>
      </w:r>
      <w:r>
        <w:t xml:space="preserve"> 2 </w:t>
      </w:r>
      <w:r>
        <w:rPr>
          <w:rFonts w:hint="eastAsia"/>
        </w:rPr>
        <w:t>节陈述研究方法与实验协议；第</w:t>
      </w:r>
      <w:r>
        <w:t xml:space="preserve"> 3 </w:t>
      </w:r>
      <w:r>
        <w:rPr>
          <w:rFonts w:hint="eastAsia"/>
        </w:rPr>
        <w:t>节介绍被评估模型与数据集；第</w:t>
      </w:r>
      <w:r>
        <w:t xml:space="preserve"> 4 </w:t>
      </w:r>
      <w:r>
        <w:rPr>
          <w:rFonts w:hint="eastAsia"/>
        </w:rPr>
        <w:t>节报告结果并展开分析讨论；第</w:t>
      </w:r>
      <w:r>
        <w:t xml:space="preserve"> 5 </w:t>
      </w:r>
      <w:r>
        <w:rPr>
          <w:rFonts w:hint="eastAsia"/>
        </w:rPr>
        <w:t>节讨论对领域实践的启示与本研究局限；第</w:t>
      </w:r>
      <w:r>
        <w:t xml:space="preserve"> 6 </w:t>
      </w:r>
      <w:r>
        <w:rPr>
          <w:rFonts w:hint="eastAsia"/>
        </w:rPr>
        <w:t>节总结全文。</w:t>
      </w:r>
    </w:p>
    <w:p>
      <w:r>
        <w:pict>
          <v:rect style="width:0;height:1.5pt" o:hr="t" o:hrstd="t" o:hralign="center"/>
        </w:pict>
      </w:r>
    </w:p>
    <w:p>
      <w:pPr>
        <w:pStyle w:val="00001f"/>
      </w:pPr>
      <w:bookmarkEnd w:id="5"/>
      <w:bookmarkEnd w:id="2"/>
      <w:bookmarkStart w:id="6" w:name="文献综述"/>
      <w:r>
        <w:t xml:space="preserve">1 </w:t>
      </w:r>
      <w:r>
        <w:rPr>
          <w:rFonts w:hint="eastAsia"/>
        </w:rPr>
        <w:t>文献综述</w:t>
      </w:r>
    </w:p>
    <w:p>
      <w:pPr>
        <w:pStyle w:val="000021"/>
      </w:pPr>
      <w:bookmarkStart w:id="7" w:name="颤振机理与解析预测"/>
      <w:r>
        <w:t xml:space="preserve">1.1 </w:t>
      </w:r>
      <w:r>
        <w:rPr>
          <w:rFonts w:hint="eastAsia"/>
        </w:rPr>
        <w:t>颤振机理与解析预测</w:t>
      </w:r>
    </w:p>
    <w:p>
      <w:pPr>
        <w:pStyle w:val="000011"/>
      </w:pPr>
      <w:r>
        <w:rPr>
          <w:rFonts w:hint="eastAsia"/>
        </w:rPr>
        <w:t>颤振稳定性理论的发展脉络清晰：Tlusty-Polacek[1]与</w:t>
      </w:r>
      <w:r>
        <w:t xml:space="preserve"> </w:t>
      </w:r>
      <w:r>
        <w:rPr>
          <w:rFonts w:hint="eastAsia"/>
        </w:rPr>
        <w:t>Tobias[2]建立再生效应的定性与定量框架，Merritt[3]给出反馈控制论视角。Altintas-Budak</w:t>
      </w:r>
      <w:r>
        <w:t xml:space="preserve"> </w:t>
      </w:r>
      <w:r>
        <w:rPr>
          <w:rFonts w:hint="eastAsia"/>
        </w:rPr>
        <w:t>零阶法[8]以传递函数实部的最小负值解析给出临界轴向切深与叶瓣转速，配合切削力系数标定[9]即可快速绘制</w:t>
      </w:r>
      <w:r>
        <w:t xml:space="preserve"> </w:t>
      </w:r>
      <w:r>
        <w:rPr>
          <w:rFonts w:hint="eastAsia"/>
        </w:rPr>
        <w:t>SLD，是工程应用最广的方法[6]。半离散化[12]、多时滞统一模型[14]与变转速扩展[15]处理了</w:t>
      </w:r>
      <w:r>
        <w:t xml:space="preserve"> ZOA </w:t>
      </w:r>
      <w:r>
        <w:rPr>
          <w:rFonts w:hint="eastAsia"/>
        </w:rPr>
        <w:t>难以覆盖的低径向浸入、断续切削等强时变场景。解析方法的输入瓶颈——模态参数辨识——依赖锤击模态试验[11]与机床动力学标定[10]，Quintana-Ciurana[4]与</w:t>
      </w:r>
      <w:r>
        <w:t xml:space="preserve"> Munoa </w:t>
      </w:r>
      <w:r>
        <w:rPr>
          <w:rFonts w:hint="eastAsia"/>
        </w:rPr>
        <w:t>等[5]的综述均将其列为产线落地的首要障碍。信号侧的颤振在线检测研究（同步压缩变换[16]、检测方法综述[17]）为数据驱动路线提供了特征基础。</w:t>
      </w:r>
    </w:p>
    <w:p>
      <w:pPr>
        <w:pStyle w:val="000021"/>
      </w:pPr>
      <w:bookmarkEnd w:id="7"/>
      <w:bookmarkStart w:id="8" w:name="物理信息与物理引导机器学习"/>
      <w:r>
        <w:t xml:space="preserve">1.2 </w:t>
      </w:r>
      <w:r>
        <w:rPr>
          <w:rFonts w:hint="eastAsia"/>
        </w:rPr>
        <w:t>物理信息与物理引导机器学习</w:t>
      </w:r>
    </w:p>
    <w:p>
      <w:pPr>
        <w:pStyle w:val="000011"/>
      </w:pPr>
      <w:r>
        <w:t xml:space="preserve">Raissi </w:t>
      </w:r>
      <w:r>
        <w:rPr>
          <w:rFonts w:hint="eastAsia"/>
        </w:rPr>
        <w:t>等[18]提出的</w:t>
      </w:r>
      <w:r>
        <w:t xml:space="preserve"> PINN </w:t>
      </w:r>
      <w:r>
        <w:rPr>
          <w:rFonts w:hint="eastAsia"/>
        </w:rPr>
        <w:t>将</w:t>
      </w:r>
      <w:r>
        <w:t xml:space="preserve"> PDE </w:t>
      </w:r>
      <w:r>
        <w:rPr>
          <w:rFonts w:hint="eastAsia"/>
        </w:rPr>
        <w:t>残差嵌入损失函数，开创了物理约束训练范式；Karniadakis</w:t>
      </w:r>
      <w:r>
        <w:t xml:space="preserve"> </w:t>
      </w:r>
      <w:r>
        <w:rPr>
          <w:rFonts w:hint="eastAsia"/>
        </w:rPr>
        <w:t>等[19]将其推广为物理信息机器学习的统一框架；Cuomo</w:t>
      </w:r>
      <w:r>
        <w:t xml:space="preserve"> </w:t>
      </w:r>
      <w:r>
        <w:rPr>
          <w:rFonts w:hint="eastAsia"/>
        </w:rPr>
        <w:t>等[20]梳理了方法谱系。gPINN[21]通过附加梯度残差项提升收敛精度；XPINN[34]以域分解扩展至复杂几何。同时，PINN</w:t>
      </w:r>
      <w:r>
        <w:t xml:space="preserve"> </w:t>
      </w:r>
      <w:r>
        <w:rPr>
          <w:rFonts w:hint="eastAsia"/>
        </w:rPr>
        <w:t>的失败模式亦被系统研究：Wang</w:t>
      </w:r>
      <w:r>
        <w:t xml:space="preserve"> </w:t>
      </w:r>
      <w:r>
        <w:rPr>
          <w:rFonts w:hint="eastAsia"/>
        </w:rPr>
        <w:t>等[35]从神经正切核视角解释了损失项间的梯度冲突，Krishnapriyan</w:t>
      </w:r>
      <w:r>
        <w:t xml:space="preserve"> </w:t>
      </w:r>
      <w:r>
        <w:rPr>
          <w:rFonts w:hint="eastAsia"/>
        </w:rPr>
        <w:t>等[36]证明朴素</w:t>
      </w:r>
      <w:r>
        <w:t xml:space="preserve"> PINN </w:t>
      </w:r>
      <w:r>
        <w:rPr>
          <w:rFonts w:hint="eastAsia"/>
        </w:rPr>
        <w:t>在某些参数区间必然失败——这提示物理约束并非免费午餐，其有效性必须经受实证检验。在制造领域，Greis</w:t>
      </w:r>
      <w:r>
        <w:t xml:space="preserve"> </w:t>
      </w:r>
      <w:r>
        <w:rPr>
          <w:rFonts w:hint="eastAsia"/>
        </w:rPr>
        <w:t>等[37]将物理引导学习用于自感知加工的颤振规避；Cooper</w:t>
      </w:r>
      <w:r>
        <w:t xml:space="preserve"> </w:t>
      </w:r>
      <w:r>
        <w:rPr>
          <w:rFonts w:hint="eastAsia"/>
        </w:rPr>
        <w:t>等[38]研究了制造</w:t>
      </w:r>
      <w:r>
        <w:t xml:space="preserve"> PINN </w:t>
      </w:r>
      <w:r>
        <w:rPr>
          <w:rFonts w:hint="eastAsia"/>
        </w:rPr>
        <w:t>的误差均化现象；Guo</w:t>
      </w:r>
      <w:r>
        <w:t xml:space="preserve"> </w:t>
      </w:r>
      <w:r>
        <w:rPr>
          <w:rFonts w:hint="eastAsia"/>
        </w:rPr>
        <w:t>等[39]与</w:t>
      </w:r>
      <w:r>
        <w:t xml:space="preserve"> Wang </w:t>
      </w:r>
      <w:r>
        <w:rPr>
          <w:rFonts w:hint="eastAsia"/>
        </w:rPr>
        <w:t>等[40]分别综述了金属增材制造与智能制造中的</w:t>
      </w:r>
      <w:r>
        <w:t xml:space="preserve"> PIML </w:t>
      </w:r>
      <w:r>
        <w:rPr>
          <w:rFonts w:hint="eastAsia"/>
        </w:rPr>
        <w:t>应用；结构与传热方向亦有梁屈曲[43]、Euler-Bernoulli</w:t>
      </w:r>
      <w:r>
        <w:t xml:space="preserve"> </w:t>
      </w:r>
      <w:r>
        <w:rPr>
          <w:rFonts w:hint="eastAsia"/>
        </w:rPr>
        <w:t>梁辨识[44]、传热[45]、熔池动力学[46]等代表工作。PeRCNN[41]则代表”物理编码”路线——将已知算子结构硬编码进网络。</w:t>
      </w:r>
    </w:p>
    <w:p>
      <w:pPr>
        <w:pStyle w:val="000021"/>
      </w:pPr>
      <w:bookmarkEnd w:id="8"/>
      <w:bookmarkStart w:id="9" w:name="连续时间神经网络"/>
      <w:r>
        <w:t xml:space="preserve">1.3 </w:t>
      </w:r>
      <w:r>
        <w:rPr>
          <w:rFonts w:hint="eastAsia"/>
        </w:rPr>
        <w:t>连续时间神经网络</w:t>
      </w:r>
    </w:p>
    <w:p>
      <w:pPr>
        <w:pStyle w:val="000011"/>
      </w:pPr>
      <w:r>
        <w:rPr>
          <w:rFonts w:hint="eastAsia"/>
        </w:rPr>
        <w:t>Funahashi-Nakamura[28]早在</w:t>
      </w:r>
      <w:r>
        <w:t xml:space="preserve"> 1993 </w:t>
      </w:r>
      <w:r>
        <w:rPr>
          <w:rFonts w:hint="eastAsia"/>
        </w:rPr>
        <w:t>年即证明</w:t>
      </w:r>
      <w:r>
        <w:t xml:space="preserve"> CT-RNN </w:t>
      </w:r>
      <w:r>
        <w:rPr>
          <w:rFonts w:hint="eastAsia"/>
        </w:rPr>
        <w:t>对动力系统的通用逼近性。Neural</w:t>
      </w:r>
      <w:r>
        <w:t xml:space="preserve"> </w:t>
      </w:r>
      <w:r>
        <w:rPr>
          <w:rFonts w:hint="eastAsia"/>
        </w:rPr>
        <w:t>ODE[27]以</w:t>
      </w:r>
      <w:r>
        <w:t xml:space="preserve"> ODE </w:t>
      </w:r>
      <w:r>
        <w:rPr>
          <w:rFonts w:hint="eastAsia"/>
        </w:rPr>
        <w:t>求解器参数化隐层演化，衍生出不规则采样时间序列建模[29]、增广状态[30]、随机噪声正则[31]、图结构扩展[32]及系统性剖析[33]。Hasani</w:t>
      </w:r>
      <w:r>
        <w:t xml:space="preserve"> </w:t>
      </w:r>
      <w:r>
        <w:rPr>
          <w:rFonts w:hint="eastAsia"/>
        </w:rPr>
        <w:t>等提出的</w:t>
      </w:r>
      <w:r>
        <w:t xml:space="preserve"> </w:t>
      </w:r>
      <w:r>
        <w:rPr>
          <w:rFonts w:hint="eastAsia"/>
        </w:rPr>
        <w:t>LTC[25]令时间常数随输入门控变化，兼具表达力与稳定性证明，其闭式近似</w:t>
      </w:r>
      <w:r>
        <w:t xml:space="preserve"> </w:t>
      </w:r>
      <w:r>
        <w:rPr>
          <w:rFonts w:hint="eastAsia"/>
        </w:rPr>
        <w:t>CfC[26]进一步消除了数值积分开销；神经回路策略[22]与因果导航[24]展示了此类网络在自动驾驶中的可审计性。Zhu</w:t>
      </w:r>
      <w:r>
        <w:t xml:space="preserve"> </w:t>
      </w:r>
      <w:r>
        <w:rPr>
          <w:rFonts w:hint="eastAsia"/>
        </w:rPr>
        <w:t>等[42]的神经分段常时滞微分方程（NPCDDE）将时滞显式纳入连续时间框架，与铣削再生时滞[12-13]在结构上高度契合——这正是本文被评估模型</w:t>
      </w:r>
      <w:r>
        <w:t xml:space="preserve"> DL-LNN </w:t>
      </w:r>
      <w:r>
        <w:rPr>
          <w:rFonts w:hint="eastAsia"/>
        </w:rPr>
        <w:t>采用”LTC</w:t>
      </w:r>
      <w:r>
        <w:t xml:space="preserve"> </w:t>
      </w:r>
      <w:r>
        <w:rPr>
          <w:rFonts w:hint="eastAsia"/>
        </w:rPr>
        <w:t>主干+刀齿周期时滞嵌入”的理论依据。</w:t>
      </w:r>
    </w:p>
    <w:p>
      <w:pPr>
        <w:pStyle w:val="000021"/>
      </w:pPr>
      <w:bookmarkEnd w:id="9"/>
      <w:bookmarkStart w:id="10" w:name="深度学习在颤振与刀具状态预测中的应用及其评估现状"/>
      <w:r>
        <w:t xml:space="preserve">1.4 </w:t>
      </w:r>
      <w:r>
        <w:rPr>
          <w:rFonts w:hint="eastAsia"/>
        </w:rPr>
        <w:t>深度学习在颤振与刀具状态预测中的应用及其评估现状</w:t>
      </w:r>
    </w:p>
    <w:p>
      <w:pPr>
        <w:pStyle w:val="000011"/>
      </w:pPr>
      <w:r>
        <w:rPr>
          <w:rFonts w:hint="eastAsia"/>
        </w:rPr>
        <w:t>以</w:t>
      </w:r>
      <w:r>
        <w:t xml:space="preserve"> </w:t>
      </w:r>
      <w:r>
        <w:rPr>
          <w:rFonts w:hint="eastAsia"/>
        </w:rPr>
        <w:t>LSTM[63]、GRU、Transformer[62]为代表的序列模型被广泛用于颤振检测与刀具磨损预测[51-53]；物理信息路线亦延伸至剩余寿命预测[54]、轴承故障诊断[55]、可靠性[56]与电力系统[57]。然而，如第</w:t>
      </w:r>
      <w:r>
        <w:t xml:space="preserve"> 0.2 </w:t>
      </w:r>
      <w:r>
        <w:rPr>
          <w:rFonts w:hint="eastAsia"/>
        </w:rPr>
        <w:t>节所述，这些应用文献的评估实践与机器学习方法学社区的标准[64]存在明显落差：多种子重复、显著性检验、消融的效应量报告均属罕见。本文正是要填补这一”评估方法学”空白——这一定位与其说是与既有工作竞争，不如说是为其提供可信度基础设施。</w:t>
      </w:r>
    </w:p>
    <w:p>
      <w:r>
        <w:pict>
          <v:rect style="width:0;height:1.5pt" o:hr="t" o:hrstd="t" o:hralign="center"/>
        </w:pict>
      </w:r>
    </w:p>
    <w:p>
      <w:pPr>
        <w:pStyle w:val="00001f"/>
      </w:pPr>
      <w:bookmarkEnd w:id="10"/>
      <w:bookmarkEnd w:id="6"/>
      <w:bookmarkStart w:id="11" w:name="研究方法与实验协议"/>
      <w:r>
        <w:t xml:space="preserve">2 </w:t>
      </w:r>
      <w:r>
        <w:rPr>
          <w:rFonts w:hint="eastAsia"/>
        </w:rPr>
        <w:t>研究方法与实验协议</w:t>
      </w:r>
    </w:p>
    <w:p>
      <w:pPr>
        <w:pStyle w:val="000021"/>
      </w:pPr>
      <w:bookmarkStart w:id="12" w:name="研究设计总览"/>
      <w:r>
        <w:t xml:space="preserve">2.1 </w:t>
      </w:r>
      <w:r>
        <w:rPr>
          <w:rFonts w:hint="eastAsia"/>
        </w:rPr>
        <w:t>研究设计总览</w:t>
      </w:r>
    </w:p>
    <w:p>
      <w:pPr>
        <w:pStyle w:val="000011"/>
      </w:pPr>
      <w:r>
        <w:rPr>
          <w:rFonts w:hint="eastAsia"/>
        </w:rPr>
        <w:t>本研究采用”</w:t>
      </w:r>
      <w:r>
        <w:rPr>
          <w:rFonts w:hint="eastAsia"/>
          <w:b w:val="1"/>
          <w:bCs w:val="1"/>
        </w:rPr>
        <w:t>控制变量的公平基准</w:t>
      </w:r>
      <w:r>
        <w:rPr>
          <w:b w:val="1"/>
          <w:bCs w:val="1"/>
        </w:rPr>
        <w:t xml:space="preserve"> + </w:t>
      </w:r>
      <w:r>
        <w:rPr>
          <w:rFonts w:hint="eastAsia"/>
          <w:b w:val="1"/>
          <w:bCs w:val="1"/>
        </w:rPr>
        <w:t>评估陷阱诊断</w:t>
      </w:r>
      <w:r>
        <w:rPr>
          <w:b w:val="1"/>
          <w:bCs w:val="1"/>
        </w:rPr>
        <w:t xml:space="preserve"> + </w:t>
      </w:r>
      <w:r>
        <w:rPr>
          <w:rFonts w:hint="eastAsia"/>
          <w:b w:val="1"/>
          <w:bCs w:val="1"/>
        </w:rPr>
        <w:t>效率画像</w:t>
      </w:r>
      <w:r>
        <w:rPr>
          <w:rFonts w:hint="eastAsia"/>
        </w:rPr>
        <w:t>”三层设计：</w:t>
      </w:r>
    </w:p>
    <w:p>
      <w:pPr>
        <w:pStyle w:val="000012"/>
        <w:numPr>
          <w:ilvl w:val="0"/>
          <w:numId w:val="2"/>
        </w:numPr>
      </w:pPr>
      <w:r>
        <w:rPr>
          <w:rFonts w:hint="eastAsia"/>
          <w:b w:val="1"/>
          <w:bCs w:val="1"/>
        </w:rPr>
        <w:t>第一层（精度基准）</w:t>
      </w:r>
      <w:r>
        <w:rPr>
          <w:rFonts w:hint="eastAsia"/>
        </w:rPr>
        <w:t>：9</w:t>
      </w:r>
      <w:r>
        <w:t xml:space="preserve"> </w:t>
      </w:r>
      <w:r>
        <w:rPr>
          <w:rFonts w:hint="eastAsia"/>
        </w:rPr>
        <w:t>种模型</w:t>
      </w:r>
      <w:r>
        <w:t xml:space="preserve"> × 4 </w:t>
      </w:r>
      <w:r>
        <w:rPr>
          <w:rFonts w:hint="eastAsia"/>
        </w:rPr>
        <w:t>个数据集</w:t>
      </w:r>
      <w:r>
        <w:t xml:space="preserve"> × </w:t>
      </w:r>
      <w:r>
        <w:rPr>
          <w:rFonts w:hint="eastAsia"/>
        </w:rPr>
        <w:t>统一协议，回答”架构选择对精度的真实边际贡献”；</w:t>
      </w:r>
    </w:p>
    <w:p>
      <w:pPr>
        <w:pStyle w:val="000012"/>
        <w:numPr>
          <w:ilvl w:val="0"/>
          <w:numId w:val="2"/>
        </w:numPr>
      </w:pPr>
      <w:r>
        <w:rPr>
          <w:rFonts w:hint="eastAsia"/>
          <w:b w:val="1"/>
          <w:bCs w:val="1"/>
        </w:rPr>
        <w:t>第二层（统计与指标诊断）</w:t>
      </w:r>
      <w:r>
        <w:rPr>
          <w:rFonts w:hint="eastAsia"/>
        </w:rPr>
        <w:t>：5</w:t>
      </w:r>
      <w:r>
        <w:t xml:space="preserve"> </w:t>
      </w:r>
      <w:r>
        <w:rPr>
          <w:rFonts w:hint="eastAsia"/>
        </w:rPr>
        <w:t>种子重复</w:t>
      </w:r>
      <w:r>
        <w:t xml:space="preserve"> + Welch t </w:t>
      </w:r>
      <w:r>
        <w:rPr>
          <w:rFonts w:hint="eastAsia"/>
        </w:rPr>
        <w:t>检验</w:t>
      </w:r>
      <w:r>
        <w:t xml:space="preserve"> + R²/PCC </w:t>
      </w:r>
      <w:r>
        <w:rPr>
          <w:rFonts w:hint="eastAsia"/>
        </w:rPr>
        <w:t>联合分析，回答”报告的差异是否可信、指标是否自洽”；</w:t>
      </w:r>
    </w:p>
    <w:p>
      <w:pPr>
        <w:pStyle w:val="000012"/>
        <w:numPr>
          <w:ilvl w:val="0"/>
          <w:numId w:val="2"/>
        </w:numPr>
      </w:pPr>
      <w:r>
        <w:rPr>
          <w:rFonts w:hint="eastAsia"/>
          <w:b w:val="1"/>
          <w:bCs w:val="1"/>
        </w:rPr>
        <w:t>第三层（效率基准）</w:t>
      </w:r>
      <w:r>
        <w:rPr>
          <w:rFonts w:hint="eastAsia"/>
        </w:rPr>
        <w:t>：参数量/FLOPs/延迟分位数/吞吐，回答”在精度无差异时，什么才是工程选型依据”。</w:t>
      </w:r>
    </w:p>
    <w:p>
      <w:pPr>
        <w:pStyle w:val="000011"/>
      </w:pPr>
      <w:r>
        <w:rPr>
          <w:rFonts w:hint="eastAsia"/>
        </w:rPr>
        <w:t>全部实验产物（JSON</w:t>
      </w:r>
      <w:r>
        <w:t xml:space="preserve"> </w:t>
      </w:r>
      <w:r>
        <w:rPr>
          <w:rFonts w:hint="eastAsia"/>
        </w:rPr>
        <w:t>原始结果、图表）随本文公开，任何数字均可溯源至对应文件（见第</w:t>
      </w:r>
      <w:r>
        <w:t xml:space="preserve"> 5.3 </w:t>
      </w:r>
      <w:r>
        <w:rPr>
          <w:rFonts w:hint="eastAsia"/>
        </w:rPr>
        <w:t>节数据可用性声明）。</w:t>
      </w:r>
    </w:p>
    <w:p>
      <w:pPr>
        <w:pStyle w:val="000021"/>
      </w:pPr>
      <w:bookmarkEnd w:id="12"/>
      <w:bookmarkStart w:id="13" w:name="数据集与真实性标注"/>
      <w:r>
        <w:t xml:space="preserve">2.2 </w:t>
      </w:r>
      <w:r>
        <w:rPr>
          <w:rFonts w:hint="eastAsia"/>
        </w:rPr>
        <w:t>数据集与真实性标注</w:t>
      </w:r>
    </w:p>
    <w:p>
      <w:pPr>
        <w:pStyle w:val="000011"/>
      </w:pPr>
      <w:r>
        <w:rPr>
          <w:rFonts w:hint="eastAsia"/>
        </w:rPr>
        <w:t>本研究使用</w:t>
      </w:r>
      <w:r>
        <w:t xml:space="preserve"> 4 </w:t>
      </w:r>
      <w:r>
        <w:rPr>
          <w:rFonts w:hint="eastAsia"/>
        </w:rPr>
        <w:t>个数据集，并</w:t>
      </w:r>
      <w:r>
        <w:rPr>
          <w:rFonts w:hint="eastAsia"/>
          <w:b w:val="1"/>
          <w:bCs w:val="1"/>
        </w:rPr>
        <w:t>显式标注其来源性质</w:t>
      </w:r>
      <w:r>
        <w:rPr>
          <w:rFonts w:hint="eastAsia"/>
        </w:rPr>
        <w:t>（这是第</w:t>
      </w:r>
      <w:r>
        <w:t xml:space="preserve"> 0.2 </w:t>
      </w:r>
      <w:r>
        <w:rPr>
          <w:rFonts w:hint="eastAsia"/>
        </w:rPr>
        <w:t>节第四项陷阱的直接回应）：</w:t>
      </w:r>
    </w:p>
    <w:tbl>
      <w:tblPr>
        <w:tblStyle w:val="000032"/>
        <w:tblW w:w="5000" w:type="pct"/>
        <w:tblLayout w:type="fixed"/>
        <w:tblLook w:firstRow="1" w:lastRow="0" w:firstColumn="0" w:lastColumn="0" w:noHBand="0" w:noVBand="0" w:val="0020"/>
      </w:tblPr>
      <w:tblGrid>
        <w:gridCol w:w="2640"/>
        <w:gridCol w:w="2640"/>
        <w:gridCol w:w="2640"/>
      </w:tblGrid>
      <w:tr>
        <w:trPr>
          <w:tblHeader w:val="1"/>
        </w:trPr>
        <w:tc>
          <w:tcPr/>
          <w:p>
            <w:pPr>
              <w:pStyle w:val="000012"/>
            </w:pPr>
            <w:r>
              <w:rPr>
                <w:rFonts w:hint="eastAsia"/>
              </w:rPr>
              <w:t>数据集</w:t>
            </w:r>
          </w:p>
        </w:tc>
        <w:tc>
          <w:tcPr/>
          <w:p>
            <w:pPr>
              <w:pStyle w:val="000012"/>
            </w:pPr>
            <w:r>
              <w:rPr>
                <w:rFonts w:hint="eastAsia"/>
              </w:rPr>
              <w:t>性质</w:t>
            </w:r>
          </w:p>
        </w:tc>
        <w:tc>
          <w:tcPr/>
          <w:p>
            <w:pPr>
              <w:pStyle w:val="000012"/>
            </w:pPr>
            <w:r>
              <w:rPr>
                <w:rFonts w:hint="eastAsia"/>
              </w:rPr>
              <w:t>用途</w:t>
            </w:r>
          </w:p>
        </w:tc>
      </w:tr>
      <w:tr>
        <w:trPr/>
        <w:tc>
          <w:tcPr/>
          <w:p>
            <w:pPr>
              <w:pStyle w:val="000012"/>
            </w:pPr>
            <w:r>
              <w:t>PHM2010[59]</w:t>
            </w:r>
          </w:p>
        </w:tc>
        <w:tc>
          <w:tcPr/>
          <w:p>
            <w:pPr>
              <w:pStyle w:val="000012"/>
            </w:pPr>
            <w:r>
              <w:rPr>
                <w:rFonts w:hint="eastAsia"/>
              </w:rPr>
              <w:t>公开真实（PHM</w:t>
            </w:r>
            <w:r>
              <w:t xml:space="preserve"> Society </w:t>
            </w:r>
            <w:r>
              <w:rPr>
                <w:rFonts w:hint="eastAsia"/>
              </w:rPr>
              <w:t>竞赛数据）</w:t>
            </w:r>
          </w:p>
        </w:tc>
        <w:tc>
          <w:tcPr/>
          <w:p>
            <w:pPr>
              <w:pStyle w:val="000012"/>
            </w:pPr>
            <w:r>
              <w:rPr>
                <w:rFonts w:hint="eastAsia"/>
              </w:rPr>
              <w:t>主对比</w:t>
            </w:r>
          </w:p>
        </w:tc>
      </w:tr>
      <w:tr>
        <w:trPr/>
        <w:tc>
          <w:tcPr/>
          <w:p>
            <w:pPr>
              <w:pStyle w:val="000012"/>
            </w:pPr>
            <w:r>
              <w:t>NUAA v1.0[60]</w:t>
            </w:r>
          </w:p>
        </w:tc>
        <w:tc>
          <w:tcPr/>
          <w:p>
            <w:pPr>
              <w:pStyle w:val="000012"/>
            </w:pPr>
            <w:r>
              <w:rPr>
                <w:rFonts w:hint="eastAsia"/>
              </w:rPr>
              <w:t>公开真实（高校课题组发布）</w:t>
            </w:r>
          </w:p>
        </w:tc>
        <w:tc>
          <w:tcPr/>
          <w:p>
            <w:pPr>
              <w:pStyle w:val="000012"/>
            </w:pPr>
            <w:r>
              <w:rPr>
                <w:rFonts w:hint="eastAsia"/>
              </w:rPr>
              <w:t>主对比</w:t>
            </w:r>
          </w:p>
        </w:tc>
      </w:tr>
      <w:tr>
        <w:trPr/>
        <w:tc>
          <w:tcPr/>
          <w:p>
            <w:pPr>
              <w:pStyle w:val="000012"/>
            </w:pPr>
            <w:r>
              <w:t xml:space="preserve">NIST </w:t>
            </w:r>
            <w:r>
              <w:rPr>
                <w:rFonts w:hint="eastAsia"/>
              </w:rPr>
              <w:t>基准[61]</w:t>
            </w:r>
          </w:p>
        </w:tc>
        <w:tc>
          <w:tcPr/>
          <w:p>
            <w:pPr>
              <w:pStyle w:val="000012"/>
            </w:pPr>
            <w:r>
              <w:rPr>
                <w:rFonts w:hint="eastAsia"/>
              </w:rPr>
              <w:t>公开真实（美国国家标准与技术研究院）</w:t>
            </w:r>
          </w:p>
        </w:tc>
        <w:tc>
          <w:tcPr/>
          <w:p>
            <w:pPr>
              <w:pStyle w:val="000012"/>
            </w:pPr>
            <w:r>
              <w:rPr>
                <w:rFonts w:hint="eastAsia"/>
              </w:rPr>
              <w:t>主对比</w:t>
            </w:r>
          </w:p>
        </w:tc>
      </w:tr>
      <w:tr>
        <w:trPr/>
        <w:tc>
          <w:tcPr/>
          <w:p>
            <w:pPr>
              <w:pStyle w:val="000012"/>
            </w:pPr>
            <w:r>
              <w:rPr>
                <w:rFonts w:hint="eastAsia"/>
              </w:rPr>
              <w:t>工业</w:t>
            </w:r>
            <w:r>
              <w:t xml:space="preserve"> 6061-T6</w:t>
            </w:r>
          </w:p>
        </w:tc>
        <w:tc>
          <w:tcPr/>
          <w:p>
            <w:pPr>
              <w:pStyle w:val="000012"/>
            </w:pPr>
            <w:r>
              <w:rPr>
                <w:rFonts w:hint="eastAsia"/>
                <w:b w:val="1"/>
                <w:bCs w:val="1"/>
              </w:rPr>
              <w:t>合成</w:t>
            </w:r>
            <w:r>
              <w:rPr>
                <w:rFonts w:hint="eastAsia"/>
              </w:rPr>
              <w:t>（由</w:t>
            </w:r>
            <w:r>
              <w:t xml:space="preserve"> ZOA </w:t>
            </w:r>
            <w:r>
              <w:rPr>
                <w:rFonts w:hint="eastAsia"/>
              </w:rPr>
              <w:t>解析模型[8]按工业工况参数生成，500</w:t>
            </w:r>
            <w:r>
              <w:t xml:space="preserve"> </w:t>
            </w:r>
            <w:r>
              <w:rPr>
                <w:rFonts w:hint="eastAsia"/>
              </w:rPr>
              <w:t>样本）</w:t>
            </w:r>
          </w:p>
        </w:tc>
        <w:tc>
          <w:tcPr/>
          <w:p>
            <w:pPr>
              <w:pStyle w:val="000012"/>
            </w:pPr>
            <w:r>
              <w:rPr>
                <w:rFonts w:hint="eastAsia"/>
              </w:rPr>
              <w:t>显著性检验、效率测试</w:t>
            </w:r>
          </w:p>
        </w:tc>
      </w:tr>
    </w:tbl>
    <w:p>
      <w:pPr>
        <w:pStyle w:val="00000f"/>
      </w:pPr>
      <w:r>
        <w:rPr>
          <w:rFonts w:hint="eastAsia"/>
        </w:rPr>
        <w:t>需要特别说明：6061-T6</w:t>
      </w:r>
      <w:r>
        <w:t xml:space="preserve"> </w:t>
      </w:r>
      <w:r>
        <w:rPr>
          <w:rFonts w:hint="eastAsia"/>
        </w:rPr>
        <w:t>数据集由</w:t>
      </w:r>
      <w:r>
        <w:t xml:space="preserve"> Tlusty </w:t>
      </w:r>
      <w:r>
        <w:rPr>
          <w:rFonts w:hint="eastAsia"/>
        </w:rPr>
        <w:t>型解析模型生成，用于统计检验与效率测试时不影响结论效度（检验的是模型间相对差异与计算开销），但</w:t>
      </w:r>
      <w:r>
        <w:rPr>
          <w:rFonts w:hint="eastAsia"/>
          <w:b w:val="1"/>
          <w:bCs w:val="1"/>
        </w:rPr>
        <w:t>不能</w:t>
      </w:r>
      <w:r>
        <w:rPr>
          <w:rFonts w:hint="eastAsia"/>
        </w:rPr>
        <w:t>用于宣称”模型学到了超越解析模型的物理”——那将构成循环论证。既有文献中合成数据不加标注混入”实测数据”的做法，是本文明确反对的。</w:t>
      </w:r>
    </w:p>
    <w:p>
      <w:pPr>
        <w:pStyle w:val="000021"/>
      </w:pPr>
      <w:bookmarkEnd w:id="13"/>
      <w:bookmarkStart w:id="14" w:name="统一训练协议"/>
      <w:r>
        <w:t xml:space="preserve">2.3 </w:t>
      </w:r>
      <w:r>
        <w:rPr>
          <w:rFonts w:hint="eastAsia"/>
        </w:rPr>
        <w:t>统一训练协议</w:t>
      </w:r>
    </w:p>
    <w:p>
      <w:pPr>
        <w:pStyle w:val="000011"/>
      </w:pPr>
      <w:r>
        <w:rPr>
          <w:rFonts w:hint="eastAsia"/>
        </w:rPr>
        <w:t>为排除实现差异的干扰，所有模型遵循同一协议：</w:t>
      </w:r>
    </w:p>
    <w:p>
      <w:pPr>
        <w:pStyle w:val="000012"/>
        <w:numPr>
          <w:ilvl w:val="0"/>
          <w:numId w:val="3"/>
        </w:numPr>
      </w:pPr>
      <w:r>
        <w:rPr>
          <w:rFonts w:hint="eastAsia"/>
          <w:b w:val="1"/>
          <w:bCs w:val="1"/>
        </w:rPr>
        <w:t>数据划分</w:t>
      </w:r>
      <w:r>
        <w:rPr>
          <w:rFonts w:hint="eastAsia"/>
        </w:rPr>
        <w:t>：同一随机划分（训练/验证/测试），所有模型共享；</w:t>
      </w:r>
    </w:p>
    <w:p>
      <w:pPr>
        <w:pStyle w:val="000012"/>
        <w:numPr>
          <w:ilvl w:val="0"/>
          <w:numId w:val="3"/>
        </w:numPr>
      </w:pPr>
      <w:r>
        <w:rPr>
          <w:rFonts w:hint="eastAsia"/>
          <w:b w:val="1"/>
          <w:bCs w:val="1"/>
        </w:rPr>
        <w:t>训练预算</w:t>
      </w:r>
      <w:r>
        <w:rPr>
          <w:rFonts w:hint="eastAsia"/>
        </w:rPr>
        <w:t>：统一轮数与早停准则；优化器</w:t>
      </w:r>
      <w:r>
        <w:t xml:space="preserve"> </w:t>
      </w:r>
      <w:r>
        <w:rPr>
          <w:rFonts w:hint="eastAsia"/>
        </w:rPr>
        <w:t>Adam；</w:t>
      </w:r>
    </w:p>
    <w:p>
      <w:pPr>
        <w:pStyle w:val="000012"/>
        <w:numPr>
          <w:ilvl w:val="0"/>
          <w:numId w:val="3"/>
        </w:numPr>
      </w:pPr>
      <w:r>
        <w:rPr>
          <w:rFonts w:hint="eastAsia"/>
          <w:b w:val="1"/>
          <w:bCs w:val="1"/>
        </w:rPr>
        <w:t>超参数</w:t>
      </w:r>
      <w:r>
        <w:rPr>
          <w:rFonts w:hint="eastAsia"/>
        </w:rPr>
        <w:t>：对被评估主模型执行</w:t>
      </w:r>
      <w:r>
        <w:t xml:space="preserve"> 4 </w:t>
      </w:r>
      <w:r>
        <w:rPr>
          <w:rFonts w:hint="eastAsia"/>
        </w:rPr>
        <w:t>维网格扫描（隐层维度</w:t>
      </w:r>
      <w:r>
        <w:t xml:space="preserve"> </w:t>
      </w:r>
      <w:r>
        <w:rPr>
          <w:rFonts w:hint="eastAsia"/>
        </w:rPr>
        <w:t>{32,64,128,256}、学习率</w:t>
      </w:r>
      <w:r>
        <w:t xml:space="preserve"> </w:t>
      </w:r>
      <w:r>
        <w:rPr>
          <w:rFonts w:hint="eastAsia"/>
        </w:rPr>
        <w:t>{1e-4,5e-4,1e-3,5e-3}、积分步长</w:t>
      </w:r>
      <w:r>
        <w:rPr>
          <w:rFonts w:hint="eastAsia"/>
        </w:rPr>
        <w:t xml:space="preserve"> dt {0.01,0.05,0.1,0.2}、dropout </w:t>
      </w:r>
      <w:r>
        <w:rPr>
          <w:rFonts w:hint="eastAsia"/>
        </w:rPr>
        <w:t>{0,0.1,0.2,0.3}），最优配置为</w:t>
      </w:r>
      <w:r>
        <w:t xml:space="preserve"> </w:t>
      </w:r>
      <w:r>
        <w:rPr>
          <w:rFonts w:hint="eastAsia"/>
        </w:rPr>
        <w:t>hidden=64、lr=5e-4、dt=0.01、dropout=0.1（该扫描完整结果见</w:t>
      </w:r>
      <w:r>
        <w:t xml:space="preserve"> </w:t>
      </w:r>
      <w:r>
        <w:rPr>
          <w:rStyle w:val="00003b"/>
        </w:rPr>
        <w:t>hyperparameter_sensitivity_results.json</w:t>
      </w:r>
      <w:r>
        <w:rPr>
          <w:rFonts w:hint="eastAsia"/>
        </w:rPr>
        <w:t>）；基线采用其文献推荐配置并做同预算微调；</w:t>
      </w:r>
    </w:p>
    <w:p>
      <w:pPr>
        <w:pStyle w:val="000012"/>
        <w:numPr>
          <w:ilvl w:val="0"/>
          <w:numId w:val="3"/>
        </w:numPr>
      </w:pPr>
      <w:r>
        <w:rPr>
          <w:rFonts w:hint="eastAsia"/>
          <w:b w:val="1"/>
          <w:bCs w:val="1"/>
        </w:rPr>
        <w:t>随机性控制</w:t>
      </w:r>
      <w:r>
        <w:rPr>
          <w:rFonts w:hint="eastAsia"/>
        </w:rPr>
        <w:t>：显著性实验固定种子</w:t>
      </w:r>
      <w:r>
        <w:t xml:space="preserve"> 42~46 </w:t>
      </w:r>
      <w:r>
        <w:rPr>
          <w:rFonts w:hint="eastAsia"/>
        </w:rPr>
        <w:t>共</w:t>
      </w:r>
      <w:r>
        <w:t xml:space="preserve"> 5 </w:t>
      </w:r>
      <w:r>
        <w:rPr>
          <w:rFonts w:hint="eastAsia"/>
        </w:rPr>
        <w:t>次独立训练。</w:t>
      </w:r>
    </w:p>
    <w:p>
      <w:pPr>
        <w:pStyle w:val="000021"/>
      </w:pPr>
      <w:bookmarkEnd w:id="14"/>
      <w:bookmarkStart w:id="15" w:name="统计检验方法"/>
      <w:r>
        <w:t xml:space="preserve">2.4 </w:t>
      </w:r>
      <w:r>
        <w:rPr>
          <w:rFonts w:hint="eastAsia"/>
        </w:rPr>
        <w:t>统计检验方法</w:t>
      </w:r>
    </w:p>
    <w:p>
      <w:pPr>
        <w:pStyle w:val="000011"/>
      </w:pPr>
      <w:r>
        <w:rPr>
          <w:rFonts w:hint="eastAsia"/>
        </w:rPr>
        <w:t>对每对”主模型</w:t>
      </w:r>
      <w:r>
        <w:t xml:space="preserve"> vs </w:t>
      </w:r>
      <w:r>
        <w:rPr>
          <w:rFonts w:hint="eastAsia"/>
        </w:rPr>
        <w:t>基线”，以</w:t>
      </w:r>
      <w:r>
        <w:t xml:space="preserve"> 5 </w:t>
      </w:r>
      <w:r>
        <w:rPr>
          <w:rFonts w:hint="eastAsia"/>
        </w:rPr>
        <w:t>次独立训练的逐种子指标为样本，执行</w:t>
      </w:r>
      <w:r>
        <w:t xml:space="preserve"> </w:t>
      </w:r>
      <w:r>
        <w:rPr>
          <w:b w:val="1"/>
          <w:bCs w:val="1"/>
        </w:rPr>
        <w:t xml:space="preserve">Welch </w:t>
      </w:r>
      <w:r>
        <w:rPr>
          <w:rFonts w:hint="eastAsia"/>
          <w:b w:val="1"/>
          <w:bCs w:val="1"/>
        </w:rPr>
        <w:t>不等方差</w:t>
      </w:r>
      <w:r>
        <w:rPr>
          <w:b w:val="1"/>
          <w:bCs w:val="1"/>
        </w:rPr>
        <w:t xml:space="preserve"> t </w:t>
      </w:r>
      <w:r>
        <w:rPr>
          <w:rFonts w:hint="eastAsia"/>
          <w:b w:val="1"/>
          <w:bCs w:val="1"/>
        </w:rPr>
        <w:t>检验</w:t>
      </w:r>
      <w:r>
        <w:rPr>
          <w:rFonts w:hint="eastAsia"/>
        </w:rPr>
        <w:t>[69]——它是经典</w:t>
      </w:r>
      <w:r>
        <w:t xml:space="preserve"> Student t </w:t>
      </w:r>
      <w:r>
        <w:rPr>
          <w:rFonts w:hint="eastAsia"/>
        </w:rPr>
        <w:t>检验[70]在方差非齐性条件下的推广，对小样本更稳健——显著性水平</w:t>
      </w:r>
      <w:r>
        <w:t xml:space="preserve"> </w:t>
      </w:r>
      <w:r>
        <w:rPr>
          <w:rFonts w:hint="eastAsia"/>
        </w:rPr>
        <w:t>α=0.05[73]。鉴于</w:t>
      </w:r>
      <w:r>
        <w:t xml:space="preserve"> 5 </w:t>
      </w:r>
      <w:r>
        <w:rPr>
          <w:rFonts w:hint="eastAsia"/>
        </w:rPr>
        <w:t>种子样本量偏小，本文同时报告均值±标准差以供读者独立判断，并明确承认小样本对检验功效的限制（第</w:t>
      </w:r>
      <w:r>
        <w:t xml:space="preserve"> 5.2 </w:t>
      </w:r>
      <w:r>
        <w:rPr>
          <w:rFonts w:hint="eastAsia"/>
        </w:rPr>
        <w:t>节）。区间估计方法上，Bootstrap</w:t>
      </w:r>
      <w:r>
        <w:t xml:space="preserve"> </w:t>
      </w:r>
      <w:r>
        <w:rPr>
          <w:rFonts w:hint="eastAsia"/>
        </w:rPr>
        <w:t>重采样[74]是小样本场景的可行补充；若比较扩展至多模型-多数据集全阵列，则应进一步采用</w:t>
      </w:r>
      <w:r>
        <w:t xml:space="preserve"> </w:t>
      </w:r>
      <w:r>
        <w:rPr>
          <w:rFonts w:hint="eastAsia"/>
        </w:rPr>
        <w:t>Demšar[72]的非参数多重比较框架或</w:t>
      </w:r>
      <w:r>
        <w:t xml:space="preserve"> Benavoli </w:t>
      </w:r>
      <w:r>
        <w:rPr>
          <w:rFonts w:hint="eastAsia"/>
        </w:rPr>
        <w:t>等[71]的贝叶斯比较方法以控制多重检验错误率。</w:t>
      </w:r>
    </w:p>
    <w:p>
      <w:pPr>
        <w:pStyle w:val="00000f"/>
      </w:pPr>
      <w:r>
        <w:rPr>
          <w:rFonts w:hint="eastAsia"/>
          <w:b w:val="1"/>
          <w:bCs w:val="1"/>
        </w:rPr>
        <w:t>实现环境</w:t>
      </w:r>
      <w:r>
        <w:rPr>
          <w:rFonts w:hint="eastAsia"/>
        </w:rPr>
        <w:t>：全部模型基于</w:t>
      </w:r>
      <w:r>
        <w:t xml:space="preserve"> </w:t>
      </w:r>
      <w:r>
        <w:rPr>
          <w:rFonts w:hint="eastAsia"/>
        </w:rPr>
        <w:t>PyTorch[66]实现，数值处理采用</w:t>
      </w:r>
      <w:r>
        <w:t xml:space="preserve"> </w:t>
      </w:r>
      <w:r>
        <w:rPr>
          <w:rFonts w:hint="eastAsia"/>
        </w:rPr>
        <w:t>NumPy[67]，统计检验调用</w:t>
      </w:r>
      <w:r>
        <w:t xml:space="preserve"> </w:t>
      </w:r>
      <w:r>
        <w:rPr>
          <w:rFonts w:hint="eastAsia"/>
        </w:rPr>
        <w:t>SciPy[68]，探索性分析在</w:t>
      </w:r>
      <w:r>
        <w:t xml:space="preserve"> IPython </w:t>
      </w:r>
      <w:r>
        <w:rPr>
          <w:rFonts w:hint="eastAsia"/>
        </w:rPr>
        <w:t>环境[65]中完成。</w:t>
      </w:r>
    </w:p>
    <w:p>
      <w:pPr>
        <w:pStyle w:val="000021"/>
      </w:pPr>
      <w:bookmarkEnd w:id="15"/>
      <w:bookmarkStart w:id="16" w:name="指标体系与一致性核查"/>
      <w:r>
        <w:t xml:space="preserve">2.5 </w:t>
      </w:r>
      <w:r>
        <w:rPr>
          <w:rFonts w:hint="eastAsia"/>
        </w:rPr>
        <w:t>指标体系与一致性核查</w:t>
      </w:r>
    </w:p>
    <w:p>
      <w:pPr>
        <w:pStyle w:val="000011"/>
      </w:pPr>
      <w:r>
        <w:rPr>
          <w:rFonts w:hint="eastAsia"/>
        </w:rPr>
        <w:t>同时报告</w:t>
      </w:r>
      <w:r>
        <w:rPr>
          <w:rFonts w:hint="eastAsia"/>
        </w:rPr>
        <w:t xml:space="preserve"> MAE、RMSE、R²、MAPE、PCC </w:t>
      </w:r>
      <w:r>
        <w:rPr>
          <w:rFonts w:hint="eastAsia"/>
        </w:rPr>
        <w:t>五项指标，并执行</w:t>
      </w:r>
      <w:r>
        <w:rPr>
          <w:rFonts w:hint="eastAsia"/>
          <w:b w:val="1"/>
          <w:bCs w:val="1"/>
        </w:rPr>
        <w:t>指标一致性核查</w:t>
      </w:r>
      <w:r>
        <w:rPr>
          <w:rFonts w:hint="eastAsia"/>
        </w:rPr>
        <w:t>：依据恒等式</w:t>
      </w:r>
    </w:p>
    <w:p>
      <w:pPr>
        <w:pStyle w:val="00000f"/>
      </w:pPr>
      <m:oMath>
        <m:sSup>
          <m:sSupPr/>
          <m:e>
            <m:r>
              <m:rPr/>
              <w:rPr/>
              <m:t>R</m:t>
            </m:r>
          </m:e>
          <m:sup>
            <m:r>
              <m:rPr/>
              <w:rPr/>
              <m:t>2</m:t>
            </m:r>
          </m:sup>
        </m:sSup>
        <m:r>
          <m:rPr>
            <m:sty m:val="p"/>
          </m:rPr>
          <w:rPr/>
          <m:t>=</m:t>
        </m:r>
        <m:r>
          <m:rPr/>
          <w:rPr/>
          <m:t>1</m:t>
        </m:r>
        <m:r>
          <m:rPr>
            <m:sty m:val="p"/>
          </m:rPr>
          <w:rPr/>
          <m:t>−</m:t>
        </m:r>
        <m:f>
          <m:fPr>
            <m:type m:val="bar"/>
          </m:fPr>
          <m:num>
            <m:nary>
              <m:naryPr>
                <m:chr m:val="∑"/>
                <m:limLoc m:val="undOvr"/>
                <m:subHide m:val="0"/>
                <m:supHide m:val="1"/>
              </m:naryPr>
              <m:sub>
                <m:r>
                  <m:rPr/>
                  <w:rPr/>
                  <m:t>i</m:t>
                </m:r>
              </m:sub>
              <m:sup>
                <m:r>
                  <m:rPr/>
                  <w:rPr/>
                  <m:t>​</m:t>
                </m:r>
              </m:sup>
              <m:e>
                <m:r>
                  <m:rPr>
                    <m:sty m:val="p"/>
                  </m:rPr>
                  <w:rPr/>
                  <m:t>(</m:t>
                </m:r>
              </m:e>
            </m:nary>
            <m:sSub>
              <m:sSubPr/>
              <m:e>
                <m:r>
                  <m:rPr/>
                  <w:rPr/>
                  <m:t>y</m:t>
                </m:r>
              </m:e>
              <m:sub>
                <m:r>
                  <m:rPr/>
                  <w:rPr/>
                  <m:t>i</m:t>
                </m:r>
              </m:sub>
            </m:sSub>
            <m:r>
              <m:rPr>
                <m:sty m:val="p"/>
              </m:rPr>
              <w:rPr/>
              <m:t>−</m:t>
            </m:r>
            <m:sSub>
              <m:sSubPr/>
              <m:e>
                <m:acc>
                  <m:accPr>
                    <m:chr m:val="̂"/>
                  </m:accPr>
                  <m:e>
                    <m:r>
                      <m:rPr/>
                      <w:rPr/>
                      <m:t>y</m:t>
                    </m:r>
                  </m:e>
                </m:acc>
              </m:e>
              <m:sub>
                <m:r>
                  <m:rPr/>
                  <w:rPr/>
                  <m:t>i</m:t>
                </m:r>
              </m:sub>
            </m:sSub>
            <m:sSup>
              <m:sSupPr/>
              <m:e>
                <m:r>
                  <m:rPr>
                    <m:sty m:val="p"/>
                  </m:rPr>
                  <w:rPr/>
                  <m:t>)</m:t>
                </m:r>
              </m:e>
              <m:sup>
                <m:r>
                  <m:rPr/>
                  <w:rPr/>
                  <m:t>2</m:t>
                </m:r>
              </m:sup>
            </m:sSup>
          </m:num>
          <m:den>
            <m:nary>
              <m:naryPr>
                <m:chr m:val="∑"/>
                <m:limLoc m:val="undOvr"/>
                <m:subHide m:val="0"/>
                <m:supHide m:val="1"/>
              </m:naryPr>
              <m:sub>
                <m:r>
                  <m:rPr/>
                  <w:rPr/>
                  <m:t>i</m:t>
                </m:r>
              </m:sub>
              <m:sup>
                <m:r>
                  <m:rPr/>
                  <w:rPr/>
                  <m:t>​</m:t>
                </m:r>
              </m:sup>
              <m:e>
                <m:r>
                  <m:rPr>
                    <m:sty m:val="p"/>
                  </m:rPr>
                  <w:rPr/>
                  <m:t>(</m:t>
                </m:r>
              </m:e>
            </m:nary>
            <m:sSub>
              <m:sSubPr/>
              <m:e>
                <m:r>
                  <m:rPr/>
                  <w:rPr/>
                  <m:t>y</m:t>
                </m:r>
              </m:e>
              <m:sub>
                <m:r>
                  <m:rPr/>
                  <w:rPr/>
                  <m:t>i</m:t>
                </m:r>
              </m:sub>
            </m:sSub>
            <m:r>
              <m:rPr>
                <m:sty m:val="p"/>
              </m:rPr>
              <w:rPr/>
              <m:t>−</m:t>
            </m:r>
            <m:acc>
              <m:accPr>
                <m:chr m:val="‾"/>
              </m:accPr>
              <m:e>
                <m:r>
                  <m:rPr/>
                  <w:rPr/>
                  <m:t>y</m:t>
                </m:r>
              </m:e>
            </m:acc>
            <m:sSup>
              <m:sSupPr/>
              <m:e>
                <m:r>
                  <m:rPr>
                    <m:sty m:val="p"/>
                  </m:rPr>
                  <w:rPr/>
                  <m:t>)</m:t>
                </m:r>
              </m:e>
              <m:sup>
                <m:r>
                  <m:rPr/>
                  <w:rPr/>
                  <m:t>2</m:t>
                </m:r>
              </m:sup>
            </m:sSup>
          </m:den>
        </m:f>
        <m:r>
          <m:rPr>
            <m:sty m:val="p"/>
          </m:rPr>
          <w:rPr/>
          <m:t>,</m:t>
        </m:r>
        <m:r>
          <m:rPr/>
          <w:rPr/>
          <m:t>  </m:t>
        </m:r>
        <m:r>
          <m:rPr>
            <m:sty m:val="p"/>
          </m:rPr>
          <w:rPr/>
          <m:t>PCC=</m:t>
        </m:r>
        <m:f>
          <m:fPr>
            <m:type m:val="bar"/>
          </m:fPr>
          <m:num>
            <m:r>
              <m:rPr>
                <m:sty m:val="p"/>
              </m:rPr>
              <w:rPr/>
              <m:t>cov(</m:t>
            </m:r>
            <m:r>
              <m:rPr/>
              <w:rPr/>
              <m:t>y</m:t>
            </m:r>
            <m:r>
              <m:rPr>
                <m:sty m:val="p"/>
              </m:rPr>
              <w:rPr/>
              <m:t>,</m:t>
            </m:r>
            <m:acc>
              <m:accPr>
                <m:chr m:val="̂"/>
              </m:accPr>
              <m:e>
                <m:r>
                  <m:rPr/>
                  <w:rPr/>
                  <m:t>y</m:t>
                </m:r>
              </m:e>
            </m:acc>
            <m:r>
              <m:rPr>
                <m:sty m:val="p"/>
              </m:rPr>
              <w:rPr/>
              <m:t>)</m:t>
            </m:r>
          </m:num>
          <m:den>
            <m:sSub>
              <m:sSubPr/>
              <m:e>
                <m:r>
                  <m:rPr/>
                  <w:rPr/>
                  <m:t>σ</m:t>
                </m:r>
              </m:e>
              <m:sub>
                <m:r>
                  <m:rPr/>
                  <w:rPr/>
                  <m:t>y</m:t>
                </m:r>
              </m:sub>
            </m:sSub>
            <m:r>
              <m:rPr/>
              <w:rPr/>
              <m:t> </m:t>
            </m:r>
            <m:sSub>
              <m:sSubPr/>
              <m:e>
                <m:r>
                  <m:rPr/>
                  <w:rPr/>
                  <m:t>σ</m:t>
                </m:r>
              </m:e>
              <m:sub>
                <m:acc>
                  <m:accPr>
                    <m:chr m:val="̂"/>
                  </m:accPr>
                  <m:e>
                    <m:r>
                      <m:rPr/>
                      <w:rPr/>
                      <m:t>y</m:t>
                    </m:r>
                  </m:e>
                </m:acc>
              </m:sub>
            </m:sSub>
          </m:den>
        </m:f>
        <m:r>
          <m:rPr>
            <m:sty m:val="p"/>
          </m:rPr>
          <w:rPr/>
          <m:t>,</m:t>
        </m:r>
      </m:oMath>
    </w:p>
    <w:p>
      <w:pPr>
        <w:pStyle w:val="000011"/>
      </w:pPr>
      <w:r>
        <w:rPr>
          <w:rFonts w:hint="eastAsia"/>
        </w:rPr>
        <w:t>若出现</w:t>
      </w:r>
      <w:r>
        <w:t xml:space="preserve"> PCC </w:t>
      </w:r>
      <w:r>
        <w:rPr>
          <w:rFonts w:hint="eastAsia"/>
        </w:rPr>
        <w:t>接近</w:t>
      </w:r>
      <w:r>
        <w:t xml:space="preserve"> 1 </w:t>
      </w:r>
      <w:r>
        <w:rPr>
          <w:rFonts w:hint="eastAsia"/>
        </w:rPr>
        <w:t>而</w:t>
      </w:r>
      <w:r>
        <w:t xml:space="preserve"> R² ≤ </w:t>
      </w:r>
      <w:r>
        <w:rPr>
          <w:rFonts w:hint="eastAsia"/>
        </w:rPr>
        <w:t>0，则依据分解式</w:t>
      </w:r>
      <w:r>
        <w:t xml:space="preserve"> </w:t>
      </w:r>
      <m:oMath>
        <m:sSup>
          <m:sSupPr/>
          <m:e>
            <m:r>
              <m:rPr/>
              <w:rPr/>
              <m:t>R</m:t>
            </m:r>
          </m:e>
          <m:sup>
            <m:r>
              <m:rPr/>
              <w:rPr/>
              <m:t>2</m:t>
            </m:r>
          </m:sup>
        </m:sSup>
        <m:r>
          <m:rPr>
            <m:sty m:val="p"/>
          </m:rPr>
          <w:rPr/>
          <m:t>=</m:t>
        </m:r>
        <m:r>
          <m:rPr/>
          <w:rPr/>
          <m:t>2α </m:t>
        </m:r>
        <m:r>
          <m:rPr>
            <m:sty m:val="p"/>
          </m:rPr>
          <w:rPr/>
          <m:t>PCC⋅</m:t>
        </m:r>
        <m:f>
          <m:fPr>
            <m:type m:val="bar"/>
          </m:fPr>
          <m:num>
            <m:sSub>
              <m:sSubPr/>
              <m:e>
                <m:r>
                  <m:rPr/>
                  <w:rPr/>
                  <m:t>σ</m:t>
                </m:r>
              </m:e>
              <m:sub>
                <m:acc>
                  <m:accPr>
                    <m:chr m:val="̂"/>
                  </m:accPr>
                  <m:e>
                    <m:r>
                      <m:rPr/>
                      <w:rPr/>
                      <m:t>y</m:t>
                    </m:r>
                  </m:e>
                </m:acc>
              </m:sub>
            </m:sSub>
          </m:num>
          <m:den>
            <m:sSub>
              <m:sSubPr/>
              <m:e>
                <m:r>
                  <m:rPr/>
                  <w:rPr/>
                  <m:t>σ</m:t>
                </m:r>
              </m:e>
              <m:sub>
                <m:r>
                  <m:rPr/>
                  <w:rPr/>
                  <m:t>y</m:t>
                </m:r>
              </m:sub>
            </m:sSub>
          </m:den>
        </m:f>
        <m:r>
          <m:rPr>
            <m:sty m:val="p"/>
          </m:rPr>
          <w:rPr/>
          <m:t>−</m:t>
        </m:r>
        <m:sSup>
          <m:sSupPr/>
          <m:e>
            <m:r>
              <m:rPr/>
              <w:rPr/>
              <m:t>α</m:t>
            </m:r>
          </m:e>
          <m:sup>
            <m:r>
              <m:rPr/>
              <w:rPr/>
              <m:t>2</m:t>
            </m:r>
          </m:sup>
        </m:sSup>
        <m:f>
          <m:fPr>
            <m:type m:val="bar"/>
          </m:fPr>
          <m:num>
            <m:sSubSup>
              <m:sSubSupPr/>
              <m:e>
                <m:acc>
                  <m:accPr>
                    <m:chr m:val="̂"/>
                  </m:accPr>
                  <m:e>
                    <m:r>
                      <m:rPr/>
                      <w:rPr/>
                      <m:t>y</m:t>
                    </m:r>
                  </m:e>
                </m:acc>
              </m:e>
              <m:sub>
                <m:r>
                  <m:rPr/>
                  <w:rPr/>
                  <m:t>2</m:t>
                </m:r>
              </m:sub>
              <m:sup>
                <m:r>
                  <m:rPr/>
                  <w:rPr/>
                  <m:t>σ</m:t>
                </m:r>
              </m:sup>
            </m:sSubSup>
          </m:num>
          <m:den>
            <m:sSubSup>
              <m:sSubSupPr/>
              <m:e>
                <m:r>
                  <m:rPr/>
                  <w:rPr/>
                  <m:t>y</m:t>
                </m:r>
              </m:e>
              <m:sub>
                <m:r>
                  <m:rPr/>
                  <w:rPr/>
                  <m:t>2</m:t>
                </m:r>
              </m:sub>
              <m:sup>
                <m:r>
                  <m:rPr/>
                  <w:rPr/>
                  <m:t>σ</m:t>
                </m:r>
              </m:sup>
            </m:sSubSup>
          </m:den>
        </m:f>
        <m:r>
          <m:rPr>
            <m:sty m:val="p"/>
          </m:rPr>
          <w:rPr/>
          <m:t>−</m:t>
        </m:r>
        <m:f>
          <m:fPr>
            <m:type m:val="bar"/>
          </m:fPr>
          <m:num>
            <m:r>
              <m:rPr>
                <m:sty m:val="p"/>
              </m:rPr>
              <w:rPr/>
              <m:t>(</m:t>
            </m:r>
            <m:acc>
              <m:accPr>
                <m:chr m:val="‾"/>
              </m:accPr>
              <m:e>
                <m:acc>
                  <m:accPr>
                    <m:chr m:val="̂"/>
                  </m:accPr>
                  <m:e>
                    <m:r>
                      <m:rPr/>
                      <w:rPr/>
                      <m:t>y</m:t>
                    </m:r>
                  </m:e>
                </m:acc>
              </m:e>
            </m:acc>
            <m:r>
              <m:rPr>
                <m:sty m:val="p"/>
              </m:rPr>
              <w:rPr/>
              <m:t>−</m:t>
            </m:r>
            <m:acc>
              <m:accPr>
                <m:chr m:val="‾"/>
              </m:accPr>
              <m:e>
                <m:r>
                  <m:rPr/>
                  <w:rPr/>
                  <m:t>y</m:t>
                </m:r>
              </m:e>
            </m:acc>
            <m:sSup>
              <m:sSupPr/>
              <m:e>
                <m:r>
                  <m:rPr>
                    <m:sty m:val="p"/>
                  </m:rPr>
                  <w:rPr/>
                  <m:t>)</m:t>
                </m:r>
              </m:e>
              <m:sup>
                <m:r>
                  <m:rPr/>
                  <w:rPr/>
                  <m:t>2</m:t>
                </m:r>
              </m:sup>
            </m:sSup>
          </m:num>
          <m:den>
            <m:sSubSup>
              <m:sSubSupPr/>
              <m:e>
                <m:r>
                  <m:rPr/>
                  <w:rPr/>
                  <m:t>y</m:t>
                </m:r>
              </m:e>
              <m:sub>
                <m:r>
                  <m:rPr/>
                  <w:rPr/>
                  <m:t>2</m:t>
                </m:r>
              </m:sub>
              <m:sup>
                <m:r>
                  <m:rPr/>
                  <w:rPr/>
                  <m:t>σ</m:t>
                </m:r>
              </m:sup>
            </m:sSubSup>
          </m:den>
        </m:f>
      </m:oMath>
      <w:r>
        <w:rPr>
          <w:rFonts w:hint="eastAsia"/>
        </w:rPr>
        <w:t>（α</w:t>
      </w:r>
      <w:r>
        <w:t xml:space="preserve"> </w:t>
      </w:r>
      <w:r>
        <w:rPr>
          <w:rFonts w:hint="eastAsia"/>
        </w:rPr>
        <w:t>为回归标定系数）判定存在均值偏移项或方差失配项主导，即预测</w:t>
      </w:r>
      <w:r>
        <w:rPr>
          <w:rFonts w:hint="eastAsia"/>
          <w:b w:val="1"/>
          <w:bCs w:val="1"/>
        </w:rPr>
        <w:t>未经校准</w:t>
      </w:r>
      <w:r>
        <w:rPr>
          <w:rFonts w:hint="eastAsia"/>
        </w:rPr>
        <w:t>。该核查在本研究中发挥了关键作用（第</w:t>
      </w:r>
      <w:r>
        <w:t xml:space="preserve"> 4.3 </w:t>
      </w:r>
      <w:r>
        <w:rPr>
          <w:rFonts w:hint="eastAsia"/>
        </w:rPr>
        <w:t>节）。</w:t>
      </w:r>
    </w:p>
    <w:p>
      <w:pPr>
        <w:pStyle w:val="000021"/>
      </w:pPr>
      <w:bookmarkEnd w:id="16"/>
      <w:bookmarkStart w:id="17" w:name="效率测量协议"/>
      <w:r>
        <w:t xml:space="preserve">2.6 </w:t>
      </w:r>
      <w:r>
        <w:rPr>
          <w:rFonts w:hint="eastAsia"/>
        </w:rPr>
        <w:t>效率测量协议</w:t>
      </w:r>
    </w:p>
    <w:p>
      <w:pPr>
        <w:pStyle w:val="000011"/>
      </w:pPr>
      <w:r>
        <w:rPr>
          <w:rFonts w:hint="eastAsia"/>
        </w:rPr>
        <w:t>在同一</w:t>
      </w:r>
      <w:r>
        <w:t xml:space="preserve"> CUDA </w:t>
      </w:r>
      <w:r>
        <w:rPr>
          <w:rFonts w:hint="eastAsia"/>
        </w:rPr>
        <w:t>设备上：参数量与</w:t>
      </w:r>
      <w:r>
        <w:t xml:space="preserve"> FLOPs </w:t>
      </w:r>
      <w:r>
        <w:rPr>
          <w:rFonts w:hint="eastAsia"/>
        </w:rPr>
        <w:t>静态统计；训练时间取</w:t>
      </w:r>
      <w:r>
        <w:t xml:space="preserve"> 10 </w:t>
      </w:r>
      <w:r>
        <w:rPr>
          <w:rFonts w:hint="eastAsia"/>
        </w:rPr>
        <w:t>轮均值；推理延迟以</w:t>
      </w:r>
      <w:r>
        <w:t xml:space="preserve"> 500 </w:t>
      </w:r>
      <w:r>
        <w:rPr>
          <w:rFonts w:hint="eastAsia"/>
        </w:rPr>
        <w:t>次独立单样本前向的均值、标准差及</w:t>
      </w:r>
      <w:r>
        <w:t xml:space="preserve"> P50/P95/P99 </w:t>
      </w:r>
      <w:r>
        <w:rPr>
          <w:rFonts w:hint="eastAsia"/>
        </w:rPr>
        <w:t>分位数报告；吞吐量在批大小</w:t>
      </w:r>
      <w:r>
        <w:t xml:space="preserve"> {1,8,16,32,64,128} </w:t>
      </w:r>
      <w:r>
        <w:rPr>
          <w:rFonts w:hint="eastAsia"/>
        </w:rPr>
        <w:t>下各</w:t>
      </w:r>
      <w:r>
        <w:t xml:space="preserve"> 100 </w:t>
      </w:r>
      <w:r>
        <w:rPr>
          <w:rFonts w:hint="eastAsia"/>
        </w:rPr>
        <w:t>批次测量。分位数（尤其</w:t>
      </w:r>
      <w:r>
        <w:t xml:space="preserve"> </w:t>
      </w:r>
      <w:r>
        <w:rPr>
          <w:rFonts w:hint="eastAsia"/>
        </w:rPr>
        <w:t>P99）之所以必要，是因为颤振在线监测属软实时系统，尾部延迟决定最坏情形可用性[16]。</w:t>
      </w:r>
    </w:p>
    <w:p>
      <w:r>
        <w:pict>
          <v:rect style="width:0;height:1.5pt" o:hr="t" o:hrstd="t" o:hralign="center"/>
        </w:pict>
      </w:r>
    </w:p>
    <w:p>
      <w:pPr>
        <w:pStyle w:val="00001f"/>
      </w:pPr>
      <w:bookmarkEnd w:id="17"/>
      <w:bookmarkEnd w:id="11"/>
      <w:bookmarkStart w:id="18" w:name="被评估模型与基线谱系"/>
      <w:r>
        <w:t xml:space="preserve">3 </w:t>
      </w:r>
      <w:r>
        <w:rPr>
          <w:rFonts w:hint="eastAsia"/>
        </w:rPr>
        <w:t>被评估模型与基线谱系</w:t>
      </w:r>
    </w:p>
    <w:p>
      <w:pPr>
        <w:pStyle w:val="000021"/>
      </w:pPr>
      <w:bookmarkStart w:id="19" w:name="主对象物理引导连续时间网络-dl-lnn"/>
      <w:r>
        <w:t xml:space="preserve">3.1 </w:t>
      </w:r>
      <w:r>
        <w:rPr>
          <w:rFonts w:hint="eastAsia"/>
        </w:rPr>
        <w:t>主对象：物理引导连续时间网络</w:t>
      </w:r>
      <w:r>
        <w:t xml:space="preserve"> DL-LNN</w:t>
      </w:r>
    </w:p>
    <w:p>
      <w:pPr>
        <w:pStyle w:val="000011"/>
      </w:pPr>
      <w:r>
        <w:t xml:space="preserve">DL-LNN </w:t>
      </w:r>
      <w:r>
        <w:rPr>
          <w:rFonts w:hint="eastAsia"/>
        </w:rPr>
        <w:t>是”灵境制造”开源</w:t>
      </w:r>
      <w:r>
        <w:t xml:space="preserve"> CAM </w:t>
      </w:r>
      <w:r>
        <w:rPr>
          <w:rFonts w:hint="eastAsia"/>
        </w:rPr>
        <w:t>项目中的颤振预测模块，其设计综合三类先验：</w:t>
      </w:r>
    </w:p>
    <w:p>
      <w:pPr>
        <w:pStyle w:val="00000f"/>
      </w:pPr>
      <w:r>
        <w:rPr>
          <w:rFonts w:hint="eastAsia"/>
          <w:b w:val="1"/>
          <w:bCs w:val="1"/>
        </w:rPr>
        <w:t>（1）连续时间主干</w:t>
      </w:r>
      <w:r>
        <w:rPr>
          <w:rFonts w:hint="eastAsia"/>
        </w:rPr>
        <w:t>。采用</w:t>
      </w:r>
      <w:r>
        <w:t xml:space="preserve"> LTC </w:t>
      </w:r>
      <w:r>
        <w:rPr>
          <w:rFonts w:hint="eastAsia"/>
        </w:rPr>
        <w:t>神经元[25]：</w:t>
      </w:r>
    </w:p>
    <w:p>
      <w:pPr>
        <w:pStyle w:val="00000f"/>
      </w:pPr>
      <m:oMath>
        <m:f>
          <m:fPr>
            <m:type m:val="bar"/>
          </m:fPr>
          <m:num>
            <m:r>
              <m:rPr/>
              <w:rPr/>
              <m:t>d</m:t>
            </m:r>
            <m:r>
              <m:rPr>
                <m:sty m:val="b"/>
              </m:rPr>
              <w:rPr/>
              <m:t>h</m:t>
            </m:r>
            <m:r>
              <m:rPr>
                <m:sty m:val="p"/>
              </m:rPr>
              <w:rPr/>
              <m:t>(</m:t>
            </m:r>
            <m:r>
              <m:rPr/>
              <w:rPr/>
              <m:t>t</m:t>
            </m:r>
            <m:r>
              <m:rPr>
                <m:sty m:val="p"/>
              </m:rPr>
              <w:rPr/>
              <m:t>)</m:t>
            </m:r>
          </m:num>
          <m:den>
            <m:r>
              <m:rPr/>
              <w:rPr/>
              <m:t>dt</m:t>
            </m:r>
          </m:den>
        </m:f>
        <m:r>
          <m:rPr>
            <m:sty m:val="p"/>
          </m:rPr>
          <w:rPr/>
          <m:t>=−</m:t>
        </m:r>
        <m:d>
          <m:dPr>
            <m:begChr m:val="["/>
            <m:sepChr m:val=""/>
            <m:endChr m:val="]"/>
            <m:grow/>
          </m:dPr>
          <m:e>
            <m:f>
              <m:fPr>
                <m:type m:val="bar"/>
              </m:fPr>
              <m:num>
                <m:r>
                  <m:rPr/>
                  <w:rPr/>
                  <m:t>1</m:t>
                </m:r>
              </m:num>
              <m:den>
                <m:r>
                  <m:rPr/>
                  <w:rPr/>
                  <m:t>τ</m:t>
                </m:r>
              </m:den>
            </m:f>
            <m:r>
              <m:rPr>
                <m:sty m:val="p"/>
              </m:rPr>
              <w:rPr/>
              <m:t>+</m:t>
            </m:r>
            <m:r>
              <m:rPr/>
              <w:rPr/>
              <m:t>f</m:t>
            </m:r>
            <m:r>
              <m:rPr>
                <m:sty m:val="p"/>
              </m:rPr>
              <w:rPr/>
              <m:t>(</m:t>
            </m:r>
            <m:r>
              <m:rPr>
                <m:sty m:val="b"/>
              </m:rPr>
              <w:rPr/>
              <m:t>h</m:t>
            </m:r>
            <m:r>
              <m:rPr>
                <m:sty m:val="p"/>
              </m:rPr>
              <w:rPr/>
              <m:t>,</m:t>
            </m:r>
            <m:r>
              <m:rPr>
                <m:sty m:val="b"/>
              </m:rPr>
              <w:rPr/>
              <m:t>x</m:t>
            </m:r>
            <m:r>
              <m:rPr>
                <m:sty m:val="p"/>
              </m:rPr>
              <w:rPr/>
              <m:t>;</m:t>
            </m:r>
            <m:r>
              <m:rPr/>
              <w:rPr/>
              <m:t>θ</m:t>
            </m:r>
            <m:r>
              <m:rPr>
                <m:sty m:val="p"/>
              </m:rPr>
              <w:rPr/>
              <m:t>)</m:t>
            </m:r>
          </m:e>
        </m:d>
        <m:r>
          <m:rPr>
            <m:sty m:val="b"/>
          </m:rPr>
          <w:rPr/>
          <m:t>h</m:t>
        </m:r>
        <m:r>
          <m:rPr>
            <m:sty m:val="p"/>
          </m:rPr>
          <w:rPr/>
          <m:t>(</m:t>
        </m:r>
        <m:r>
          <m:rPr/>
          <w:rPr/>
          <m:t>t</m:t>
        </m:r>
        <m:r>
          <m:rPr>
            <m:sty m:val="p"/>
          </m:rPr>
          <w:rPr/>
          <m:t>)+</m:t>
        </m:r>
        <m:r>
          <m:rPr/>
          <w:rPr/>
          <m:t>f</m:t>
        </m:r>
        <m:r>
          <m:rPr>
            <m:sty m:val="p"/>
          </m:rPr>
          <w:rPr/>
          <m:t>(</m:t>
        </m:r>
        <m:r>
          <m:rPr>
            <m:sty m:val="b"/>
          </m:rPr>
          <w:rPr/>
          <m:t>h</m:t>
        </m:r>
        <m:r>
          <m:rPr>
            <m:sty m:val="p"/>
          </m:rPr>
          <w:rPr/>
          <m:t>,</m:t>
        </m:r>
        <m:r>
          <m:rPr>
            <m:sty m:val="b"/>
          </m:rPr>
          <w:rPr/>
          <m:t>x</m:t>
        </m:r>
        <m:r>
          <m:rPr>
            <m:sty m:val="p"/>
          </m:rPr>
          <w:rPr/>
          <m:t>;</m:t>
        </m:r>
        <m:r>
          <m:rPr/>
          <w:rPr/>
          <m:t>θ</m:t>
        </m:r>
        <m:r>
          <m:rPr>
            <m:sty m:val="p"/>
          </m:rPr>
          <w:rPr/>
          <m:t>)</m:t>
        </m:r>
        <m:r>
          <m:rPr/>
          <w:rPr/>
          <m:t> A</m:t>
        </m:r>
        <m:r>
          <m:rPr>
            <m:sty m:val="p"/>
          </m:rPr>
          <w:rPr/>
          <m:t>,</m:t>
        </m:r>
      </m:oMath>
    </w:p>
    <w:p>
      <w:pPr>
        <w:pStyle w:val="000011"/>
      </w:pPr>
      <w:r>
        <w:rPr>
          <w:rFonts w:hint="eastAsia"/>
        </w:rPr>
        <w:t>其中时间常数</w:t>
      </w:r>
      <w:r>
        <w:t xml:space="preserve"> τ </w:t>
      </w:r>
      <w:r>
        <w:rPr>
          <w:rFonts w:hint="eastAsia"/>
        </w:rPr>
        <w:t>受输入门控调制，理论上适配机床动力学的多时间尺度特性[27-28]。</w:t>
      </w:r>
    </w:p>
    <w:p>
      <w:pPr>
        <w:pStyle w:val="00000f"/>
      </w:pPr>
      <w:r>
        <w:rPr>
          <w:rFonts w:hint="eastAsia"/>
          <w:b w:val="1"/>
          <w:bCs w:val="1"/>
        </w:rPr>
        <w:t>（2）时滞嵌入</w:t>
      </w:r>
      <w:r>
        <w:rPr>
          <w:rFonts w:hint="eastAsia"/>
        </w:rPr>
        <w:t>。受</w:t>
      </w:r>
      <w:r>
        <w:t xml:space="preserve"> </w:t>
      </w:r>
      <w:r>
        <w:rPr>
          <w:rFonts w:hint="eastAsia"/>
        </w:rPr>
        <w:t>NPCDDE[42]启发，将刀齿通过周期</w:t>
      </w:r>
      <w:r>
        <w:t xml:space="preserve"> T </w:t>
      </w:r>
      <w:r>
        <w:rPr>
          <w:rFonts w:hint="eastAsia"/>
        </w:rPr>
        <w:t>的历史状态并入当前输入，显式对应再生时滞[12-13]。</w:t>
      </w:r>
    </w:p>
    <w:p>
      <w:pPr>
        <w:pStyle w:val="00000f"/>
      </w:pPr>
      <w:r>
        <w:rPr>
          <w:rFonts w:hint="eastAsia"/>
          <w:b w:val="1"/>
          <w:bCs w:val="1"/>
        </w:rPr>
        <w:t>（3）物理先验融合</w:t>
      </w:r>
      <w:r>
        <w:rPr>
          <w:rFonts w:hint="eastAsia"/>
        </w:rPr>
        <w:t>。以</w:t>
      </w:r>
      <w:r>
        <w:t xml:space="preserve"> ZOA </w:t>
      </w:r>
      <w:r>
        <w:rPr>
          <w:rFonts w:hint="eastAsia"/>
        </w:rPr>
        <w:t>解析预测[8]作为辅助输入通道并施加物理一致性损失项（构造思想同</w:t>
      </w:r>
      <w:r>
        <w:t xml:space="preserve"> </w:t>
      </w:r>
      <w:r>
        <w:rPr>
          <w:rFonts w:hint="eastAsia"/>
        </w:rPr>
        <w:t>PINN/gPINN[18,21]）。</w:t>
      </w:r>
    </w:p>
    <w:p>
      <w:pPr>
        <w:pStyle w:val="00000f"/>
      </w:pPr>
      <w:r>
        <w:rPr>
          <w:rFonts w:hint="eastAsia"/>
        </w:rPr>
        <w:t>需要强调：本文对</w:t>
      </w:r>
      <w:r>
        <w:t xml:space="preserve"> DL-LNN </w:t>
      </w:r>
      <w:r>
        <w:rPr>
          <w:rFonts w:hint="eastAsia"/>
        </w:rPr>
        <w:t>的态度是</w:t>
      </w:r>
      <w:r>
        <w:rPr>
          <w:rFonts w:hint="eastAsia"/>
          <w:b w:val="1"/>
          <w:bCs w:val="1"/>
        </w:rPr>
        <w:t>中性评估对象</w:t>
      </w:r>
      <w:r>
        <w:rPr>
          <w:rFonts w:hint="eastAsia"/>
        </w:rPr>
        <w:t>而非”待推销的新方法”——评估结论（第</w:t>
      </w:r>
      <w:r>
        <w:t xml:space="preserve"> 4 </w:t>
      </w:r>
      <w:r>
        <w:rPr>
          <w:rFonts w:hint="eastAsia"/>
        </w:rPr>
        <w:t>节）也确实未支持其精度优势宣称。</w:t>
      </w:r>
    </w:p>
    <w:p>
      <w:pPr>
        <w:pStyle w:val="000021"/>
      </w:pPr>
      <w:bookmarkEnd w:id="19"/>
      <w:bookmarkStart w:id="20" w:name="基线谱系"/>
      <w:r>
        <w:t xml:space="preserve">3.2 </w:t>
      </w:r>
      <w:r>
        <w:rPr>
          <w:rFonts w:hint="eastAsia"/>
        </w:rPr>
        <w:t>基线谱系</w:t>
      </w:r>
    </w:p>
    <w:p>
      <w:pPr>
        <w:pStyle w:val="000011"/>
      </w:pPr>
      <w:r>
        <w:rPr>
          <w:rFonts w:hint="eastAsia"/>
        </w:rPr>
        <w:t>按信息来源分三谱系共</w:t>
      </w:r>
      <w:r>
        <w:t xml:space="preserve"> 8 </w:t>
      </w:r>
      <w:r>
        <w:rPr>
          <w:rFonts w:hint="eastAsia"/>
        </w:rPr>
        <w:t>种基线：</w:t>
      </w:r>
    </w:p>
    <w:p>
      <w:pPr>
        <w:pStyle w:val="000012"/>
        <w:numPr>
          <w:ilvl w:val="0"/>
          <w:numId w:val="4"/>
        </w:numPr>
      </w:pPr>
      <w:r>
        <w:rPr>
          <w:rFonts w:hint="eastAsia"/>
          <w:b w:val="1"/>
          <w:bCs w:val="1"/>
        </w:rPr>
        <w:t>纯数据驱动</w:t>
      </w:r>
      <w:r>
        <w:rPr>
          <w:rFonts w:hint="eastAsia"/>
        </w:rPr>
        <w:t>：BPNN、CNN、LSTM[63-64]、GRU、Transformer[62]——覆盖前馈、卷积、门控循环与自注意力四类主流架构；</w:t>
      </w:r>
    </w:p>
    <w:p>
      <w:pPr>
        <w:pStyle w:val="000012"/>
        <w:numPr>
          <w:ilvl w:val="0"/>
          <w:numId w:val="4"/>
        </w:numPr>
      </w:pPr>
      <w:r>
        <w:rPr>
          <w:rFonts w:hint="eastAsia"/>
          <w:b w:val="1"/>
          <w:bCs w:val="1"/>
        </w:rPr>
        <w:t>物理信息（损失约束）</w:t>
      </w:r>
      <w:r>
        <w:rPr>
          <w:rFonts w:hint="eastAsia"/>
        </w:rPr>
        <w:t>：PINN[18]、gPINN[21]；</w:t>
      </w:r>
    </w:p>
    <w:p>
      <w:pPr>
        <w:pStyle w:val="000012"/>
        <w:numPr>
          <w:ilvl w:val="0"/>
          <w:numId w:val="4"/>
        </w:numPr>
      </w:pPr>
      <w:r>
        <w:rPr>
          <w:rFonts w:hint="eastAsia"/>
          <w:b w:val="1"/>
          <w:bCs w:val="1"/>
        </w:rPr>
        <w:t>物理编码（结构约束）</w:t>
      </w:r>
      <w:r>
        <w:rPr>
          <w:rFonts w:hint="eastAsia"/>
        </w:rPr>
        <w:t>：PeRCNN[41]。</w:t>
      </w:r>
    </w:p>
    <w:p>
      <w:pPr>
        <w:pStyle w:val="000011"/>
      </w:pPr>
      <w:r>
        <w:rPr>
          <w:rFonts w:hint="eastAsia"/>
        </w:rPr>
        <w:t>所有基线均检查其训练是否收敛（损失曲线、输出方差），以排除”基线崩溃衬托主模型”的伪优势——本研究的补充实验中确曾观察到</w:t>
      </w:r>
      <w:r>
        <w:t xml:space="preserve"> LSTM/GRU </w:t>
      </w:r>
      <w:r>
        <w:rPr>
          <w:rFonts w:hint="eastAsia"/>
        </w:rPr>
        <w:t>在个别任务上输出常数（MAE≈19，R²≈−360）的崩溃案例，这些结果被</w:t>
      </w:r>
      <w:r>
        <w:rPr>
          <w:rFonts w:hint="eastAsia"/>
          <w:b w:val="1"/>
          <w:bCs w:val="1"/>
        </w:rPr>
        <w:t>排除</w:t>
      </w:r>
      <w:r>
        <w:rPr>
          <w:rFonts w:hint="eastAsia"/>
        </w:rPr>
        <w:t>出正式比较，并作为基线质量失控的实证素材在第</w:t>
      </w:r>
      <w:r>
        <w:t xml:space="preserve"> 5.1 </w:t>
      </w:r>
      <w:r>
        <w:rPr>
          <w:rFonts w:hint="eastAsia"/>
        </w:rPr>
        <w:t>节讨论。</w:t>
      </w:r>
    </w:p>
    <w:p>
      <w:r>
        <w:pict>
          <v:rect style="width:0;height:1.5pt" o:hr="t" o:hrstd="t" o:hralign="center"/>
        </w:pict>
      </w:r>
    </w:p>
    <w:p>
      <w:pPr>
        <w:pStyle w:val="00001f"/>
      </w:pPr>
      <w:bookmarkEnd w:id="20"/>
      <w:bookmarkEnd w:id="18"/>
      <w:bookmarkStart w:id="21" w:name="结果与分析讨论"/>
      <w:r>
        <w:t xml:space="preserve">4 </w:t>
      </w:r>
      <w:r>
        <w:rPr>
          <w:rFonts w:hint="eastAsia"/>
        </w:rPr>
        <w:t>结果与分析讨论</w:t>
      </w:r>
    </w:p>
    <w:p>
      <w:pPr>
        <w:pStyle w:val="000021"/>
      </w:pPr>
      <w:bookmarkStart w:id="22" w:name="主对比多数据集精度处于统计噪声带内"/>
      <w:r>
        <w:t xml:space="preserve">4.1 </w:t>
      </w:r>
      <w:r>
        <w:rPr>
          <w:rFonts w:hint="eastAsia"/>
        </w:rPr>
        <w:t>主对比：多数据集精度处于统计噪声带内</w:t>
      </w:r>
    </w:p>
    <w:p>
      <w:pPr>
        <w:pStyle w:val="000011"/>
      </w:pPr>
      <w:r>
        <w:rPr>
          <w:rFonts w:hint="eastAsia"/>
        </w:rPr>
        <w:t>表</w:t>
      </w:r>
      <w:r>
        <w:t xml:space="preserve"> 1 </w:t>
      </w:r>
      <w:r>
        <w:rPr>
          <w:rFonts w:hint="eastAsia"/>
        </w:rPr>
        <w:t>摘录</w:t>
      </w:r>
      <w:r>
        <w:t xml:space="preserve"> PHM2010 </w:t>
      </w:r>
      <w:r>
        <w:rPr>
          <w:rFonts w:hint="eastAsia"/>
        </w:rPr>
        <w:t>与</w:t>
      </w:r>
      <w:r>
        <w:t xml:space="preserve"> NUAA </w:t>
      </w:r>
      <w:r>
        <w:rPr>
          <w:rFonts w:hint="eastAsia"/>
        </w:rPr>
        <w:t>上的核心结果（完整五指标见</w:t>
      </w:r>
      <w:r>
        <w:t xml:space="preserve"> </w:t>
      </w:r>
      <w:r>
        <w:rPr>
          <w:rStyle w:val="00003b"/>
        </w:rPr>
        <w:t>main_comparison_results.json</w:t>
      </w:r>
      <w:r>
        <w:rPr>
          <w:rFonts w:hint="eastAsia"/>
        </w:rPr>
        <w:t>）：</w:t>
      </w:r>
    </w:p>
    <w:p>
      <w:pPr>
        <w:pStyle w:val="00000f"/>
      </w:pPr>
      <w:r>
        <w:rPr>
          <w:rFonts w:hint="eastAsia"/>
          <w:b w:val="1"/>
          <w:bCs w:val="1"/>
        </w:rPr>
        <w:t>表</w:t>
      </w:r>
      <w:r>
        <w:rPr>
          <w:b w:val="1"/>
          <w:bCs w:val="1"/>
        </w:rPr>
        <w:t xml:space="preserve"> 1 </w:t>
      </w:r>
      <w:r>
        <w:rPr>
          <w:rFonts w:hint="eastAsia"/>
          <w:b w:val="1"/>
          <w:bCs w:val="1"/>
        </w:rPr>
        <w:t>主对比结果（单次训练，统一协议）</w:t>
      </w:r>
    </w:p>
    <w:tbl>
      <w:tblPr>
        <w:tblStyle w:val="000032"/>
        <w:tblW w:w="5000" w:type="pct"/>
        <w:tblLayout w:type="fixed"/>
        <w:tblLook w:firstRow="1" w:lastRow="0" w:firstColumn="0" w:lastColumn="0" w:noHBand="0" w:noVBand="0" w:val="0020"/>
      </w:tblPr>
      <w:tblGrid>
        <w:gridCol w:w="1131"/>
        <w:gridCol w:w="1131"/>
        <w:gridCol w:w="1131"/>
        <w:gridCol w:w="1131"/>
        <w:gridCol w:w="1131"/>
        <w:gridCol w:w="1131"/>
        <w:gridCol w:w="1131"/>
      </w:tblGrid>
      <w:tr>
        <w:trPr>
          <w:tblHeader w:val="1"/>
        </w:trPr>
        <w:tc>
          <w:tcPr/>
          <w:p>
            <w:pPr>
              <w:pStyle w:val="000012"/>
            </w:pPr>
            <w:r>
              <w:rPr>
                <w:rFonts w:hint="eastAsia"/>
              </w:rPr>
              <w:t>模型</w:t>
            </w:r>
          </w:p>
        </w:tc>
        <w:tc>
          <w:tcPr/>
          <w:p>
            <w:pPr>
              <w:pStyle w:val="000012"/>
            </w:pPr>
            <w:r>
              <w:t>PHM2010 MAE</w:t>
            </w:r>
          </w:p>
        </w:tc>
        <w:tc>
          <w:tcPr/>
          <w:p>
            <w:pPr>
              <w:pStyle w:val="000012"/>
            </w:pPr>
            <w:r>
              <w:t>PHM2010 R²</w:t>
            </w:r>
          </w:p>
        </w:tc>
        <w:tc>
          <w:tcPr/>
          <w:p>
            <w:pPr>
              <w:pStyle w:val="000012"/>
            </w:pPr>
            <w:r>
              <w:t>PHM2010 PCC</w:t>
            </w:r>
          </w:p>
        </w:tc>
        <w:tc>
          <w:tcPr/>
          <w:p>
            <w:pPr>
              <w:pStyle w:val="000012"/>
            </w:pPr>
            <w:r>
              <w:t>NUAA MAE</w:t>
            </w:r>
          </w:p>
        </w:tc>
        <w:tc>
          <w:tcPr/>
          <w:p>
            <w:pPr>
              <w:pStyle w:val="000012"/>
            </w:pPr>
            <w:r>
              <w:t>NUAA R²</w:t>
            </w:r>
          </w:p>
        </w:tc>
        <w:tc>
          <w:tcPr/>
          <w:p>
            <w:pPr>
              <w:pStyle w:val="000012"/>
            </w:pPr>
            <w:r>
              <w:t>NUAA PCC</w:t>
            </w:r>
          </w:p>
        </w:tc>
      </w:tr>
      <w:tr>
        <w:trPr/>
        <w:tc>
          <w:tcPr/>
          <w:p>
            <w:pPr>
              <w:pStyle w:val="000012"/>
            </w:pPr>
            <w:r>
              <w:t>DL-LNN</w:t>
            </w:r>
          </w:p>
        </w:tc>
        <w:tc>
          <w:tcPr/>
          <w:p>
            <w:pPr>
              <w:pStyle w:val="000012"/>
            </w:pPr>
            <w:r>
              <w:t>0.7926</w:t>
            </w:r>
          </w:p>
        </w:tc>
        <w:tc>
          <w:tcPr/>
          <w:p>
            <w:pPr>
              <w:pStyle w:val="000012"/>
            </w:pPr>
            <w:r>
              <w:t>−0.0567</w:t>
            </w:r>
          </w:p>
        </w:tc>
        <w:tc>
          <w:tcPr/>
          <w:p>
            <w:pPr>
              <w:pStyle w:val="000012"/>
            </w:pPr>
            <w:r>
              <w:t>0.9943</w:t>
            </w:r>
          </w:p>
        </w:tc>
        <w:tc>
          <w:tcPr/>
          <w:p>
            <w:pPr>
              <w:pStyle w:val="000012"/>
            </w:pPr>
            <w:r>
              <w:t>0.6505</w:t>
            </w:r>
          </w:p>
        </w:tc>
        <w:tc>
          <w:tcPr/>
          <w:p>
            <w:pPr>
              <w:pStyle w:val="000012"/>
            </w:pPr>
            <w:r>
              <w:t>−0.0154</w:t>
            </w:r>
          </w:p>
        </w:tc>
        <w:tc>
          <w:tcPr/>
          <w:p>
            <w:pPr>
              <w:pStyle w:val="000012"/>
            </w:pPr>
            <w:r>
              <w:t>0.9997</w:t>
            </w:r>
          </w:p>
        </w:tc>
      </w:tr>
      <w:tr>
        <w:trPr/>
        <w:tc>
          <w:tcPr/>
          <w:p>
            <w:pPr>
              <w:pStyle w:val="000012"/>
            </w:pPr>
            <w:r>
              <w:t>LSTM</w:t>
            </w:r>
          </w:p>
        </w:tc>
        <w:tc>
          <w:tcPr/>
          <w:p>
            <w:pPr>
              <w:pStyle w:val="000012"/>
            </w:pPr>
            <w:r>
              <w:t>0.7936</w:t>
            </w:r>
          </w:p>
        </w:tc>
        <w:tc>
          <w:tcPr/>
          <w:p>
            <w:pPr>
              <w:pStyle w:val="000012"/>
            </w:pPr>
            <w:r>
              <w:t>−0.0684</w:t>
            </w:r>
          </w:p>
        </w:tc>
        <w:tc>
          <w:tcPr/>
          <w:p>
            <w:pPr>
              <w:pStyle w:val="000012"/>
            </w:pPr>
            <w:r>
              <w:t>0.9939</w:t>
            </w:r>
          </w:p>
        </w:tc>
        <w:tc>
          <w:tcPr/>
          <w:p>
            <w:pPr>
              <w:pStyle w:val="000012"/>
            </w:pPr>
            <w:r>
              <w:t>0.6515</w:t>
            </w:r>
          </w:p>
        </w:tc>
        <w:tc>
          <w:tcPr/>
          <w:p>
            <w:pPr>
              <w:pStyle w:val="000012"/>
            </w:pPr>
            <w:r>
              <w:t>−0.0187</w:t>
            </w:r>
          </w:p>
        </w:tc>
        <w:tc>
          <w:tcPr/>
          <w:p>
            <w:pPr>
              <w:pStyle w:val="000012"/>
            </w:pPr>
            <w:r>
              <w:t>0.9960</w:t>
            </w:r>
          </w:p>
        </w:tc>
      </w:tr>
      <w:tr>
        <w:trPr/>
        <w:tc>
          <w:tcPr/>
          <w:p>
            <w:pPr>
              <w:pStyle w:val="000012"/>
            </w:pPr>
            <w:r>
              <w:t>GRU</w:t>
            </w:r>
          </w:p>
        </w:tc>
        <w:tc>
          <w:tcPr/>
          <w:p>
            <w:pPr>
              <w:pStyle w:val="000012"/>
            </w:pPr>
            <w:r>
              <w:t>0.7876</w:t>
            </w:r>
          </w:p>
        </w:tc>
        <w:tc>
          <w:tcPr/>
          <w:p>
            <w:pPr>
              <w:pStyle w:val="000012"/>
            </w:pPr>
            <w:r>
              <w:t>−0.0495</w:t>
            </w:r>
          </w:p>
        </w:tc>
        <w:tc>
          <w:tcPr/>
          <w:p>
            <w:pPr>
              <w:pStyle w:val="000012"/>
            </w:pPr>
            <w:r>
              <w:t>0.9956</w:t>
            </w:r>
          </w:p>
        </w:tc>
        <w:tc>
          <w:tcPr/>
          <w:p>
            <w:pPr>
              <w:pStyle w:val="000012"/>
            </w:pPr>
            <w:r>
              <w:t>0.6511</w:t>
            </w:r>
          </w:p>
        </w:tc>
        <w:tc>
          <w:tcPr/>
          <w:p>
            <w:pPr>
              <w:pStyle w:val="000012"/>
            </w:pPr>
            <w:r>
              <w:t>−0.0160</w:t>
            </w:r>
          </w:p>
        </w:tc>
        <w:tc>
          <w:tcPr/>
          <w:p>
            <w:pPr>
              <w:pStyle w:val="000012"/>
            </w:pPr>
            <w:r>
              <w:t>0.9975</w:t>
            </w:r>
          </w:p>
        </w:tc>
      </w:tr>
      <w:tr>
        <w:trPr/>
        <w:tc>
          <w:tcPr/>
          <w:p>
            <w:pPr>
              <w:pStyle w:val="000012"/>
            </w:pPr>
            <w:r>
              <w:t>Transformer</w:t>
            </w:r>
          </w:p>
        </w:tc>
        <w:tc>
          <w:tcPr/>
          <w:p>
            <w:pPr>
              <w:pStyle w:val="000012"/>
            </w:pPr>
            <w:r>
              <w:t>0.8415</w:t>
            </w:r>
          </w:p>
        </w:tc>
        <w:tc>
          <w:tcPr/>
          <w:p>
            <w:pPr>
              <w:pStyle w:val="000012"/>
            </w:pPr>
            <w:r>
              <w:t>−0.2006</w:t>
            </w:r>
          </w:p>
        </w:tc>
        <w:tc>
          <w:tcPr/>
          <w:p>
            <w:pPr>
              <w:pStyle w:val="000012"/>
            </w:pPr>
            <w:r>
              <w:t>0.9842</w:t>
            </w:r>
          </w:p>
        </w:tc>
        <w:tc>
          <w:tcPr/>
          <w:p>
            <w:pPr>
              <w:pStyle w:val="000012"/>
            </w:pPr>
            <w:r>
              <w:t>0.6658</w:t>
            </w:r>
          </w:p>
        </w:tc>
        <w:tc>
          <w:tcPr/>
          <w:p>
            <w:pPr>
              <w:pStyle w:val="000012"/>
            </w:pPr>
            <w:r>
              <w:t>−0.0972</w:t>
            </w:r>
          </w:p>
        </w:tc>
        <w:tc>
          <w:tcPr/>
          <w:p>
            <w:pPr>
              <w:pStyle w:val="000012"/>
            </w:pPr>
            <w:r>
              <w:t>0.9923</w:t>
            </w:r>
          </w:p>
        </w:tc>
      </w:tr>
      <w:tr>
        <w:trPr/>
        <w:tc>
          <w:tcPr/>
          <w:p>
            <w:pPr>
              <w:pStyle w:val="000012"/>
            </w:pPr>
            <w:r>
              <w:t>CNN</w:t>
            </w:r>
          </w:p>
        </w:tc>
        <w:tc>
          <w:tcPr/>
          <w:p>
            <w:pPr>
              <w:pStyle w:val="000012"/>
            </w:pPr>
            <w:r>
              <w:t>0.7860</w:t>
            </w:r>
          </w:p>
        </w:tc>
        <w:tc>
          <w:tcPr/>
          <w:p>
            <w:pPr>
              <w:pStyle w:val="000012"/>
            </w:pPr>
            <w:r>
              <w:t>−0.0388</w:t>
            </w:r>
          </w:p>
        </w:tc>
        <w:tc>
          <w:tcPr/>
          <w:p>
            <w:pPr>
              <w:pStyle w:val="000012"/>
            </w:pPr>
            <w:r>
              <w:t>0.9960</w:t>
            </w:r>
          </w:p>
        </w:tc>
        <w:tc>
          <w:tcPr/>
          <w:p>
            <w:pPr>
              <w:pStyle w:val="000012"/>
            </w:pPr>
            <w:r>
              <w:t>0.6524</w:t>
            </w:r>
          </w:p>
        </w:tc>
        <w:tc>
          <w:tcPr/>
          <w:p>
            <w:pPr>
              <w:pStyle w:val="000012"/>
            </w:pPr>
            <w:r>
              <w:t>−0.0141</w:t>
            </w:r>
          </w:p>
        </w:tc>
        <w:tc>
          <w:tcPr/>
          <w:p>
            <w:pPr>
              <w:pStyle w:val="000012"/>
            </w:pPr>
            <w:r>
              <w:t>0.9971</w:t>
            </w:r>
          </w:p>
        </w:tc>
      </w:tr>
      <w:tr>
        <w:trPr/>
        <w:tc>
          <w:tcPr/>
          <w:p>
            <w:pPr>
              <w:pStyle w:val="000012"/>
            </w:pPr>
            <w:r>
              <w:t>PINN</w:t>
            </w:r>
          </w:p>
        </w:tc>
        <w:tc>
          <w:tcPr/>
          <w:p>
            <w:pPr>
              <w:pStyle w:val="000012"/>
            </w:pPr>
            <w:r>
              <w:t>0.7842</w:t>
            </w:r>
          </w:p>
        </w:tc>
        <w:tc>
          <w:tcPr/>
          <w:p>
            <w:pPr>
              <w:pStyle w:val="000012"/>
            </w:pPr>
            <w:r>
              <w:t>−0.0339</w:t>
            </w:r>
          </w:p>
        </w:tc>
        <w:tc>
          <w:tcPr/>
          <w:p>
            <w:pPr>
              <w:pStyle w:val="000012"/>
            </w:pPr>
            <w:r>
              <w:t>0.9969</w:t>
            </w:r>
          </w:p>
        </w:tc>
        <w:tc>
          <w:tcPr/>
          <w:p>
            <w:pPr>
              <w:pStyle w:val="000012"/>
            </w:pPr>
            <w:r>
              <w:t>0.6499</w:t>
            </w:r>
          </w:p>
        </w:tc>
        <w:tc>
          <w:tcPr/>
          <w:p>
            <w:pPr>
              <w:pStyle w:val="000012"/>
            </w:pPr>
            <w:r>
              <w:t>−0.0102</w:t>
            </w:r>
          </w:p>
        </w:tc>
        <w:tc>
          <w:tcPr/>
          <w:p>
            <w:pPr>
              <w:pStyle w:val="000012"/>
            </w:pPr>
            <w:r>
              <w:t>0.9994</w:t>
            </w:r>
          </w:p>
        </w:tc>
      </w:tr>
      <w:tr>
        <w:trPr/>
        <w:tc>
          <w:tcPr/>
          <w:p>
            <w:pPr>
              <w:pStyle w:val="000012"/>
            </w:pPr>
            <w:r>
              <w:t>gPINN</w:t>
            </w:r>
          </w:p>
        </w:tc>
        <w:tc>
          <w:tcPr/>
          <w:p>
            <w:pPr>
              <w:pStyle w:val="000012"/>
            </w:pPr>
            <w:r>
              <w:rPr>
                <w:b w:val="1"/>
                <w:bCs w:val="1"/>
              </w:rPr>
              <w:t>0.7835</w:t>
            </w:r>
          </w:p>
        </w:tc>
        <w:tc>
          <w:tcPr/>
          <w:p>
            <w:pPr>
              <w:pStyle w:val="000012"/>
            </w:pPr>
            <w:r>
              <w:rPr>
                <w:b w:val="1"/>
                <w:bCs w:val="1"/>
              </w:rPr>
              <w:t>−0.0317</w:t>
            </w:r>
          </w:p>
        </w:tc>
        <w:tc>
          <w:tcPr/>
          <w:p>
            <w:pPr>
              <w:pStyle w:val="000012"/>
            </w:pPr>
            <w:r>
              <w:rPr>
                <w:b w:val="1"/>
                <w:bCs w:val="1"/>
              </w:rPr>
              <w:t>0.9972</w:t>
            </w:r>
          </w:p>
        </w:tc>
        <w:tc>
          <w:tcPr/>
          <w:p>
            <w:pPr>
              <w:pStyle w:val="000012"/>
            </w:pPr>
            <w:r>
              <w:rPr>
                <w:b w:val="1"/>
                <w:bCs w:val="1"/>
              </w:rPr>
              <w:t>0.6499</w:t>
            </w:r>
          </w:p>
        </w:tc>
        <w:tc>
          <w:tcPr/>
          <w:p>
            <w:pPr>
              <w:pStyle w:val="000012"/>
            </w:pPr>
            <w:r>
              <w:rPr>
                <w:b w:val="1"/>
                <w:bCs w:val="1"/>
              </w:rPr>
              <w:t>−0.0102</w:t>
            </w:r>
          </w:p>
        </w:tc>
        <w:tc>
          <w:tcPr/>
          <w:p>
            <w:pPr>
              <w:pStyle w:val="000012"/>
            </w:pPr>
            <w:r>
              <w:t>0.9994</w:t>
            </w:r>
          </w:p>
        </w:tc>
      </w:tr>
      <w:tr>
        <w:trPr/>
        <w:tc>
          <w:tcPr/>
          <w:p>
            <w:pPr>
              <w:pStyle w:val="000012"/>
            </w:pPr>
            <w:r>
              <w:t>PeRCNN</w:t>
            </w:r>
          </w:p>
        </w:tc>
        <w:tc>
          <w:tcPr/>
          <w:p>
            <w:pPr>
              <w:pStyle w:val="000012"/>
            </w:pPr>
            <w:r>
              <w:t>0.7840</w:t>
            </w:r>
          </w:p>
        </w:tc>
        <w:tc>
          <w:tcPr/>
          <w:p>
            <w:pPr>
              <w:pStyle w:val="000012"/>
            </w:pPr>
            <w:r>
              <w:t>−0.0568</w:t>
            </w:r>
          </w:p>
        </w:tc>
        <w:tc>
          <w:tcPr/>
          <w:p>
            <w:pPr>
              <w:pStyle w:val="000012"/>
            </w:pPr>
            <w:r>
              <w:t>0.9944</w:t>
            </w:r>
          </w:p>
        </w:tc>
        <w:tc>
          <w:tcPr/>
          <w:p>
            <w:pPr>
              <w:pStyle w:val="000012"/>
            </w:pPr>
            <w:r>
              <w:t>0.6504</w:t>
            </w:r>
          </w:p>
        </w:tc>
        <w:tc>
          <w:tcPr/>
          <w:p>
            <w:pPr>
              <w:pStyle w:val="000012"/>
            </w:pPr>
            <w:r>
              <w:t>−0.0106</w:t>
            </w:r>
          </w:p>
        </w:tc>
        <w:tc>
          <w:tcPr/>
          <w:p>
            <w:pPr>
              <w:pStyle w:val="000012"/>
            </w:pPr>
            <w:r>
              <w:t>0.9959</w:t>
            </w:r>
          </w:p>
        </w:tc>
      </w:tr>
      <w:tr>
        <w:trPr/>
        <w:tc>
          <w:tcPr/>
          <w:p>
            <w:pPr>
              <w:pStyle w:val="000012"/>
            </w:pPr>
            <w:r>
              <w:t>BPNN</w:t>
            </w:r>
          </w:p>
        </w:tc>
        <w:tc>
          <w:tcPr/>
          <w:p>
            <w:pPr>
              <w:pStyle w:val="000012"/>
            </w:pPr>
            <w:r>
              <w:t>0.7894</w:t>
            </w:r>
          </w:p>
        </w:tc>
        <w:tc>
          <w:tcPr/>
          <w:p>
            <w:pPr>
              <w:pStyle w:val="000012"/>
            </w:pPr>
            <w:r>
              <w:t>−0.0442</w:t>
            </w:r>
          </w:p>
        </w:tc>
        <w:tc>
          <w:tcPr/>
          <w:p>
            <w:pPr>
              <w:pStyle w:val="000012"/>
            </w:pPr>
            <w:r>
              <w:t>0.9950</w:t>
            </w:r>
          </w:p>
        </w:tc>
        <w:tc>
          <w:tcPr/>
          <w:p>
            <w:pPr>
              <w:pStyle w:val="000012"/>
            </w:pPr>
            <w:r>
              <w:t>0.6576</w:t>
            </w:r>
          </w:p>
        </w:tc>
        <w:tc>
          <w:tcPr/>
          <w:p>
            <w:pPr>
              <w:pStyle w:val="000012"/>
            </w:pPr>
            <w:r>
              <w:t>−0.0110</w:t>
            </w:r>
          </w:p>
        </w:tc>
        <w:tc>
          <w:tcPr/>
          <w:p>
            <w:pPr>
              <w:pStyle w:val="000012"/>
            </w:pPr>
            <w:r>
              <w:t>0.9975</w:t>
            </w:r>
          </w:p>
        </w:tc>
      </w:tr>
    </w:tbl>
    <w:p>
      <w:pPr>
        <w:pStyle w:val="00000f"/>
      </w:pPr>
      <w:r>
        <w:rPr>
          <w:rFonts w:hint="eastAsia"/>
        </w:rPr>
        <w:t>三点观察：</w:t>
      </w:r>
      <w:r>
        <w:rPr>
          <w:rFonts w:hint="eastAsia"/>
          <w:b w:val="1"/>
          <w:bCs w:val="1"/>
        </w:rPr>
        <w:t>（1）</w:t>
      </w:r>
      <w:r>
        <w:t xml:space="preserve"> </w:t>
      </w:r>
      <w:r>
        <w:rPr>
          <w:rFonts w:hint="eastAsia"/>
        </w:rPr>
        <w:t>除</w:t>
      </w:r>
      <w:r>
        <w:t xml:space="preserve"> Transformer </w:t>
      </w:r>
      <w:r>
        <w:rPr>
          <w:rFonts w:hint="eastAsia"/>
        </w:rPr>
        <w:t>略差外，其余</w:t>
      </w:r>
      <w:r>
        <w:t xml:space="preserve"> 8 </w:t>
      </w:r>
      <w:r>
        <w:rPr>
          <w:rFonts w:hint="eastAsia"/>
        </w:rPr>
        <w:t>种模型</w:t>
      </w:r>
      <w:r>
        <w:t xml:space="preserve"> MAE </w:t>
      </w:r>
      <w:r>
        <w:rPr>
          <w:rFonts w:hint="eastAsia"/>
        </w:rPr>
        <w:t>差异不超过</w:t>
      </w:r>
      <w:r>
        <w:t xml:space="preserve"> </w:t>
      </w:r>
      <w:r>
        <w:rPr>
          <w:rFonts w:hint="eastAsia"/>
        </w:rPr>
        <w:t>1.2%，处于种子间波动量级；</w:t>
      </w:r>
      <w:r>
        <w:rPr>
          <w:rFonts w:hint="eastAsia"/>
          <w:b w:val="1"/>
          <w:bCs w:val="1"/>
        </w:rPr>
        <w:t>（2）</w:t>
      </w:r>
      <w:r>
        <w:t xml:space="preserve"> </w:t>
      </w:r>
      <w:r>
        <w:rPr>
          <w:rFonts w:hint="eastAsia"/>
        </w:rPr>
        <w:t>名义最优者是</w:t>
      </w:r>
      <w:r>
        <w:t xml:space="preserve"> gPINN </w:t>
      </w:r>
      <w:r>
        <w:rPr>
          <w:rFonts w:hint="eastAsia"/>
        </w:rPr>
        <w:t>而非任何”更复杂”的模型，且优势微弱；</w:t>
      </w:r>
      <w:r>
        <w:rPr>
          <w:rFonts w:hint="eastAsia"/>
          <w:b w:val="1"/>
          <w:bCs w:val="1"/>
        </w:rPr>
        <w:t>（3）</w:t>
      </w:r>
      <w:r>
        <w:t xml:space="preserve"> R² </w:t>
      </w:r>
      <w:r>
        <w:rPr>
          <w:rFonts w:hint="eastAsia"/>
        </w:rPr>
        <w:t>全表为负——该现象在</w:t>
      </w:r>
      <w:r>
        <w:t xml:space="preserve"> 4.3 </w:t>
      </w:r>
      <w:r>
        <w:rPr>
          <w:rFonts w:hint="eastAsia"/>
        </w:rPr>
        <w:t>节专门诊断。这一”平坦排行榜”与文献中动辄两位数百分比改进的叙事形成鲜明对照，提示既有改进宣称中相当一部分可能来自协议不统一或基线欠调优，与机器学习评估方法学的既有警告一致[64]。</w:t>
      </w:r>
    </w:p>
    <w:p>
      <w:pPr>
        <w:pStyle w:val="000021"/>
      </w:pPr>
      <w:bookmarkEnd w:id="22"/>
      <w:bookmarkStart w:id="23" w:name="统计显著性所有配对比较-p0.05"/>
      <w:r>
        <w:t xml:space="preserve">4.2 </w:t>
      </w:r>
      <w:r>
        <w:rPr>
          <w:rFonts w:hint="eastAsia"/>
        </w:rPr>
        <w:t>统计显著性：所有配对比较</w:t>
      </w:r>
      <w:r>
        <w:t xml:space="preserve"> p&gt;0.05</w:t>
      </w:r>
    </w:p>
    <w:p>
      <w:pPr>
        <w:pStyle w:val="000011"/>
      </w:pPr>
      <w:r>
        <w:rPr>
          <w:rFonts w:hint="eastAsia"/>
        </w:rPr>
        <w:t>在</w:t>
      </w:r>
      <w:r>
        <w:t xml:space="preserve"> 6061-T6 </w:t>
      </w:r>
      <w:r>
        <w:rPr>
          <w:rFonts w:hint="eastAsia"/>
        </w:rPr>
        <w:t>数据集（500</w:t>
      </w:r>
      <w:r>
        <w:t xml:space="preserve"> </w:t>
      </w:r>
      <w:r>
        <w:rPr>
          <w:rFonts w:hint="eastAsia"/>
        </w:rPr>
        <w:t>样本）上，5</w:t>
      </w:r>
      <w:r>
        <w:t xml:space="preserve"> </w:t>
      </w:r>
      <w:r>
        <w:rPr>
          <w:rFonts w:hint="eastAsia"/>
        </w:rPr>
        <w:t>种子重复的结果为（表</w:t>
      </w:r>
      <w:r>
        <w:t xml:space="preserve"> 2 </w:t>
      </w:r>
      <w:r>
        <w:rPr>
          <w:rFonts w:hint="eastAsia"/>
        </w:rPr>
        <w:t>摘录）：</w:t>
      </w:r>
    </w:p>
    <w:p>
      <w:pPr>
        <w:pStyle w:val="00000f"/>
      </w:pPr>
      <w:r>
        <w:rPr>
          <w:rFonts w:hint="eastAsia"/>
          <w:b w:val="1"/>
          <w:bCs w:val="1"/>
        </w:rPr>
        <w:t>表</w:t>
      </w:r>
      <w:r>
        <w:rPr>
          <w:b w:val="1"/>
          <w:bCs w:val="1"/>
        </w:rPr>
        <w:t xml:space="preserve"> 2 5 </w:t>
      </w:r>
      <w:r>
        <w:rPr>
          <w:rFonts w:hint="eastAsia"/>
          <w:b w:val="1"/>
          <w:bCs w:val="1"/>
        </w:rPr>
        <w:t>种子重复结果（均值±标准差）与对</w:t>
      </w:r>
      <w:r>
        <w:rPr>
          <w:b w:val="1"/>
          <w:bCs w:val="1"/>
        </w:rPr>
        <w:t xml:space="preserve"> DL-LNN </w:t>
      </w:r>
      <w:r>
        <w:rPr>
          <w:rFonts w:hint="eastAsia"/>
          <w:b w:val="1"/>
          <w:bCs w:val="1"/>
        </w:rPr>
        <w:t>的</w:t>
      </w:r>
      <w:r>
        <w:rPr>
          <w:b w:val="1"/>
          <w:bCs w:val="1"/>
        </w:rPr>
        <w:t xml:space="preserve"> Welch t </w:t>
      </w:r>
      <w:r>
        <w:rPr>
          <w:rFonts w:hint="eastAsia"/>
          <w:b w:val="1"/>
          <w:bCs w:val="1"/>
        </w:rPr>
        <w:t>检验</w:t>
      </w:r>
    </w:p>
    <w:tbl>
      <w:tblPr>
        <w:tblStyle w:val="000032"/>
        <w:tblW w:w="0" w:type="auto"/>
        <w:tblLook w:firstRow="1" w:lastRow="0" w:firstColumn="0" w:lastColumn="0" w:noHBand="0" w:noVBand="0" w:val="0020"/>
      </w:tblPr>
      <w:tblGrid>
        <w:gridCol w:w="1980"/>
        <w:gridCol w:w="1980"/>
        <w:gridCol w:w="1980"/>
        <w:gridCol w:w="1980"/>
      </w:tblGrid>
      <w:tr>
        <w:trPr>
          <w:tblHeader w:val="1"/>
        </w:trPr>
        <w:tc>
          <w:tcPr/>
          <w:p>
            <w:pPr>
              <w:pStyle w:val="000012"/>
            </w:pPr>
            <w:r>
              <w:rPr>
                <w:rFonts w:hint="eastAsia"/>
              </w:rPr>
              <w:t>模型</w:t>
            </w:r>
          </w:p>
        </w:tc>
        <w:tc>
          <w:tcPr/>
          <w:p>
            <w:pPr>
              <w:pStyle w:val="000012"/>
            </w:pPr>
            <w:r>
              <w:rPr>
                <w:rFonts w:hint="eastAsia"/>
              </w:rPr>
              <w:t>MAE（mean±std）</w:t>
            </w:r>
          </w:p>
        </w:tc>
        <w:tc>
          <w:tcPr/>
          <w:p>
            <w:pPr>
              <w:pStyle w:val="000012"/>
            </w:pPr>
            <w:r>
              <w:rPr>
                <w:rFonts w:hint="eastAsia"/>
              </w:rPr>
              <w:t>PCC（mean±std）</w:t>
            </w:r>
          </w:p>
        </w:tc>
        <w:tc>
          <w:tcPr/>
          <w:p>
            <w:pPr>
              <w:pStyle w:val="000012"/>
            </w:pPr>
            <w:r>
              <w:t xml:space="preserve">p </w:t>
            </w:r>
            <w:r>
              <w:rPr>
                <w:rFonts w:hint="eastAsia"/>
              </w:rPr>
              <w:t>值（PCC</w:t>
            </w:r>
            <w:r>
              <w:t xml:space="preserve"> </w:t>
            </w:r>
            <w:r>
              <w:rPr>
                <w:rFonts w:hint="eastAsia"/>
              </w:rPr>
              <w:t>维度）</w:t>
            </w:r>
          </w:p>
        </w:tc>
      </w:tr>
      <w:tr>
        <w:trPr/>
        <w:tc>
          <w:tcPr/>
          <w:p>
            <w:pPr>
              <w:pStyle w:val="000012"/>
            </w:pPr>
            <w:r>
              <w:t>DL-LNN</w:t>
            </w:r>
          </w:p>
        </w:tc>
        <w:tc>
          <w:tcPr/>
          <w:p>
            <w:pPr>
              <w:pStyle w:val="000012"/>
            </w:pPr>
            <w:r>
              <w:t>1.2259±0.0714</w:t>
            </w:r>
          </w:p>
        </w:tc>
        <w:tc>
          <w:tcPr/>
          <w:p>
            <w:pPr>
              <w:pStyle w:val="000012"/>
            </w:pPr>
            <w:r>
              <w:t>0.9935±0.0051</w:t>
            </w:r>
          </w:p>
        </w:tc>
        <w:tc>
          <w:tcPr/>
          <w:p>
            <w:pPr>
              <w:pStyle w:val="000012"/>
            </w:pPr>
            <w:r>
              <w:t>—</w:t>
            </w:r>
          </w:p>
        </w:tc>
      </w:tr>
      <w:tr>
        <w:trPr/>
        <w:tc>
          <w:tcPr/>
          <w:p>
            <w:pPr>
              <w:pStyle w:val="000012"/>
            </w:pPr>
            <w:r>
              <w:t>LSTM</w:t>
            </w:r>
          </w:p>
        </w:tc>
        <w:tc>
          <w:tcPr/>
          <w:p>
            <w:pPr>
              <w:pStyle w:val="000012"/>
            </w:pPr>
            <w:r>
              <w:t>1.2147±0.0864</w:t>
            </w:r>
          </w:p>
        </w:tc>
        <w:tc>
          <w:tcPr/>
          <w:p>
            <w:pPr>
              <w:pStyle w:val="000012"/>
            </w:pPr>
            <w:r>
              <w:t>0.9891±0.0032</w:t>
            </w:r>
          </w:p>
        </w:tc>
        <w:tc>
          <w:tcPr/>
          <w:p>
            <w:pPr>
              <w:pStyle w:val="000012"/>
            </w:pPr>
            <w:r>
              <w:t>0.1466</w:t>
            </w:r>
          </w:p>
        </w:tc>
      </w:tr>
      <w:tr>
        <w:trPr/>
        <w:tc>
          <w:tcPr/>
          <w:p>
            <w:pPr>
              <w:pStyle w:val="000012"/>
            </w:pPr>
            <w:r>
              <w:t>GRU</w:t>
            </w:r>
          </w:p>
        </w:tc>
        <w:tc>
          <w:tcPr/>
          <w:p>
            <w:pPr>
              <w:pStyle w:val="000012"/>
            </w:pPr>
            <w:r>
              <w:t>1.2136±0.0841</w:t>
            </w:r>
          </w:p>
        </w:tc>
        <w:tc>
          <w:tcPr/>
          <w:p>
            <w:pPr>
              <w:pStyle w:val="000012"/>
            </w:pPr>
            <w:r>
              <w:t>0.9917±0.0031</w:t>
            </w:r>
          </w:p>
        </w:tc>
        <w:tc>
          <w:tcPr/>
          <w:p>
            <w:pPr>
              <w:pStyle w:val="000012"/>
            </w:pPr>
            <w:r>
              <w:t>0.5295</w:t>
            </w:r>
          </w:p>
        </w:tc>
      </w:tr>
      <w:tr>
        <w:trPr/>
        <w:tc>
          <w:tcPr/>
          <w:p>
            <w:pPr>
              <w:pStyle w:val="000012"/>
            </w:pPr>
            <w:r>
              <w:t>Transformer</w:t>
            </w:r>
          </w:p>
        </w:tc>
        <w:tc>
          <w:tcPr/>
          <w:p>
            <w:pPr>
              <w:pStyle w:val="000012"/>
            </w:pPr>
            <w:r>
              <w:t>1.2313±0.0758</w:t>
            </w:r>
          </w:p>
        </w:tc>
        <w:tc>
          <w:tcPr/>
          <w:p>
            <w:pPr>
              <w:pStyle w:val="000012"/>
            </w:pPr>
            <w:r>
              <w:t>0.9907±0.0049</w:t>
            </w:r>
          </w:p>
        </w:tc>
        <w:tc>
          <w:tcPr/>
          <w:p>
            <w:pPr>
              <w:pStyle w:val="000012"/>
            </w:pPr>
            <w:r>
              <w:t>0.4042</w:t>
            </w:r>
          </w:p>
        </w:tc>
      </w:tr>
      <w:tr>
        <w:trPr/>
        <w:tc>
          <w:tcPr/>
          <w:p>
            <w:pPr>
              <w:pStyle w:val="000012"/>
            </w:pPr>
            <w:r>
              <w:t>CNN</w:t>
            </w:r>
          </w:p>
        </w:tc>
        <w:tc>
          <w:tcPr/>
          <w:p>
            <w:pPr>
              <w:pStyle w:val="000012"/>
            </w:pPr>
            <w:r>
              <w:t>1.2283±0.0914</w:t>
            </w:r>
          </w:p>
        </w:tc>
        <w:tc>
          <w:tcPr/>
          <w:p>
            <w:pPr>
              <w:pStyle w:val="000012"/>
            </w:pPr>
            <w:r>
              <w:t>0.9904±0.0059</w:t>
            </w:r>
          </w:p>
        </w:tc>
        <w:tc>
          <w:tcPr/>
          <w:p>
            <w:pPr>
              <w:pStyle w:val="000012"/>
            </w:pPr>
            <w:r>
              <w:t>&gt;0.05</w:t>
            </w:r>
          </w:p>
        </w:tc>
      </w:tr>
      <w:tr>
        <w:trPr/>
        <w:tc>
          <w:tcPr/>
          <w:p>
            <w:pPr>
              <w:pStyle w:val="000012"/>
            </w:pPr>
            <w:r>
              <w:t>PINN</w:t>
            </w:r>
          </w:p>
        </w:tc>
        <w:tc>
          <w:tcPr/>
          <w:p>
            <w:pPr>
              <w:pStyle w:val="000012"/>
            </w:pPr>
            <w:r>
              <w:t>1.2246±0.0729</w:t>
            </w:r>
          </w:p>
        </w:tc>
        <w:tc>
          <w:tcPr/>
          <w:p>
            <w:pPr>
              <w:pStyle w:val="000012"/>
            </w:pPr>
            <w:r>
              <w:t>0.9939±0.0058</w:t>
            </w:r>
          </w:p>
        </w:tc>
        <w:tc>
          <w:tcPr/>
          <w:p>
            <w:pPr>
              <w:pStyle w:val="000012"/>
            </w:pPr>
            <w:r>
              <w:t>0.9163</w:t>
            </w:r>
          </w:p>
        </w:tc>
      </w:tr>
      <w:tr>
        <w:trPr/>
        <w:tc>
          <w:tcPr/>
          <w:p>
            <w:pPr>
              <w:pStyle w:val="000012"/>
            </w:pPr>
            <w:r>
              <w:t>gPINN</w:t>
            </w:r>
          </w:p>
        </w:tc>
        <w:tc>
          <w:tcPr/>
          <w:p>
            <w:pPr>
              <w:pStyle w:val="000012"/>
            </w:pPr>
            <w:r>
              <w:t>1.2241±0.0722</w:t>
            </w:r>
          </w:p>
        </w:tc>
        <w:tc>
          <w:tcPr/>
          <w:p>
            <w:pPr>
              <w:pStyle w:val="000012"/>
            </w:pPr>
            <w:r>
              <w:t>0.9940±0.0055</w:t>
            </w:r>
          </w:p>
        </w:tc>
        <w:tc>
          <w:tcPr/>
          <w:p>
            <w:pPr>
              <w:pStyle w:val="000012"/>
            </w:pPr>
            <w:r>
              <w:t>&gt;0.05</w:t>
            </w:r>
          </w:p>
        </w:tc>
      </w:tr>
    </w:tbl>
    <w:p>
      <w:pPr>
        <w:pStyle w:val="00000f"/>
      </w:pPr>
      <w:r>
        <w:rPr>
          <w:rFonts w:hint="eastAsia"/>
          <w:b w:val="1"/>
          <w:bCs w:val="1"/>
        </w:rPr>
        <w:t>全部配对比较</w:t>
      </w:r>
      <w:r>
        <w:rPr>
          <w:b w:val="1"/>
          <w:bCs w:val="1"/>
        </w:rPr>
        <w:t xml:space="preserve"> </w:t>
      </w:r>
      <w:r>
        <w:rPr>
          <w:rFonts w:hint="eastAsia"/>
          <w:b w:val="1"/>
          <w:bCs w:val="1"/>
        </w:rPr>
        <w:t>p&gt;0.05，无一显著。</w:t>
      </w:r>
      <w:r>
        <w:t xml:space="preserve"> </w:t>
      </w:r>
      <w:r>
        <w:rPr>
          <w:rFonts w:hint="eastAsia"/>
        </w:rPr>
        <w:t>注意</w:t>
      </w:r>
      <w:r>
        <w:t xml:space="preserve"> MAE </w:t>
      </w:r>
      <w:r>
        <w:rPr>
          <w:rFonts w:hint="eastAsia"/>
        </w:rPr>
        <w:t>均值的组间差最大仅</w:t>
      </w:r>
      <w:r>
        <w:t xml:space="preserve"> </w:t>
      </w:r>
      <w:r>
        <w:rPr>
          <w:rFonts w:hint="eastAsia"/>
        </w:rPr>
        <w:t>0.018，而组内标准差达</w:t>
      </w:r>
      <w:r>
        <w:t xml:space="preserve"> </w:t>
      </w:r>
      <w:r>
        <w:rPr>
          <w:rFonts w:hint="eastAsia"/>
        </w:rPr>
        <w:t>0.07~0.09——组内变异远大于组间变异，这是”差异不显著”最直观的几何解释。诚实的结论是：</w:t>
      </w:r>
      <w:r>
        <w:rPr>
          <w:rFonts w:hint="eastAsia"/>
          <w:b w:val="1"/>
          <w:bCs w:val="1"/>
        </w:rPr>
        <w:t>在本协议与数据条件下，没有证据支持任何一种架构（包括物理引导的连续时间网络）在点回归精度上优于其他架构。</w:t>
      </w:r>
      <w:r>
        <w:t xml:space="preserve"> </w:t>
      </w:r>
      <w:r>
        <w:rPr>
          <w:rFonts w:hint="eastAsia"/>
        </w:rPr>
        <w:t>值得强调，“无显著差异”本身即是有价值的科学结论[19-20]：它将该领域的改进空间从”堆叠架构”重新定向到数据质量、任务定义与不确定性量化。</w:t>
      </w:r>
    </w:p>
    <w:p>
      <w:pPr>
        <w:pStyle w:val="000021"/>
      </w:pPr>
      <w:bookmarkEnd w:id="23"/>
      <w:bookmarkStart w:id="24" w:name="指标陷阱诊断r²0-与-pcc0.99-并存的成因与警示"/>
      <w:r>
        <w:t xml:space="preserve">4.3 </w:t>
      </w:r>
      <w:r>
        <w:rPr>
          <w:rFonts w:hint="eastAsia"/>
        </w:rPr>
        <w:t>指标陷阱诊断：R²&lt;0</w:t>
      </w:r>
      <w:r>
        <w:t xml:space="preserve"> </w:t>
      </w:r>
      <w:r>
        <w:rPr>
          <w:rFonts w:hint="eastAsia"/>
        </w:rPr>
        <w:t>与</w:t>
      </w:r>
      <w:r>
        <w:t xml:space="preserve"> PCC≈0.99 </w:t>
      </w:r>
      <w:r>
        <w:rPr>
          <w:rFonts w:hint="eastAsia"/>
        </w:rPr>
        <w:t>并存的成因与警示</w:t>
      </w:r>
    </w:p>
    <w:p>
      <w:pPr>
        <w:pStyle w:val="000011"/>
      </w:pPr>
      <w:r>
        <w:rPr>
          <w:rFonts w:hint="eastAsia"/>
        </w:rPr>
        <w:t>本研究最具方法学价值的发现是指标矛盾的全域性：</w:t>
      </w:r>
      <w:r>
        <w:rPr>
          <w:rFonts w:hint="eastAsia"/>
          <w:b w:val="1"/>
          <w:bCs w:val="1"/>
        </w:rPr>
        <w:t>所有模型</w:t>
      </w:r>
      <w:r>
        <w:rPr>
          <w:b w:val="1"/>
          <w:bCs w:val="1"/>
        </w:rPr>
        <w:t xml:space="preserve"> × </w:t>
      </w:r>
      <w:r>
        <w:rPr>
          <w:rFonts w:hint="eastAsia"/>
          <w:b w:val="1"/>
          <w:bCs w:val="1"/>
        </w:rPr>
        <w:t>所有数据集，R²</w:t>
      </w:r>
      <w:r>
        <w:rPr>
          <w:b w:val="1"/>
          <w:bCs w:val="1"/>
        </w:rPr>
        <w:t xml:space="preserve"> </w:t>
      </w:r>
      <w:r>
        <w:rPr>
          <w:rFonts w:hint="eastAsia"/>
          <w:b w:val="1"/>
          <w:bCs w:val="1"/>
        </w:rPr>
        <w:t>均为负，而</w:t>
      </w:r>
      <w:r>
        <w:rPr>
          <w:b w:val="1"/>
          <w:bCs w:val="1"/>
        </w:rPr>
        <w:t xml:space="preserve"> PCC </w:t>
      </w:r>
      <w:r>
        <w:rPr>
          <w:rFonts w:hint="eastAsia"/>
          <w:b w:val="1"/>
          <w:bCs w:val="1"/>
        </w:rPr>
        <w:t>均在</w:t>
      </w:r>
      <w:r>
        <w:rPr>
          <w:b w:val="1"/>
          <w:bCs w:val="1"/>
        </w:rPr>
        <w:t xml:space="preserve"> 0.98 </w:t>
      </w:r>
      <w:r>
        <w:rPr>
          <w:rFonts w:hint="eastAsia"/>
          <w:b w:val="1"/>
          <w:bCs w:val="1"/>
        </w:rPr>
        <w:t>以上</w:t>
      </w:r>
      <w:r>
        <w:rPr>
          <w:rFonts w:hint="eastAsia"/>
        </w:rPr>
        <w:t>（表</w:t>
      </w:r>
      <w:r>
        <w:t xml:space="preserve"> </w:t>
      </w:r>
      <w:r>
        <w:rPr>
          <w:rFonts w:hint="eastAsia"/>
        </w:rPr>
        <w:t>1、表</w:t>
      </w:r>
      <w:r>
        <w:t xml:space="preserve"> </w:t>
      </w:r>
      <w:r>
        <w:rPr>
          <w:rFonts w:hint="eastAsia"/>
        </w:rPr>
        <w:t>2）。按第</w:t>
      </w:r>
      <w:r>
        <w:t xml:space="preserve"> 2.5 </w:t>
      </w:r>
      <w:r>
        <w:rPr>
          <w:rFonts w:hint="eastAsia"/>
        </w:rPr>
        <w:t>节的分解式，PCC≈1</w:t>
      </w:r>
      <w:r>
        <w:t xml:space="preserve"> </w:t>
      </w:r>
      <w:r>
        <w:rPr>
          <w:rFonts w:hint="eastAsia"/>
        </w:rPr>
        <w:t>且</w:t>
      </w:r>
      <w:r>
        <w:t xml:space="preserve"> R²≤0 </w:t>
      </w:r>
      <w:r>
        <w:rPr>
          <w:rFonts w:hint="eastAsia"/>
        </w:rPr>
        <w:t>只能来自两种机制：</w:t>
      </w:r>
    </w:p>
    <w:p>
      <w:pPr>
        <w:pStyle w:val="000012"/>
        <w:numPr>
          <w:ilvl w:val="0"/>
          <w:numId w:val="5"/>
        </w:numPr>
      </w:pPr>
      <w:r>
        <w:rPr>
          <w:rFonts w:hint="eastAsia"/>
          <w:b w:val="1"/>
          <w:bCs w:val="1"/>
        </w:rPr>
        <w:t>系统性偏移</w:t>
      </w:r>
      <w:r>
        <w:rPr>
          <w:rFonts w:hint="eastAsia"/>
        </w:rPr>
        <w:t>：预测序列整体平移，</w:t>
      </w:r>
      <m:oMath>
        <m:r>
          <m:rPr>
            <m:sty m:val="p"/>
          </m:rPr>
          <w:rPr/>
          <m:t>(</m:t>
        </m:r>
        <m:acc>
          <m:accPr>
            <m:chr m:val="‾"/>
          </m:accPr>
          <m:e>
            <m:acc>
              <m:accPr>
                <m:chr m:val="̂"/>
              </m:accPr>
              <m:e>
                <m:r>
                  <m:rPr/>
                  <w:rPr/>
                  <m:t>y</m:t>
                </m:r>
              </m:e>
            </m:acc>
          </m:e>
        </m:acc>
        <m:r>
          <m:rPr>
            <m:sty m:val="p"/>
          </m:rPr>
          <w:rPr/>
          <m:t>−</m:t>
        </m:r>
        <m:acc>
          <m:accPr>
            <m:chr m:val="‾"/>
          </m:accPr>
          <m:e>
            <m:r>
              <m:rPr/>
              <w:rPr/>
              <m:t>y</m:t>
            </m:r>
          </m:e>
        </m:acc>
        <m:sSup>
          <m:sSupPr/>
          <m:e>
            <m:r>
              <m:rPr>
                <m:sty m:val="p"/>
              </m:rPr>
              <w:rPr/>
              <m:t>)</m:t>
            </m:r>
          </m:e>
          <m:sup>
            <m:r>
              <m:rPr/>
              <w:rPr/>
              <m:t>2</m:t>
            </m:r>
          </m:sup>
        </m:sSup>
        <m:r>
          <m:rPr>
            <m:sty m:val="p"/>
          </m:rPr>
          <w:rPr/>
          <m:t>/</m:t>
        </m:r>
        <m:sSubSup>
          <m:sSubSupPr/>
          <m:e>
            <m:r>
              <m:rPr/>
              <w:rPr/>
              <m:t>y</m:t>
            </m:r>
          </m:e>
          <m:sub>
            <m:r>
              <m:rPr/>
              <w:rPr/>
              <m:t>2</m:t>
            </m:r>
          </m:sub>
          <m:sup>
            <m:r>
              <m:rPr/>
              <w:rPr/>
              <m:t>σ</m:t>
            </m:r>
          </m:sup>
        </m:sSubSup>
      </m:oMath>
      <w:r>
        <w:t xml:space="preserve"> </w:t>
      </w:r>
      <w:r>
        <w:rPr>
          <w:rFonts w:hint="eastAsia"/>
        </w:rPr>
        <w:t>项吞噬全部相关性收益；</w:t>
      </w:r>
    </w:p>
    <w:p>
      <w:pPr>
        <w:pStyle w:val="000012"/>
        <w:numPr>
          <w:ilvl w:val="0"/>
          <w:numId w:val="5"/>
        </w:numPr>
      </w:pPr>
      <w:r>
        <w:rPr>
          <w:rFonts w:hint="eastAsia"/>
          <w:b w:val="1"/>
          <w:bCs w:val="1"/>
        </w:rPr>
        <w:t>方差失配（方差塌缩或放大）</w:t>
      </w:r>
      <w:r>
        <w:rPr>
          <w:rFonts w:hint="eastAsia"/>
        </w:rPr>
        <w:t>：</w:t>
      </w:r>
      <m:oMath>
        <m:sSub>
          <m:sSubPr/>
          <m:e>
            <m:r>
              <m:rPr/>
              <w:rPr/>
              <m:t>σ</m:t>
            </m:r>
          </m:e>
          <m:sub>
            <m:acc>
              <m:accPr>
                <m:chr m:val="̂"/>
              </m:accPr>
              <m:e>
                <m:r>
                  <m:rPr/>
                  <w:rPr/>
                  <m:t>y</m:t>
                </m:r>
              </m:e>
            </m:acc>
          </m:sub>
        </m:sSub>
        <m:r>
          <m:rPr>
            <m:sty m:val="p"/>
          </m:rPr>
          <w:rPr/>
          <m:t>/</m:t>
        </m:r>
        <m:sSub>
          <m:sSubPr/>
          <m:e>
            <m:r>
              <m:rPr/>
              <w:rPr/>
              <m:t>σ</m:t>
            </m:r>
          </m:e>
          <m:sub>
            <m:r>
              <m:rPr/>
              <w:rPr/>
              <m:t>y</m:t>
            </m:r>
          </m:sub>
        </m:sSub>
      </m:oMath>
      <w:r>
        <w:t xml:space="preserve"> </w:t>
      </w:r>
      <w:r>
        <w:rPr>
          <w:rFonts w:hint="eastAsia"/>
        </w:rPr>
        <w:t>显著偏离</w:t>
      </w:r>
      <w:r>
        <w:t xml:space="preserve"> </w:t>
      </w:r>
      <w:r>
        <w:rPr>
          <w:rFonts w:hint="eastAsia"/>
        </w:rPr>
        <w:t>1，缩放项主导。</w:t>
      </w:r>
    </w:p>
    <w:p>
      <w:pPr>
        <w:pStyle w:val="000011"/>
      </w:pPr>
      <w:r>
        <w:rPr>
          <w:rFonts w:hint="eastAsia"/>
        </w:rPr>
        <w:t>结合超参数扫描中</w:t>
      </w:r>
      <w:r>
        <w:t xml:space="preserve"> R² </w:t>
      </w:r>
      <w:r>
        <w:rPr>
          <w:rFonts w:hint="eastAsia"/>
        </w:rPr>
        <w:t>对配置几乎不敏感（−0.012~−0.147</w:t>
      </w:r>
      <w:r>
        <w:t xml:space="preserve"> </w:t>
      </w:r>
      <w:r>
        <w:rPr>
          <w:rFonts w:hint="eastAsia"/>
        </w:rPr>
        <w:t>窄幅波动，而</w:t>
      </w:r>
      <w:r>
        <w:t xml:space="preserve"> PCC </w:t>
      </w:r>
      <w:r>
        <w:rPr>
          <w:rFonts w:hint="eastAsia"/>
        </w:rPr>
        <w:t>恒在</w:t>
      </w:r>
      <w:r>
        <w:t xml:space="preserve"> 0.98 </w:t>
      </w:r>
      <w:r>
        <w:rPr>
          <w:rFonts w:hint="eastAsia"/>
        </w:rPr>
        <w:t>以上，见</w:t>
      </w:r>
      <w:r>
        <w:t xml:space="preserve"> </w:t>
      </w:r>
      <w:r>
        <w:rPr>
          <w:rStyle w:val="00003b"/>
        </w:rPr>
        <w:t>hyperparameter_sensitivity_results.json</w:t>
      </w:r>
      <w:r>
        <w:rPr>
          <w:rFonts w:hint="eastAsia"/>
        </w:rPr>
        <w:t>）这一事实，可判定该矛盾源于</w:t>
      </w:r>
      <w:r>
        <w:rPr>
          <w:rFonts w:hint="eastAsia"/>
          <w:b w:val="1"/>
          <w:bCs w:val="1"/>
        </w:rPr>
        <w:t>评估管线的目标变量标准化/反标准化不一致</w:t>
      </w:r>
      <w:r>
        <w:rPr>
          <w:rFonts w:hint="eastAsia"/>
        </w:rPr>
        <w:t>或</w:t>
      </w:r>
      <w:r>
        <w:rPr>
          <w:rFonts w:hint="eastAsia"/>
          <w:b w:val="1"/>
          <w:bCs w:val="1"/>
        </w:rPr>
        <w:t>预测未经线性校准</w:t>
      </w:r>
      <w:r>
        <w:rPr>
          <w:rFonts w:hint="eastAsia"/>
        </w:rPr>
        <w:t>，而非某个模型的个体缺陷。这带来两条领域级警示：</w:t>
      </w:r>
    </w:p>
    <w:p>
      <w:pPr>
        <w:pStyle w:val="000012"/>
        <w:numPr>
          <w:ilvl w:val="0"/>
          <w:numId w:val="6"/>
        </w:numPr>
      </w:pPr>
      <w:r>
        <w:rPr>
          <w:rFonts w:hint="eastAsia"/>
          <w:b w:val="1"/>
          <w:bCs w:val="1"/>
        </w:rPr>
        <w:t>单独报告</w:t>
      </w:r>
      <w:r>
        <w:rPr>
          <w:b w:val="1"/>
          <w:bCs w:val="1"/>
        </w:rPr>
        <w:t xml:space="preserve"> </w:t>
      </w:r>
      <w:r>
        <w:rPr>
          <w:rFonts w:hint="eastAsia"/>
          <w:b w:val="1"/>
          <w:bCs w:val="1"/>
        </w:rPr>
        <w:t>PCC（或仅报告</w:t>
      </w:r>
      <w:r>
        <w:rPr>
          <w:b w:val="1"/>
          <w:bCs w:val="1"/>
        </w:rPr>
        <w:t xml:space="preserve"> MAE </w:t>
      </w:r>
      <w:r>
        <w:rPr>
          <w:rFonts w:hint="eastAsia"/>
          <w:b w:val="1"/>
          <w:bCs w:val="1"/>
        </w:rPr>
        <w:t>相对改进）的文献结论应被谨慎对待</w:t>
      </w:r>
      <w:r>
        <w:rPr>
          <w:rFonts w:hint="eastAsia"/>
        </w:rPr>
        <w:t>——本研究表明</w:t>
      </w:r>
      <w:r>
        <w:t xml:space="preserve"> PCC=0.99 </w:t>
      </w:r>
      <w:r>
        <w:rPr>
          <w:rFonts w:hint="eastAsia"/>
        </w:rPr>
        <w:t>完全可以与”劣于均值基线”（R²&lt;0）共存；</w:t>
      </w:r>
    </w:p>
    <w:p>
      <w:pPr>
        <w:pStyle w:val="000012"/>
        <w:numPr>
          <w:ilvl w:val="0"/>
          <w:numId w:val="6"/>
        </w:numPr>
      </w:pPr>
      <w:r>
        <w:rPr>
          <w:rFonts w:hint="eastAsia"/>
          <w:b w:val="1"/>
          <w:bCs w:val="1"/>
        </w:rPr>
        <w:t>指标一致性核查应成为该领域论文的标配</w:t>
      </w:r>
      <w:r>
        <w:rPr>
          <w:rFonts w:hint="eastAsia"/>
        </w:rPr>
        <w:t>：只需在评估脚本中并行输出</w:t>
      </w:r>
      <w:r>
        <w:t xml:space="preserve"> R² </w:t>
      </w:r>
      <w:r>
        <w:rPr>
          <w:rFonts w:hint="eastAsia"/>
        </w:rPr>
        <w:t>与</w:t>
      </w:r>
      <w:r>
        <w:t xml:space="preserve"> PCC </w:t>
      </w:r>
      <w:r>
        <w:rPr>
          <w:rFonts w:hint="eastAsia"/>
        </w:rPr>
        <w:t>并检查符号一致性，即可零成本捕获此类校准缺陷。既有制造</w:t>
      </w:r>
      <w:r>
        <w:t xml:space="preserve"> PIML </w:t>
      </w:r>
      <w:r>
        <w:rPr>
          <w:rFonts w:hint="eastAsia"/>
        </w:rPr>
        <w:t>研究中对误差结构的讨论[38]支持将此类核查制度化。</w:t>
      </w:r>
    </w:p>
    <w:p>
      <w:pPr>
        <w:pStyle w:val="000011"/>
      </w:pPr>
      <w:r>
        <w:rPr>
          <w:rFonts w:hint="eastAsia"/>
        </w:rPr>
        <w:t>需要说明的是，线性校准（对预测做一次仿射回归修正）预期可同时修复偏移与缩放，使</w:t>
      </w:r>
      <w:r>
        <w:t xml:space="preserve"> R² </w:t>
      </w:r>
      <w:r>
        <w:rPr>
          <w:rFonts w:hint="eastAsia"/>
        </w:rPr>
        <w:t>回到正值区间，但这属于”评估后校准”，应在论文中显式声明而非静默执行——这亦是透明性要求的一部分。</w:t>
      </w:r>
    </w:p>
    <w:p>
      <w:pPr>
        <w:pStyle w:val="000021"/>
      </w:pPr>
      <w:bookmarkEnd w:id="24"/>
      <w:bookmarkStart w:id="25" w:name="效率基准精度同质时代的真实选型依据"/>
      <w:r>
        <w:t xml:space="preserve">4.4 </w:t>
      </w:r>
      <w:r>
        <w:rPr>
          <w:rFonts w:hint="eastAsia"/>
        </w:rPr>
        <w:t>效率基准：精度同质时代的真实选型依据</w:t>
      </w:r>
    </w:p>
    <w:p>
      <w:pPr>
        <w:pStyle w:val="000011"/>
      </w:pPr>
      <w:r>
        <w:rPr>
          <w:rFonts w:hint="eastAsia"/>
        </w:rPr>
        <w:t>既然精度无显著差异（4.2</w:t>
      </w:r>
      <w:r>
        <w:t xml:space="preserve"> </w:t>
      </w:r>
      <w:r>
        <w:rPr>
          <w:rFonts w:hint="eastAsia"/>
        </w:rPr>
        <w:t>节），工程选型的决定因素转向计算效率与部署约束。表</w:t>
      </w:r>
      <w:r>
        <w:t xml:space="preserve"> 3 </w:t>
      </w:r>
      <w:r>
        <w:rPr>
          <w:rFonts w:hint="eastAsia"/>
        </w:rPr>
        <w:t>汇总静态复杂度与动态延迟（源自</w:t>
      </w:r>
      <w:r>
        <w:t xml:space="preserve"> </w:t>
      </w:r>
      <w:r>
        <w:rPr>
          <w:rStyle w:val="00003b"/>
        </w:rPr>
        <w:t>computational_efficiency_results.json</w:t>
      </w:r>
      <w:r>
        <w:t xml:space="preserve"> </w:t>
      </w:r>
      <w:r>
        <w:rPr>
          <w:rFonts w:hint="eastAsia"/>
        </w:rPr>
        <w:t>与</w:t>
      </w:r>
      <w:r>
        <w:t xml:space="preserve"> </w:t>
      </w:r>
      <w:r>
        <w:rPr>
          <w:rStyle w:val="00003b"/>
        </w:rPr>
        <w:t>realtime_inference_results.json</w:t>
      </w:r>
      <w:r>
        <w:rPr>
          <w:rFonts w:hint="eastAsia"/>
        </w:rPr>
        <w:t>，CUDA</w:t>
      </w:r>
      <w:r>
        <w:t xml:space="preserve"> </w:t>
      </w:r>
      <w:r>
        <w:rPr>
          <w:rFonts w:hint="eastAsia"/>
        </w:rPr>
        <w:t>设备，延迟为</w:t>
      </w:r>
      <w:r>
        <w:t xml:space="preserve"> 500 </w:t>
      </w:r>
      <w:r>
        <w:rPr>
          <w:rFonts w:hint="eastAsia"/>
        </w:rPr>
        <w:t>次单样本前向统计）：</w:t>
      </w:r>
    </w:p>
    <w:p>
      <w:pPr>
        <w:pStyle w:val="00000f"/>
      </w:pPr>
      <w:r>
        <w:rPr>
          <w:rFonts w:hint="eastAsia"/>
          <w:b w:val="1"/>
          <w:bCs w:val="1"/>
        </w:rPr>
        <w:t>表</w:t>
      </w:r>
      <w:r>
        <w:rPr>
          <w:b w:val="1"/>
          <w:bCs w:val="1"/>
        </w:rPr>
        <w:t xml:space="preserve"> 3 </w:t>
      </w:r>
      <w:r>
        <w:rPr>
          <w:rFonts w:hint="eastAsia"/>
          <w:b w:val="1"/>
          <w:bCs w:val="1"/>
        </w:rPr>
        <w:t>计算效率与推理延迟画像</w:t>
      </w:r>
    </w:p>
    <w:tbl>
      <w:tblPr>
        <w:tblStyle w:val="000032"/>
        <w:tblW w:w="5000" w:type="pct"/>
        <w:tblLayout w:type="fixed"/>
        <w:tblLook w:firstRow="1" w:lastRow="0" w:firstColumn="0" w:lastColumn="0" w:noHBand="0" w:noVBand="0" w:val="0020"/>
      </w:tblPr>
      <w:tblGrid>
        <w:gridCol w:w="1131"/>
        <w:gridCol w:w="1131"/>
        <w:gridCol w:w="1131"/>
        <w:gridCol w:w="1131"/>
        <w:gridCol w:w="1131"/>
        <w:gridCol w:w="1131"/>
        <w:gridCol w:w="1131"/>
      </w:tblGrid>
      <w:tr>
        <w:trPr>
          <w:tblHeader w:val="1"/>
        </w:trPr>
        <w:tc>
          <w:tcPr/>
          <w:p>
            <w:pPr>
              <w:pStyle w:val="000012"/>
            </w:pPr>
            <w:r>
              <w:rPr>
                <w:rFonts w:hint="eastAsia"/>
              </w:rPr>
              <w:t>模型</w:t>
            </w:r>
          </w:p>
        </w:tc>
        <w:tc>
          <w:tcPr/>
          <w:p>
            <w:pPr>
              <w:pStyle w:val="000012"/>
            </w:pPr>
            <w:r>
              <w:rPr>
                <w:rFonts w:hint="eastAsia"/>
              </w:rPr>
              <w:t>参数量</w:t>
            </w:r>
          </w:p>
        </w:tc>
        <w:tc>
          <w:tcPr/>
          <w:p>
            <w:pPr>
              <w:pStyle w:val="000012"/>
            </w:pPr>
            <w:r>
              <w:rPr>
                <w:rFonts w:hint="eastAsia"/>
              </w:rPr>
              <w:t>FLOPs/步</w:t>
            </w:r>
          </w:p>
        </w:tc>
        <w:tc>
          <w:tcPr/>
          <w:p>
            <w:pPr>
              <w:pStyle w:val="000012"/>
            </w:pPr>
            <w:r>
              <w:rPr>
                <w:rFonts w:hint="eastAsia"/>
              </w:rPr>
              <w:t>平均延迟(ms)</w:t>
            </w:r>
          </w:p>
        </w:tc>
        <w:tc>
          <w:tcPr/>
          <w:p>
            <w:pPr>
              <w:pStyle w:val="000012"/>
            </w:pPr>
            <w:r>
              <w:t>P95(ms)</w:t>
            </w:r>
          </w:p>
        </w:tc>
        <w:tc>
          <w:tcPr/>
          <w:p>
            <w:pPr>
              <w:pStyle w:val="000012"/>
            </w:pPr>
            <w:r>
              <w:t>P99(ms)</w:t>
            </w:r>
          </w:p>
        </w:tc>
        <w:tc>
          <w:tcPr/>
          <w:p>
            <w:pPr>
              <w:pStyle w:val="000012"/>
            </w:pPr>
            <w:r>
              <w:rPr>
                <w:rFonts w:hint="eastAsia"/>
              </w:rPr>
              <w:t>内存(MB)</w:t>
            </w:r>
          </w:p>
        </w:tc>
      </w:tr>
      <w:tr>
        <w:trPr/>
        <w:tc>
          <w:tcPr/>
          <w:p>
            <w:pPr>
              <w:pStyle w:val="000012"/>
            </w:pPr>
            <w:r>
              <w:t>DL-LNN</w:t>
            </w:r>
          </w:p>
        </w:tc>
        <w:tc>
          <w:tcPr/>
          <w:p>
            <w:pPr>
              <w:pStyle w:val="000012"/>
            </w:pPr>
            <w:r>
              <w:t>107 908</w:t>
            </w:r>
          </w:p>
        </w:tc>
        <w:tc>
          <w:tcPr/>
          <w:p>
            <w:pPr>
              <w:pStyle w:val="000012"/>
            </w:pPr>
            <w:r>
              <w:t>8 576</w:t>
            </w:r>
          </w:p>
        </w:tc>
        <w:tc>
          <w:tcPr/>
          <w:p>
            <w:pPr>
              <w:pStyle w:val="000012"/>
            </w:pPr>
            <w:r>
              <w:t>1.005</w:t>
            </w:r>
          </w:p>
        </w:tc>
        <w:tc>
          <w:tcPr/>
          <w:p>
            <w:pPr>
              <w:pStyle w:val="000012"/>
            </w:pPr>
            <w:r>
              <w:t>1.489</w:t>
            </w:r>
          </w:p>
        </w:tc>
        <w:tc>
          <w:tcPr/>
          <w:p>
            <w:pPr>
              <w:pStyle w:val="000012"/>
            </w:pPr>
            <w:r>
              <w:t>2.654</w:t>
            </w:r>
          </w:p>
        </w:tc>
        <w:tc>
          <w:tcPr/>
          <w:p>
            <w:pPr>
              <w:pStyle w:val="000012"/>
            </w:pPr>
            <w:r>
              <w:t>18.32</w:t>
            </w:r>
          </w:p>
        </w:tc>
      </w:tr>
      <w:tr>
        <w:trPr/>
        <w:tc>
          <w:tcPr/>
          <w:p>
            <w:pPr>
              <w:pStyle w:val="000012"/>
            </w:pPr>
            <w:r>
              <w:rPr>
                <w:rFonts w:hint="eastAsia"/>
              </w:rPr>
              <w:t>LTC（无物理先验）</w:t>
            </w:r>
          </w:p>
        </w:tc>
        <w:tc>
          <w:tcPr/>
          <w:p>
            <w:pPr>
              <w:pStyle w:val="000012"/>
            </w:pPr>
            <w:r>
              <w:t>107 777</w:t>
            </w:r>
          </w:p>
        </w:tc>
        <w:tc>
          <w:tcPr/>
          <w:p>
            <w:pPr>
              <w:pStyle w:val="000012"/>
            </w:pPr>
            <w:r>
              <w:t>8 576</w:t>
            </w:r>
          </w:p>
        </w:tc>
        <w:tc>
          <w:tcPr/>
          <w:p>
            <w:pPr>
              <w:pStyle w:val="000012"/>
            </w:pPr>
            <w:r>
              <w:t>1.123</w:t>
            </w:r>
          </w:p>
        </w:tc>
        <w:tc>
          <w:tcPr/>
          <w:p>
            <w:pPr>
              <w:pStyle w:val="000012"/>
            </w:pPr>
            <w:r>
              <w:t>—</w:t>
            </w:r>
          </w:p>
        </w:tc>
        <w:tc>
          <w:tcPr/>
          <w:p>
            <w:pPr>
              <w:pStyle w:val="000012"/>
            </w:pPr>
            <w:r>
              <w:t>—</w:t>
            </w:r>
          </w:p>
        </w:tc>
        <w:tc>
          <w:tcPr/>
          <w:p>
            <w:pPr>
              <w:pStyle w:val="000012"/>
            </w:pPr>
            <w:r>
              <w:t>18.31</w:t>
            </w:r>
          </w:p>
        </w:tc>
      </w:tr>
      <w:tr>
        <w:trPr/>
        <w:tc>
          <w:tcPr/>
          <w:p>
            <w:pPr>
              <w:pStyle w:val="000012"/>
            </w:pPr>
            <w:r>
              <w:t>LSTM</w:t>
            </w:r>
          </w:p>
        </w:tc>
        <w:tc>
          <w:tcPr/>
          <w:p>
            <w:pPr>
              <w:pStyle w:val="000012"/>
            </w:pPr>
            <w:r>
              <w:t>340 097</w:t>
            </w:r>
          </w:p>
        </w:tc>
        <w:tc>
          <w:tcPr/>
          <w:p>
            <w:pPr>
              <w:pStyle w:val="000012"/>
            </w:pPr>
            <w:r>
              <w:t>73 856</w:t>
            </w:r>
          </w:p>
        </w:tc>
        <w:tc>
          <w:tcPr/>
          <w:p>
            <w:pPr>
              <w:pStyle w:val="000012"/>
            </w:pPr>
            <w:r>
              <w:t>0.462</w:t>
            </w:r>
          </w:p>
        </w:tc>
        <w:tc>
          <w:tcPr/>
          <w:p>
            <w:pPr>
              <w:pStyle w:val="000012"/>
            </w:pPr>
            <w:r>
              <w:t>0.704</w:t>
            </w:r>
          </w:p>
        </w:tc>
        <w:tc>
          <w:tcPr/>
          <w:p>
            <w:pPr>
              <w:pStyle w:val="000012"/>
            </w:pPr>
            <w:r>
              <w:t>0.782</w:t>
            </w:r>
          </w:p>
        </w:tc>
        <w:tc>
          <w:tcPr/>
          <w:p>
            <w:pPr>
              <w:pStyle w:val="000012"/>
            </w:pPr>
            <w:r>
              <w:t>24.43</w:t>
            </w:r>
          </w:p>
        </w:tc>
      </w:tr>
      <w:tr>
        <w:trPr/>
        <w:tc>
          <w:tcPr/>
          <w:p>
            <w:pPr>
              <w:pStyle w:val="000012"/>
            </w:pPr>
            <w:r>
              <w:t>Transformer</w:t>
            </w:r>
          </w:p>
        </w:tc>
        <w:tc>
          <w:tcPr/>
          <w:p>
            <w:pPr>
              <w:pStyle w:val="000012"/>
            </w:pPr>
            <w:r>
              <w:t>406 145</w:t>
            </w:r>
          </w:p>
        </w:tc>
        <w:tc>
          <w:tcPr/>
          <w:p>
            <w:pPr>
              <w:pStyle w:val="000012"/>
            </w:pPr>
            <w:r>
              <w:t>795 008</w:t>
            </w:r>
          </w:p>
        </w:tc>
        <w:tc>
          <w:tcPr/>
          <w:p>
            <w:pPr>
              <w:pStyle w:val="000012"/>
            </w:pPr>
            <w:r>
              <w:t>1.442</w:t>
            </w:r>
          </w:p>
        </w:tc>
        <w:tc>
          <w:tcPr/>
          <w:p>
            <w:pPr>
              <w:pStyle w:val="000012"/>
            </w:pPr>
            <w:r>
              <w:t>1.966</w:t>
            </w:r>
          </w:p>
        </w:tc>
        <w:tc>
          <w:tcPr/>
          <w:p>
            <w:pPr>
              <w:pStyle w:val="000012"/>
            </w:pPr>
            <w:r>
              <w:t>2.214</w:t>
            </w:r>
          </w:p>
        </w:tc>
        <w:tc>
          <w:tcPr/>
          <w:p>
            <w:pPr>
              <w:pStyle w:val="000012"/>
            </w:pPr>
            <w:r>
              <w:t>25.69</w:t>
            </w:r>
          </w:p>
        </w:tc>
      </w:tr>
      <w:tr>
        <w:trPr/>
        <w:tc>
          <w:tcPr/>
          <w:p>
            <w:pPr>
              <w:pStyle w:val="000012"/>
            </w:pPr>
            <w:r>
              <w:t>PINN</w:t>
            </w:r>
          </w:p>
        </w:tc>
        <w:tc>
          <w:tcPr/>
          <w:p>
            <w:pPr>
              <w:pStyle w:val="000012"/>
            </w:pPr>
            <w:r>
              <w:t>33 537</w:t>
            </w:r>
          </w:p>
        </w:tc>
        <w:tc>
          <w:tcPr/>
          <w:p>
            <w:pPr>
              <w:pStyle w:val="000012"/>
            </w:pPr>
            <w:r>
              <w:t>33 536</w:t>
            </w:r>
          </w:p>
        </w:tc>
        <w:tc>
          <w:tcPr/>
          <w:p>
            <w:pPr>
              <w:pStyle w:val="000012"/>
            </w:pPr>
            <w:r>
              <w:t>0.259</w:t>
            </w:r>
          </w:p>
        </w:tc>
        <w:tc>
          <w:tcPr/>
          <w:p>
            <w:pPr>
              <w:pStyle w:val="000012"/>
            </w:pPr>
            <w:r>
              <w:t>0.385</w:t>
            </w:r>
          </w:p>
        </w:tc>
        <w:tc>
          <w:tcPr/>
          <w:p>
            <w:pPr>
              <w:pStyle w:val="000012"/>
            </w:pPr>
            <w:r>
              <w:t>0.469</w:t>
            </w:r>
          </w:p>
        </w:tc>
        <w:tc>
          <w:tcPr/>
          <w:p>
            <w:pPr>
              <w:pStyle w:val="000012"/>
            </w:pPr>
            <w:r>
              <w:t>18.58</w:t>
            </w:r>
          </w:p>
        </w:tc>
      </w:tr>
      <w:tr>
        <w:trPr/>
        <w:tc>
          <w:tcPr/>
          <w:p>
            <w:pPr>
              <w:pStyle w:val="000012"/>
            </w:pPr>
            <w:r>
              <w:t>BPNN</w:t>
            </w:r>
          </w:p>
        </w:tc>
        <w:tc>
          <w:tcPr/>
          <w:p>
            <w:pPr>
              <w:pStyle w:val="000012"/>
            </w:pPr>
            <w:r>
              <w:t>33 537</w:t>
            </w:r>
          </w:p>
        </w:tc>
        <w:tc>
          <w:tcPr/>
          <w:p>
            <w:pPr>
              <w:pStyle w:val="000012"/>
            </w:pPr>
            <w:r>
              <w:t>33 536</w:t>
            </w:r>
          </w:p>
        </w:tc>
        <w:tc>
          <w:tcPr/>
          <w:p>
            <w:pPr>
              <w:pStyle w:val="000012"/>
            </w:pPr>
            <w:r>
              <w:t>0.286</w:t>
            </w:r>
          </w:p>
        </w:tc>
        <w:tc>
          <w:tcPr/>
          <w:p>
            <w:pPr>
              <w:pStyle w:val="000012"/>
            </w:pPr>
            <w:r>
              <w:t>0.420</w:t>
            </w:r>
          </w:p>
        </w:tc>
        <w:tc>
          <w:tcPr/>
          <w:p>
            <w:pPr>
              <w:pStyle w:val="000012"/>
            </w:pPr>
            <w:r>
              <w:t>0.526</w:t>
            </w:r>
          </w:p>
        </w:tc>
        <w:tc>
          <w:tcPr/>
          <w:p>
            <w:pPr>
              <w:pStyle w:val="000012"/>
            </w:pPr>
            <w:r>
              <w:t>18.58</w:t>
            </w:r>
          </w:p>
        </w:tc>
      </w:tr>
    </w:tbl>
    <w:p>
      <w:pPr>
        <w:pStyle w:val="00000f"/>
      </w:pPr>
      <w:r>
        <w:rPr>
          <w:rFonts w:hint="eastAsia"/>
        </w:rPr>
        <w:t>关键解读：</w:t>
      </w:r>
    </w:p>
    <w:p>
      <w:pPr>
        <w:pStyle w:val="000012"/>
        <w:numPr>
          <w:ilvl w:val="0"/>
          <w:numId w:val="7"/>
        </w:numPr>
      </w:pPr>
      <w:r>
        <w:rPr>
          <w:b w:val="1"/>
          <w:bCs w:val="1"/>
        </w:rPr>
        <w:t xml:space="preserve">FLOPs </w:t>
      </w:r>
      <w:r>
        <w:rPr>
          <w:rFonts w:hint="eastAsia"/>
          <w:b w:val="1"/>
          <w:bCs w:val="1"/>
        </w:rPr>
        <w:t>与参数量</w:t>
      </w:r>
      <w:r>
        <w:rPr>
          <w:rFonts w:hint="eastAsia"/>
        </w:rPr>
        <w:t>：连续时间模型以</w:t>
      </w:r>
      <w:r>
        <w:t xml:space="preserve"> 8 576 </w:t>
      </w:r>
      <w:r>
        <w:rPr>
          <w:rFonts w:hint="eastAsia"/>
        </w:rPr>
        <w:t>FLOPs/步位列最低（Transformer</w:t>
      </w:r>
      <w:r>
        <w:t xml:space="preserve"> </w:t>
      </w:r>
      <w:r>
        <w:rPr>
          <w:rFonts w:hint="eastAsia"/>
        </w:rPr>
        <w:t>的</w:t>
      </w:r>
      <w:r>
        <w:rPr>
          <w:rFonts w:hint="eastAsia"/>
        </w:rPr>
        <w:t xml:space="preserve"> 1/92.7、LSTM </w:t>
      </w:r>
      <w:r>
        <w:rPr>
          <w:rFonts w:hint="eastAsia"/>
        </w:rPr>
        <w:t>的</w:t>
      </w:r>
      <w:r>
        <w:t xml:space="preserve"> </w:t>
      </w:r>
      <w:r>
        <w:rPr>
          <w:rFonts w:hint="eastAsia"/>
        </w:rPr>
        <w:t>1/8.6），参数量为</w:t>
      </w:r>
      <w:r>
        <w:t xml:space="preserve"> Transformer </w:t>
      </w:r>
      <w:r>
        <w:rPr>
          <w:rFonts w:hint="eastAsia"/>
        </w:rPr>
        <w:t>的</w:t>
      </w:r>
      <w:r>
        <w:t xml:space="preserve"> </w:t>
      </w:r>
      <w:r>
        <w:rPr>
          <w:rFonts w:hint="eastAsia"/>
        </w:rPr>
        <w:t>26.6%。这源于</w:t>
      </w:r>
      <w:r>
        <w:t xml:space="preserve"> LTC </w:t>
      </w:r>
      <w:r>
        <w:rPr>
          <w:rFonts w:hint="eastAsia"/>
        </w:rPr>
        <w:t>的状态演化以低维</w:t>
      </w:r>
      <w:r>
        <w:t xml:space="preserve"> ODE </w:t>
      </w:r>
      <w:r>
        <w:rPr>
          <w:rFonts w:hint="eastAsia"/>
        </w:rPr>
        <w:t>积分而非宽矩阵乘实现[25-26]；</w:t>
      </w:r>
    </w:p>
    <w:p>
      <w:pPr>
        <w:pStyle w:val="000012"/>
        <w:numPr>
          <w:ilvl w:val="0"/>
          <w:numId w:val="7"/>
        </w:numPr>
      </w:pPr>
      <w:r>
        <w:rPr>
          <w:rFonts w:hint="eastAsia"/>
          <w:b w:val="1"/>
          <w:bCs w:val="1"/>
        </w:rPr>
        <w:t>单样本延迟</w:t>
      </w:r>
      <w:r>
        <w:rPr>
          <w:rFonts w:hint="eastAsia"/>
        </w:rPr>
        <w:t>：所有模型</w:t>
      </w:r>
      <w:r>
        <w:t xml:space="preserve"> P99 </w:t>
      </w:r>
      <w:r>
        <w:rPr>
          <w:rFonts w:hint="eastAsia"/>
        </w:rPr>
        <w:t>延迟均在</w:t>
      </w:r>
      <w:r>
        <w:t xml:space="preserve"> 3 ms </w:t>
      </w:r>
      <w:r>
        <w:rPr>
          <w:rFonts w:hint="eastAsia"/>
        </w:rPr>
        <w:t>以内，全部满足颤振监测的</w:t>
      </w:r>
      <w:r>
        <w:t xml:space="preserve"> 10 ms </w:t>
      </w:r>
      <w:r>
        <w:rPr>
          <w:rFonts w:hint="eastAsia"/>
        </w:rPr>
        <w:t>级软实时窗口[16-17]；LSTM/PINN</w:t>
      </w:r>
      <w:r>
        <w:t xml:space="preserve"> </w:t>
      </w:r>
      <w:r>
        <w:rPr>
          <w:rFonts w:hint="eastAsia"/>
        </w:rPr>
        <w:t>的绝对延迟更低，说明</w:t>
      </w:r>
      <w:r>
        <w:t xml:space="preserve"> FLOPs </w:t>
      </w:r>
      <w:r>
        <w:rPr>
          <w:rFonts w:hint="eastAsia"/>
        </w:rPr>
        <w:t>优势未完全转化为墙钟优势（ODE</w:t>
      </w:r>
      <w:r>
        <w:t xml:space="preserve"> </w:t>
      </w:r>
      <w:r>
        <w:rPr>
          <w:rFonts w:hint="eastAsia"/>
        </w:rPr>
        <w:t>积分的循环依赖限制了</w:t>
      </w:r>
      <w:r>
        <w:t xml:space="preserve"> GPU </w:t>
      </w:r>
      <w:r>
        <w:rPr>
          <w:rFonts w:hint="eastAsia"/>
        </w:rPr>
        <w:t>并行度），这是连续时间模型的诚实成本；</w:t>
      </w:r>
    </w:p>
    <w:p>
      <w:pPr>
        <w:pStyle w:val="000012"/>
        <w:numPr>
          <w:ilvl w:val="0"/>
          <w:numId w:val="7"/>
        </w:numPr>
      </w:pPr>
      <w:r>
        <w:rPr>
          <w:rFonts w:hint="eastAsia"/>
          <w:b w:val="1"/>
          <w:bCs w:val="1"/>
        </w:rPr>
        <w:t>批处理吞吐</w:t>
      </w:r>
      <w:r>
        <w:rPr>
          <w:rFonts w:hint="eastAsia"/>
        </w:rPr>
        <w:t>：DL-LNN</w:t>
      </w:r>
      <w:r>
        <w:t xml:space="preserve"> </w:t>
      </w:r>
      <w:r>
        <w:rPr>
          <w:rFonts w:hint="eastAsia"/>
        </w:rPr>
        <w:t>在批大小</w:t>
      </w:r>
      <w:r>
        <w:t xml:space="preserve"> 128 </w:t>
      </w:r>
      <w:r>
        <w:rPr>
          <w:rFonts w:hint="eastAsia"/>
        </w:rPr>
        <w:t>时达</w:t>
      </w:r>
      <w:r>
        <w:t xml:space="preserve"> 111 544 </w:t>
      </w:r>
      <w:r>
        <w:rPr>
          <w:rFonts w:hint="eastAsia"/>
        </w:rPr>
        <w:t>样本/秒（批大小</w:t>
      </w:r>
      <w:r>
        <w:t xml:space="preserve"> 1 </w:t>
      </w:r>
      <w:r>
        <w:rPr>
          <w:rFonts w:hint="eastAsia"/>
        </w:rPr>
        <w:t>时</w:t>
      </w:r>
      <w:r>
        <w:t xml:space="preserve"> 1 080 </w:t>
      </w:r>
      <w:r>
        <w:rPr>
          <w:rFonts w:hint="eastAsia"/>
        </w:rPr>
        <w:t>样本/秒），可支撑车间级多机床并发监测的服务器侧汇聚部署；</w:t>
      </w:r>
    </w:p>
    <w:p>
      <w:pPr>
        <w:pStyle w:val="000012"/>
        <w:numPr>
          <w:ilvl w:val="0"/>
          <w:numId w:val="7"/>
        </w:numPr>
      </w:pPr>
      <w:r>
        <w:rPr>
          <w:rFonts w:hint="eastAsia"/>
          <w:b w:val="1"/>
          <w:bCs w:val="1"/>
        </w:rPr>
        <w:t>内存</w:t>
      </w:r>
      <w:r>
        <w:rPr>
          <w:rFonts w:hint="eastAsia"/>
        </w:rPr>
        <w:t>：18.3</w:t>
      </w:r>
      <w:r>
        <w:t xml:space="preserve"> MB </w:t>
      </w:r>
      <w:r>
        <w:rPr>
          <w:rFonts w:hint="eastAsia"/>
        </w:rPr>
        <w:t>的运行内存使其可驻留于工业边缘网关。</w:t>
      </w:r>
    </w:p>
    <w:p>
      <w:pPr>
        <w:pStyle w:val="000011"/>
      </w:pPr>
      <w:r>
        <w:rPr>
          <w:rFonts w:hint="eastAsia"/>
        </w:rPr>
        <w:t>综合而言，效率画像给出的选型建议是分场景的：</w:t>
      </w:r>
      <w:r>
        <w:rPr>
          <w:rFonts w:hint="eastAsia"/>
          <w:b w:val="1"/>
          <w:bCs w:val="1"/>
        </w:rPr>
        <w:t>极限低延迟单点部署选</w:t>
      </w:r>
      <w:r>
        <w:rPr>
          <w:b w:val="1"/>
          <w:bCs w:val="1"/>
        </w:rPr>
        <w:t xml:space="preserve"> PINN/BPNN </w:t>
      </w:r>
      <w:r>
        <w:rPr>
          <w:rFonts w:hint="eastAsia"/>
          <w:b w:val="1"/>
          <w:bCs w:val="1"/>
        </w:rPr>
        <w:t>类小前馈网络；需要时序上下文且内存受限选连续时间模型；吞吐优先的服务器侧汇聚则</w:t>
      </w:r>
      <w:r>
        <w:rPr>
          <w:b w:val="1"/>
          <w:bCs w:val="1"/>
        </w:rPr>
        <w:t xml:space="preserve"> LSTM </w:t>
      </w:r>
      <w:r>
        <w:rPr>
          <w:rFonts w:hint="eastAsia"/>
          <w:b w:val="1"/>
          <w:bCs w:val="1"/>
        </w:rPr>
        <w:t>亦有竞争力。</w:t>
      </w:r>
      <w:r>
        <w:t xml:space="preserve"> </w:t>
      </w:r>
      <w:r>
        <w:rPr>
          <w:rFonts w:hint="eastAsia"/>
        </w:rPr>
        <w:t>“一个模型通吃”的叙事不成立。</w:t>
      </w:r>
    </w:p>
    <w:p>
      <w:pPr>
        <w:pStyle w:val="000021"/>
      </w:pPr>
      <w:bookmarkEnd w:id="25"/>
      <w:bookmarkStart w:id="26" w:name="时间常数分布连续时间模型的可解释性红利"/>
      <w:r>
        <w:t xml:space="preserve">4.5 </w:t>
      </w:r>
      <w:r>
        <w:rPr>
          <w:rFonts w:hint="eastAsia"/>
        </w:rPr>
        <w:t>时间常数分布：连续时间模型的可解释性红利</w:t>
      </w:r>
    </w:p>
    <w:p>
      <w:pPr>
        <w:pStyle w:val="000011"/>
      </w:pPr>
      <w:r>
        <w:rPr>
          <w:rFonts w:hint="eastAsia"/>
        </w:rPr>
        <w:t>尽管精度无优势，连续时间模型提供了独特的可解释性视角：训练后</w:t>
      </w:r>
      <w:r>
        <w:t xml:space="preserve"> LTC </w:t>
      </w:r>
      <w:r>
        <w:rPr>
          <w:rFonts w:hint="eastAsia"/>
        </w:rPr>
        <w:t>各层时间常数</w:t>
      </w:r>
      <w:r>
        <w:t xml:space="preserve"> τ </w:t>
      </w:r>
      <w:r>
        <w:rPr>
          <w:rFonts w:hint="eastAsia"/>
        </w:rPr>
        <w:t>的分布（</w:t>
      </w:r>
      <w:r>
        <w:rPr>
          <w:rStyle w:val="00003b"/>
        </w:rPr>
        <w:t>time_constant_analysis.json</w:t>
      </w:r>
      <w:r>
        <w:rPr>
          <w:rFonts w:hint="eastAsia"/>
        </w:rPr>
        <w:t>）显示第一层</w:t>
      </w:r>
      <w:r>
        <w:t xml:space="preserve"> τ </w:t>
      </w:r>
      <w:r>
        <w:rPr>
          <w:rFonts w:hint="eastAsia"/>
        </w:rPr>
        <w:t>均值</w:t>
      </w:r>
      <w:r>
        <w:t xml:space="preserve"> </w:t>
      </w:r>
      <w:r>
        <w:rPr>
          <w:rFonts w:hint="eastAsia"/>
        </w:rPr>
        <w:t>0.0889±0.0148（范围</w:t>
      </w:r>
      <w:r>
        <w:t xml:space="preserve"> </w:t>
      </w:r>
      <w:r>
        <w:rPr>
          <w:rFonts w:hint="eastAsia"/>
        </w:rPr>
        <w:t>0.066~0.117，中位数</w:t>
      </w:r>
      <w:r>
        <w:t xml:space="preserve"> </w:t>
      </w:r>
      <w:r>
        <w:rPr>
          <w:rFonts w:hint="eastAsia"/>
        </w:rPr>
        <w:t>0.0849），整体均值约</w:t>
      </w:r>
      <w:r>
        <w:rPr>
          <w:rFonts w:hint="eastAsia"/>
        </w:rPr>
        <w:t xml:space="preserve"> 0.0794。τ </w:t>
      </w:r>
      <w:r>
        <w:rPr>
          <w:rFonts w:hint="eastAsia"/>
        </w:rPr>
        <w:t>的量级与铣削动力学的主导时间尺度（主轴周期与刀齿通过周期的</w:t>
      </w:r>
      <w:r>
        <w:t xml:space="preserve"> 10⁻²~10⁻¹ s </w:t>
      </w:r>
      <w:r>
        <w:rPr>
          <w:rFonts w:hint="eastAsia"/>
        </w:rPr>
        <w:t>量级）处于同一区间，且层间呈现分层结构——这与”网络以不同层捕获不同时间尺度动态”的</w:t>
      </w:r>
      <w:r>
        <w:t xml:space="preserve"> LTC </w:t>
      </w:r>
      <w:r>
        <w:rPr>
          <w:rFonts w:hint="eastAsia"/>
        </w:rPr>
        <w:t>设计假说[25]相容。但本文谨慎地将其定位为</w:t>
      </w:r>
      <w:r>
        <w:rPr>
          <w:rFonts w:hint="eastAsia"/>
          <w:b w:val="1"/>
          <w:bCs w:val="1"/>
        </w:rPr>
        <w:t>相容性证据而非因果证明</w:t>
      </w:r>
      <w:r>
        <w:rPr>
          <w:rFonts w:hint="eastAsia"/>
        </w:rPr>
        <w:t>：要确立”τ</w:t>
      </w:r>
      <w:r>
        <w:t xml:space="preserve"> </w:t>
      </w:r>
      <w:r>
        <w:rPr>
          <w:rFonts w:hint="eastAsia"/>
        </w:rPr>
        <w:t>学到了物理时间尺度”，还需在受控变频实验中验证</w:t>
      </w:r>
      <w:r>
        <w:t xml:space="preserve"> τ </w:t>
      </w:r>
      <w:r>
        <w:rPr>
          <w:rFonts w:hint="eastAsia"/>
        </w:rPr>
        <w:t>分布随主轴转速的协变关系，这超出现有数据支撑范围，列为后续工作。</w:t>
      </w:r>
    </w:p>
    <w:p>
      <w:pPr>
        <w:pStyle w:val="000021"/>
      </w:pPr>
      <w:bookmarkEnd w:id="26"/>
      <w:bookmarkStart w:id="27" w:name="超参数灵敏度平坦景观的再次印证"/>
      <w:r>
        <w:t xml:space="preserve">4.6 </w:t>
      </w:r>
      <w:r>
        <w:rPr>
          <w:rFonts w:hint="eastAsia"/>
        </w:rPr>
        <w:t>超参数灵敏度：平坦景观的再次印证</w:t>
      </w:r>
    </w:p>
    <w:p>
      <w:pPr>
        <w:pStyle w:val="000011"/>
      </w:pPr>
      <w:r>
        <w:t xml:space="preserve">4 </w:t>
      </w:r>
      <w:r>
        <w:rPr>
          <w:rFonts w:hint="eastAsia"/>
        </w:rPr>
        <w:t>维扫描（第</w:t>
      </w:r>
      <w:r>
        <w:t xml:space="preserve"> 2.3 </w:t>
      </w:r>
      <w:r>
        <w:rPr>
          <w:rFonts w:hint="eastAsia"/>
        </w:rPr>
        <w:t>节）显示：MAE</w:t>
      </w:r>
      <w:r>
        <w:t xml:space="preserve"> </w:t>
      </w:r>
      <w:r>
        <w:rPr>
          <w:rFonts w:hint="eastAsia"/>
        </w:rPr>
        <w:t>在全部</w:t>
      </w:r>
      <w:r>
        <w:t xml:space="preserve"> 16 </w:t>
      </w:r>
      <w:r>
        <w:rPr>
          <w:rFonts w:hint="eastAsia"/>
        </w:rPr>
        <w:t>个配置上的极差仅</w:t>
      </w:r>
      <w:r>
        <w:t xml:space="preserve"> </w:t>
      </w:r>
      <w:r>
        <w:rPr>
          <w:rFonts w:hint="eastAsia"/>
        </w:rPr>
        <w:t>0.054（0.960~1.014），最优配置（hidden=64,</w:t>
      </w:r>
      <w:r>
        <w:t xml:space="preserve"> lr=5e-4, dt=0.01, </w:t>
      </w:r>
      <w:r>
        <w:rPr>
          <w:rFonts w:hint="eastAsia"/>
        </w:rPr>
        <w:t>dropout=0.1）相对最差配置的改进约</w:t>
      </w:r>
      <w:r>
        <w:t xml:space="preserve"> </w:t>
      </w:r>
      <w:r>
        <w:rPr>
          <w:rFonts w:hint="eastAsia"/>
        </w:rPr>
        <w:t>5.3%。这一平坦的超参数景观与</w:t>
      </w:r>
      <w:r>
        <w:t xml:space="preserve"> 4.1~4.2 </w:t>
      </w:r>
      <w:r>
        <w:rPr>
          <w:rFonts w:hint="eastAsia"/>
        </w:rPr>
        <w:t>节的平坦模型排行榜相互印证：</w:t>
      </w:r>
      <w:r>
        <w:rPr>
          <w:rFonts w:hint="eastAsia"/>
          <w:b w:val="1"/>
          <w:bCs w:val="1"/>
        </w:rPr>
        <w:t>该任务设定下性能瓶颈不在模型侧，而在数据信息量与任务表述侧</w:t>
      </w:r>
      <w:r>
        <w:rPr>
          <w:rFonts w:hint="eastAsia"/>
        </w:rPr>
        <w:t>（点回归可能丢失了颤振演化的分布信息）。dt=0.01</w:t>
      </w:r>
      <w:r>
        <w:t xml:space="preserve"> </w:t>
      </w:r>
      <w:r>
        <w:rPr>
          <w:rFonts w:hint="eastAsia"/>
        </w:rPr>
        <w:t>优于更大步长的趋势，与</w:t>
      </w:r>
      <w:r>
        <w:t xml:space="preserve"> ODE </w:t>
      </w:r>
      <w:r>
        <w:rPr>
          <w:rFonts w:hint="eastAsia"/>
        </w:rPr>
        <w:t>数值积分误差理论一致[27]。</w:t>
      </w:r>
    </w:p>
    <w:p>
      <w:r>
        <w:pict>
          <v:rect style="width:0;height:1.5pt" o:hr="t" o:hrstd="t" o:hralign="center"/>
        </w:pict>
      </w:r>
    </w:p>
    <w:p>
      <w:pPr>
        <w:pStyle w:val="00001f"/>
      </w:pPr>
      <w:bookmarkEnd w:id="27"/>
      <w:bookmarkEnd w:id="21"/>
      <w:bookmarkStart w:id="28" w:name="对领域实践的启示与研究局限"/>
      <w:r>
        <w:t xml:space="preserve">5 </w:t>
      </w:r>
      <w:r>
        <w:rPr>
          <w:rFonts w:hint="eastAsia"/>
        </w:rPr>
        <w:t>对领域实践的启示与研究局限</w:t>
      </w:r>
    </w:p>
    <w:p>
      <w:pPr>
        <w:pStyle w:val="000021"/>
      </w:pPr>
      <w:bookmarkStart w:id="29" w:name="颤振智能预测基准评估检查清单"/>
      <w:r>
        <w:t xml:space="preserve">5.1 </w:t>
      </w:r>
      <w:r>
        <w:rPr>
          <w:rFonts w:hint="eastAsia"/>
        </w:rPr>
        <w:t>颤振智能预测基准评估检查清单</w:t>
      </w:r>
    </w:p>
    <w:p>
      <w:pPr>
        <w:pStyle w:val="000011"/>
      </w:pPr>
      <w:r>
        <w:rPr>
          <w:rFonts w:hint="eastAsia"/>
        </w:rPr>
        <w:t>基于本研究暴露的陷阱，提出五项可操作的检查清单：</w:t>
      </w:r>
    </w:p>
    <w:p>
      <w:pPr>
        <w:pStyle w:val="000012"/>
        <w:numPr>
          <w:ilvl w:val="0"/>
          <w:numId w:val="8"/>
        </w:numPr>
      </w:pPr>
      <w:r>
        <w:rPr>
          <w:rFonts w:hint="eastAsia"/>
          <w:b w:val="1"/>
          <w:bCs w:val="1"/>
        </w:rPr>
        <w:t>多种子重复</w:t>
      </w:r>
      <w:r>
        <w:rPr>
          <w:b w:val="1"/>
          <w:bCs w:val="1"/>
        </w:rPr>
        <w:t xml:space="preserve"> + </w:t>
      </w:r>
      <w:r>
        <w:rPr>
          <w:rFonts w:hint="eastAsia"/>
          <w:b w:val="1"/>
          <w:bCs w:val="1"/>
        </w:rPr>
        <w:t>显著性检验</w:t>
      </w:r>
      <w:r>
        <w:rPr>
          <w:rFonts w:hint="eastAsia"/>
        </w:rPr>
        <w:t>：至少</w:t>
      </w:r>
      <w:r>
        <w:t xml:space="preserve"> 5 </w:t>
      </w:r>
      <w:r>
        <w:rPr>
          <w:rFonts w:hint="eastAsia"/>
        </w:rPr>
        <w:t>种子，报告均值±标准差与</w:t>
      </w:r>
      <w:r>
        <w:t xml:space="preserve"> Welch t </w:t>
      </w:r>
      <w:r>
        <w:rPr>
          <w:rFonts w:hint="eastAsia"/>
        </w:rPr>
        <w:t>检验</w:t>
      </w:r>
      <w:r>
        <w:t xml:space="preserve"> p </w:t>
      </w:r>
      <w:r>
        <w:rPr>
          <w:rFonts w:hint="eastAsia"/>
        </w:rPr>
        <w:t>值；样本量允许时补充效应量（Cohen’s</w:t>
      </w:r>
      <w:r>
        <w:t xml:space="preserve"> </w:t>
      </w:r>
      <w:r>
        <w:rPr>
          <w:rFonts w:hint="eastAsia"/>
        </w:rPr>
        <w:t>d[73]）与</w:t>
      </w:r>
      <w:r>
        <w:t xml:space="preserve"> Bootstrap </w:t>
      </w:r>
      <w:r>
        <w:rPr>
          <w:rFonts w:hint="eastAsia"/>
        </w:rPr>
        <w:t>置信区间[74]；</w:t>
      </w:r>
    </w:p>
    <w:p>
      <w:pPr>
        <w:pStyle w:val="000012"/>
        <w:numPr>
          <w:ilvl w:val="0"/>
          <w:numId w:val="8"/>
        </w:numPr>
      </w:pPr>
      <w:r>
        <w:rPr>
          <w:b w:val="1"/>
          <w:bCs w:val="1"/>
        </w:rPr>
        <w:t xml:space="preserve">R²/PCC </w:t>
      </w:r>
      <w:r>
        <w:rPr>
          <w:rFonts w:hint="eastAsia"/>
          <w:b w:val="1"/>
          <w:bCs w:val="1"/>
        </w:rPr>
        <w:t>联合报告与一致性核查</w:t>
      </w:r>
      <w:r>
        <w:rPr>
          <w:rFonts w:hint="eastAsia"/>
        </w:rPr>
        <w:t>：出现</w:t>
      </w:r>
      <w:r>
        <w:t xml:space="preserve"> PCC </w:t>
      </w:r>
      <w:r>
        <w:rPr>
          <w:rFonts w:hint="eastAsia"/>
        </w:rPr>
        <w:t>高而</w:t>
      </w:r>
      <w:r>
        <w:t xml:space="preserve"> R²≤0 </w:t>
      </w:r>
      <w:r>
        <w:rPr>
          <w:rFonts w:hint="eastAsia"/>
        </w:rPr>
        <w:t>时，必须诊断并披露校准状态，禁止选择性报告；</w:t>
      </w:r>
    </w:p>
    <w:p>
      <w:pPr>
        <w:pStyle w:val="000012"/>
        <w:numPr>
          <w:ilvl w:val="0"/>
          <w:numId w:val="8"/>
        </w:numPr>
      </w:pPr>
      <w:r>
        <w:rPr>
          <w:rFonts w:hint="eastAsia"/>
          <w:b w:val="1"/>
          <w:bCs w:val="1"/>
        </w:rPr>
        <w:t>合成数据显式标注</w:t>
      </w:r>
      <w:r>
        <w:rPr>
          <w:rFonts w:hint="eastAsia"/>
        </w:rPr>
        <w:t>：由解析模型生成的数据须标明生成机制，且不得用于宣称”超越该解析模型的物理学习能力”；</w:t>
      </w:r>
    </w:p>
    <w:p>
      <w:pPr>
        <w:pStyle w:val="000012"/>
        <w:numPr>
          <w:ilvl w:val="0"/>
          <w:numId w:val="8"/>
        </w:numPr>
      </w:pPr>
      <w:r>
        <w:rPr>
          <w:rFonts w:hint="eastAsia"/>
          <w:b w:val="1"/>
          <w:bCs w:val="1"/>
        </w:rPr>
        <w:t>基线崩溃检测</w:t>
      </w:r>
      <w:r>
        <w:rPr>
          <w:rFonts w:hint="eastAsia"/>
        </w:rPr>
        <w:t>：报告各基线的输出方差与损失曲线，输出近常数（如本研究观察到的</w:t>
      </w:r>
      <w:r>
        <w:rPr>
          <w:rFonts w:hint="eastAsia"/>
        </w:rPr>
        <w:t xml:space="preserve"> MAE≈19、R²≈−360 </w:t>
      </w:r>
      <w:r>
        <w:rPr>
          <w:rFonts w:hint="eastAsia"/>
        </w:rPr>
        <w:t>案例）的基线结果必须剔除并说明；</w:t>
      </w:r>
    </w:p>
    <w:p>
      <w:pPr>
        <w:pStyle w:val="000012"/>
        <w:numPr>
          <w:ilvl w:val="0"/>
          <w:numId w:val="8"/>
        </w:numPr>
      </w:pPr>
      <w:r>
        <w:rPr>
          <w:rFonts w:hint="eastAsia"/>
          <w:b w:val="1"/>
          <w:bCs w:val="1"/>
        </w:rPr>
        <w:t>原始产物公开</w:t>
      </w:r>
      <w:r>
        <w:rPr>
          <w:rFonts w:hint="eastAsia"/>
        </w:rPr>
        <w:t>：以机器可读格式（JSON/CSV）公开逐种子原始指标，使第三方能复算</w:t>
      </w:r>
      <w:r>
        <w:t xml:space="preserve"> p </w:t>
      </w:r>
      <w:r>
        <w:rPr>
          <w:rFonts w:hint="eastAsia"/>
        </w:rPr>
        <w:t>值。</w:t>
      </w:r>
    </w:p>
    <w:p>
      <w:pPr>
        <w:pStyle w:val="000011"/>
      </w:pPr>
      <w:r>
        <w:rPr>
          <w:rFonts w:hint="eastAsia"/>
        </w:rPr>
        <w:t>这份清单不设新颖性门槛，恰恰因为它的每一项在方法学文献[19-20,64]中都是常识——问题在于应用领域尚未将其内化为审稿与写作规范。</w:t>
      </w:r>
    </w:p>
    <w:p>
      <w:pPr>
        <w:pStyle w:val="000021"/>
      </w:pPr>
      <w:bookmarkEnd w:id="29"/>
      <w:bookmarkStart w:id="30" w:name="研究局限"/>
      <w:r>
        <w:t xml:space="preserve">5.2 </w:t>
      </w:r>
      <w:r>
        <w:rPr>
          <w:rFonts w:hint="eastAsia"/>
        </w:rPr>
        <w:t>研究局限</w:t>
      </w:r>
    </w:p>
    <w:p>
      <w:pPr>
        <w:pStyle w:val="000011"/>
      </w:pPr>
      <w:r>
        <w:rPr>
          <w:rFonts w:hint="eastAsia"/>
        </w:rPr>
        <w:t>本研究自身同样接受第</w:t>
      </w:r>
      <w:r>
        <w:t xml:space="preserve"> 5.1 </w:t>
      </w:r>
      <w:r>
        <w:rPr>
          <w:rFonts w:hint="eastAsia"/>
        </w:rPr>
        <w:t>节清单的检视，存在如下诚实声明的局限：</w:t>
      </w:r>
    </w:p>
    <w:p>
      <w:pPr>
        <w:pStyle w:val="000012"/>
        <w:numPr>
          <w:ilvl w:val="0"/>
          <w:numId w:val="9"/>
        </w:numPr>
      </w:pPr>
      <w:r>
        <w:rPr>
          <w:rFonts w:hint="eastAsia"/>
          <w:b w:val="1"/>
          <w:bCs w:val="1"/>
        </w:rPr>
        <w:t>种子数偏少</w:t>
      </w:r>
      <w:r>
        <w:rPr>
          <w:rFonts w:hint="eastAsia"/>
        </w:rPr>
        <w:t>：5</w:t>
      </w:r>
      <w:r>
        <w:t xml:space="preserve"> </w:t>
      </w:r>
      <w:r>
        <w:rPr>
          <w:rFonts w:hint="eastAsia"/>
        </w:rPr>
        <w:t>种子对检验功效有限，“未拒绝原假设”不等于”证实无差异”；扩大到</w:t>
      </w:r>
      <w:r>
        <w:t xml:space="preserve"> 20+ </w:t>
      </w:r>
      <w:r>
        <w:rPr>
          <w:rFonts w:hint="eastAsia"/>
        </w:rPr>
        <w:t>种子并报告检验功效是后续工作；</w:t>
      </w:r>
    </w:p>
    <w:p>
      <w:pPr>
        <w:pStyle w:val="000012"/>
        <w:numPr>
          <w:ilvl w:val="0"/>
          <w:numId w:val="9"/>
        </w:numPr>
      </w:pPr>
      <w:r>
        <w:rPr>
          <w:rFonts w:hint="eastAsia"/>
          <w:b w:val="1"/>
          <w:bCs w:val="1"/>
        </w:rPr>
        <w:t>显著性检验仅覆盖单一（合成）数据集</w:t>
      </w:r>
      <w:r>
        <w:rPr>
          <w:rFonts w:hint="eastAsia"/>
        </w:rPr>
        <w:t>：跨全部真实数据集的多种子重复受算力限制未完成，表</w:t>
      </w:r>
      <w:r>
        <w:t xml:space="preserve"> 1 </w:t>
      </w:r>
      <w:r>
        <w:rPr>
          <w:rFonts w:hint="eastAsia"/>
        </w:rPr>
        <w:t>的单次训练结果只能作为趋势参考；</w:t>
      </w:r>
    </w:p>
    <w:p>
      <w:pPr>
        <w:pStyle w:val="000012"/>
        <w:numPr>
          <w:ilvl w:val="0"/>
          <w:numId w:val="9"/>
        </w:numPr>
      </w:pPr>
      <w:r>
        <w:rPr>
          <w:b w:val="1"/>
          <w:bCs w:val="1"/>
        </w:rPr>
        <w:t xml:space="preserve">R² </w:t>
      </w:r>
      <w:r>
        <w:rPr>
          <w:rFonts w:hint="eastAsia"/>
          <w:b w:val="1"/>
          <w:bCs w:val="1"/>
        </w:rPr>
        <w:t>异常的根因未在本文内完全修复</w:t>
      </w:r>
      <w:r>
        <w:rPr>
          <w:rFonts w:hint="eastAsia"/>
        </w:rPr>
        <w:t>：本文诊断了矛盾的数学机制并锁定为评估管线校准问题，但修复后的全量重跑留待后续；在修复前，本文所有精度数字应理解为”同一管线内的相对比较”而非绝对性能；</w:t>
      </w:r>
    </w:p>
    <w:p>
      <w:pPr>
        <w:pStyle w:val="000012"/>
        <w:numPr>
          <w:ilvl w:val="0"/>
          <w:numId w:val="9"/>
        </w:numPr>
      </w:pPr>
      <w:r>
        <w:rPr>
          <w:rFonts w:hint="eastAsia"/>
          <w:b w:val="1"/>
          <w:bCs w:val="1"/>
        </w:rPr>
        <w:t>点回归任务表述的固有局限</w:t>
      </w:r>
      <w:r>
        <w:rPr>
          <w:rFonts w:hint="eastAsia"/>
        </w:rPr>
        <w:t>：将颤振预测表述为标量点回归可能本身就是信息瓶颈，分布预测、证据回归类不确定性量化[23]与稳定性分类边界预测是更合理的任务族；</w:t>
      </w:r>
    </w:p>
    <w:p>
      <w:pPr>
        <w:pStyle w:val="000012"/>
        <w:numPr>
          <w:ilvl w:val="0"/>
          <w:numId w:val="9"/>
        </w:numPr>
      </w:pPr>
      <w:r>
        <w:rPr>
          <w:rFonts w:hint="eastAsia"/>
          <w:b w:val="1"/>
          <w:bCs w:val="1"/>
        </w:rPr>
        <w:t>未覆盖跨机床外推</w:t>
      </w:r>
      <w:r>
        <w:rPr>
          <w:rFonts w:hint="eastAsia"/>
        </w:rPr>
        <w:t>：跨工况实验（LOMO/LOCO</w:t>
      </w:r>
      <w:r>
        <w:t xml:space="preserve"> </w:t>
      </w:r>
      <w:r>
        <w:rPr>
          <w:rFonts w:hint="eastAsia"/>
        </w:rPr>
        <w:t>协议）的既有数据显示各模型同样无显著差异且</w:t>
      </w:r>
      <w:r>
        <w:t xml:space="preserve"> R² </w:t>
      </w:r>
      <w:r>
        <w:rPr>
          <w:rFonts w:hint="eastAsia"/>
        </w:rPr>
        <w:t>为负（</w:t>
      </w:r>
      <w:r>
        <w:rPr>
          <w:rStyle w:val="00003b"/>
        </w:rPr>
        <w:t>cross_condition_results.json</w:t>
      </w:r>
      <w:r>
        <w:rPr>
          <w:rFonts w:hint="eastAsia"/>
        </w:rPr>
        <w:t>），受同一校准问题制约，故未纳入正文正式比较。</w:t>
      </w:r>
    </w:p>
    <w:p>
      <w:pPr>
        <w:pStyle w:val="000021"/>
      </w:pPr>
      <w:bookmarkEnd w:id="30"/>
      <w:bookmarkStart w:id="31" w:name="数据可用性声明"/>
      <w:r>
        <w:t xml:space="preserve">5.3 </w:t>
      </w:r>
      <w:r>
        <w:rPr>
          <w:rFonts w:hint="eastAsia"/>
        </w:rPr>
        <w:t>数据可用性声明</w:t>
      </w:r>
    </w:p>
    <w:p>
      <w:pPr>
        <w:pStyle w:val="000011"/>
      </w:pPr>
      <w:r>
        <w:rPr>
          <w:rFonts w:hint="eastAsia"/>
        </w:rPr>
        <w:t>本文全部结果可溯源至开源项目”灵境制造”研究目录下的机器可读产物：</w:t>
      </w:r>
      <w:r>
        <w:rPr>
          <w:rStyle w:val="00003b"/>
        </w:rPr>
        <w:t>main_comparison_results.json</w:t>
      </w:r>
      <w:r>
        <w:rPr>
          <w:rFonts w:hint="eastAsia"/>
        </w:rPr>
        <w:t>（主对比）、</w:t>
      </w:r>
      <w:r>
        <w:rPr>
          <w:rStyle w:val="00003b"/>
        </w:rPr>
        <w:t>statistical_significance_results.json</w:t>
      </w:r>
      <w:r>
        <w:rPr>
          <w:rFonts w:hint="eastAsia"/>
        </w:rPr>
        <w:t>（5</w:t>
      </w:r>
      <w:r>
        <w:t xml:space="preserve"> </w:t>
      </w:r>
      <w:r>
        <w:rPr>
          <w:rFonts w:hint="eastAsia"/>
        </w:rPr>
        <w:t>种子与</w:t>
      </w:r>
      <w:r>
        <w:t xml:space="preserve"> p </w:t>
      </w:r>
      <w:r>
        <w:rPr>
          <w:rFonts w:hint="eastAsia"/>
        </w:rPr>
        <w:t>值）、</w:t>
      </w:r>
      <w:r>
        <w:rPr>
          <w:rStyle w:val="00003b"/>
        </w:rPr>
        <w:t>computational_efficiency_results.json</w:t>
      </w:r>
      <w:r>
        <w:t xml:space="preserve"> </w:t>
      </w:r>
      <w:r>
        <w:rPr>
          <w:rFonts w:hint="eastAsia"/>
        </w:rPr>
        <w:t>与</w:t>
      </w:r>
      <w:r>
        <w:t xml:space="preserve"> </w:t>
      </w:r>
      <w:r>
        <w:rPr>
          <w:rStyle w:val="00003b"/>
        </w:rPr>
        <w:t>realtime_inference_results.json</w:t>
      </w:r>
      <w:r>
        <w:rPr>
          <w:rFonts w:hint="eastAsia"/>
        </w:rPr>
        <w:t>（效率）、</w:t>
      </w:r>
      <w:r>
        <w:rPr>
          <w:rStyle w:val="00003b"/>
        </w:rPr>
        <w:t>hyperparameter_sensitivity_results.json</w:t>
      </w:r>
      <w:r>
        <w:rPr>
          <w:rFonts w:hint="eastAsia"/>
        </w:rPr>
        <w:t>（超参扫描）、</w:t>
      </w:r>
      <w:r>
        <w:rPr>
          <w:rStyle w:val="00003b"/>
        </w:rPr>
        <w:t>time_constant_analysis.json</w:t>
      </w:r>
      <w:r>
        <w:rPr>
          <w:rFonts w:hint="eastAsia"/>
        </w:rPr>
        <w:t>（τ</w:t>
      </w:r>
      <w:r>
        <w:t xml:space="preserve"> </w:t>
      </w:r>
      <w:r>
        <w:rPr>
          <w:rFonts w:hint="eastAsia"/>
        </w:rPr>
        <w:t>分布）、</w:t>
      </w:r>
      <w:r>
        <w:rPr>
          <w:rStyle w:val="00003b"/>
        </w:rPr>
        <w:t>ablation_results.json</w:t>
      </w:r>
      <w:r>
        <w:t xml:space="preserve"> </w:t>
      </w:r>
      <w:r>
        <w:rPr>
          <w:rFonts w:hint="eastAsia"/>
        </w:rPr>
        <w:t>与</w:t>
      </w:r>
      <w:r>
        <w:t xml:space="preserve"> </w:t>
      </w:r>
      <w:r>
        <w:rPr>
          <w:rStyle w:val="00003b"/>
        </w:rPr>
        <w:t>cross_condition_results.json</w:t>
      </w:r>
      <w:r>
        <w:rPr>
          <w:rFonts w:hint="eastAsia"/>
        </w:rPr>
        <w:t>（补充材料），以及</w:t>
      </w:r>
      <w:r>
        <w:t xml:space="preserve"> </w:t>
      </w:r>
      <w:r>
        <w:rPr>
          <w:rStyle w:val="00003b"/>
        </w:rPr>
        <w:t>figures/</w:t>
      </w:r>
      <w:r>
        <w:t xml:space="preserve"> </w:t>
      </w:r>
      <w:r>
        <w:rPr>
          <w:rFonts w:hint="eastAsia"/>
        </w:rPr>
        <w:t>下</w:t>
      </w:r>
      <w:r>
        <w:t xml:space="preserve"> 34 </w:t>
      </w:r>
      <w:r>
        <w:rPr>
          <w:rFonts w:hint="eastAsia"/>
        </w:rPr>
        <w:t>幅图表。</w:t>
      </w:r>
    </w:p>
    <w:p>
      <w:r>
        <w:pict>
          <v:rect style="width:0;height:1.5pt" o:hr="t" o:hrstd="t" o:hralign="center"/>
        </w:pict>
      </w:r>
    </w:p>
    <w:p>
      <w:pPr>
        <w:pStyle w:val="00001f"/>
      </w:pPr>
      <w:bookmarkEnd w:id="31"/>
      <w:bookmarkEnd w:id="28"/>
      <w:bookmarkStart w:id="32" w:name="结论与展望"/>
      <w:r>
        <w:t xml:space="preserve">6 </w:t>
      </w:r>
      <w:r>
        <w:rPr>
          <w:rFonts w:hint="eastAsia"/>
        </w:rPr>
        <w:t>结论与展望</w:t>
      </w:r>
    </w:p>
    <w:p>
      <w:pPr>
        <w:pStyle w:val="000011"/>
      </w:pPr>
      <w:r>
        <w:rPr>
          <w:rFonts w:hint="eastAsia"/>
        </w:rPr>
        <w:t>本文对铣削颤振深度学习预测开展了一次严格控制变量的公平基准评估，核心结论有三：</w:t>
      </w:r>
    </w:p>
    <w:p>
      <w:pPr>
        <w:pStyle w:val="00000f"/>
      </w:pPr>
      <w:r>
        <w:rPr>
          <w:rFonts w:hint="eastAsia"/>
          <w:b w:val="1"/>
          <w:bCs w:val="1"/>
        </w:rPr>
        <w:t>第一，架构红利远小于文献叙事。</w:t>
      </w:r>
      <w:r>
        <w:t xml:space="preserve"> </w:t>
      </w:r>
      <w:r>
        <w:rPr>
          <w:rFonts w:hint="eastAsia"/>
        </w:rPr>
        <w:t>在统一协议下，涵盖纯数据驱动、物理信息与物理编码三谱系的</w:t>
      </w:r>
      <w:r>
        <w:t xml:space="preserve"> 9 </w:t>
      </w:r>
      <w:r>
        <w:rPr>
          <w:rFonts w:hint="eastAsia"/>
        </w:rPr>
        <w:t>种模型，其点回归精度差异全部落入统计噪声带（所有配对</w:t>
      </w:r>
      <w:r>
        <w:t xml:space="preserve"> Welch t </w:t>
      </w:r>
      <w:r>
        <w:rPr>
          <w:rFonts w:hint="eastAsia"/>
        </w:rPr>
        <w:t>检验</w:t>
      </w:r>
      <w:r>
        <w:t xml:space="preserve"> </w:t>
      </w:r>
      <w:r>
        <w:rPr>
          <w:rFonts w:hint="eastAsia"/>
        </w:rPr>
        <w:t>p&gt;0.05，最小</w:t>
      </w:r>
      <w:r>
        <w:t xml:space="preserve"> p </w:t>
      </w:r>
      <w:r>
        <w:rPr>
          <w:rFonts w:hint="eastAsia"/>
        </w:rPr>
        <w:t>值</w:t>
      </w:r>
      <w:r>
        <w:t xml:space="preserve"> </w:t>
      </w:r>
      <w:r>
        <w:rPr>
          <w:rFonts w:hint="eastAsia"/>
        </w:rPr>
        <w:t>0.147）。这并不否定物理引导机器学习[18-19,37,40]的价值，而是说明其价值需要在更困难的任务设定（小样本外推、跨工况迁移、不确定性量化）中才能被区分与度量——在充足同分布数据的点回归上，“什么架构都差不多”是应被正视的实证事实。</w:t>
      </w:r>
    </w:p>
    <w:p>
      <w:pPr>
        <w:pStyle w:val="00000f"/>
      </w:pPr>
      <w:r>
        <w:rPr>
          <w:rFonts w:hint="eastAsia"/>
          <w:b w:val="1"/>
          <w:bCs w:val="1"/>
        </w:rPr>
        <w:t>第二，指标陷阱具有全域性与隐蔽性。</w:t>
      </w:r>
      <w:r>
        <w:t xml:space="preserve"> “PCC≈0.99 </w:t>
      </w:r>
      <w:r>
        <w:rPr>
          <w:rFonts w:hint="eastAsia"/>
        </w:rPr>
        <w:t>且</w:t>
      </w:r>
      <w:r>
        <w:t xml:space="preserve"> R²&lt;0”</w:t>
      </w:r>
      <w:r>
        <w:rPr>
          <w:rFonts w:hint="eastAsia"/>
        </w:rPr>
        <w:t>的矛盾组合在本研究全部模型与数据集上成立，其成因是预测未经校准的系统性偏移/方差失配。任何仅报告相关系数或相对改进百分比的颤振预测结论，在未提供</w:t>
      </w:r>
      <w:r>
        <w:t xml:space="preserve"> R² </w:t>
      </w:r>
      <w:r>
        <w:rPr>
          <w:rFonts w:hint="eastAsia"/>
        </w:rPr>
        <w:t>与残差诊断前都应被视为未完成的证据链。</w:t>
      </w:r>
    </w:p>
    <w:p>
      <w:pPr>
        <w:pStyle w:val="00000f"/>
      </w:pPr>
      <w:r>
        <w:rPr>
          <w:rFonts w:hint="eastAsia"/>
          <w:b w:val="1"/>
          <w:bCs w:val="1"/>
        </w:rPr>
        <w:t>第三，效率与可解释性是当下更诚实的比较维度。</w:t>
      </w:r>
      <w:r>
        <w:t xml:space="preserve"> </w:t>
      </w:r>
      <w:r>
        <w:rPr>
          <w:rFonts w:hint="eastAsia"/>
        </w:rPr>
        <w:t>连续时间网络以最低的</w:t>
      </w:r>
      <w:r>
        <w:t xml:space="preserve"> </w:t>
      </w:r>
      <w:r>
        <w:rPr>
          <w:rFonts w:hint="eastAsia"/>
        </w:rPr>
        <w:t>FLOPs（8</w:t>
      </w:r>
      <w:r>
        <w:t xml:space="preserve"> </w:t>
      </w:r>
      <w:r>
        <w:rPr>
          <w:rFonts w:hint="eastAsia"/>
        </w:rPr>
        <w:t>576/步）、紧凑的参数量（10.8</w:t>
      </w:r>
      <w:r>
        <w:t xml:space="preserve"> </w:t>
      </w:r>
      <w:r>
        <w:rPr>
          <w:rFonts w:hint="eastAsia"/>
        </w:rPr>
        <w:t>万）与物理量级相容的时间常数分布，在边缘部署与可审计性上提供了真实价值[22,25]；但其单样本墙钟延迟并非最优，选型应按部署场景分而治之。</w:t>
      </w:r>
    </w:p>
    <w:p>
      <w:pPr>
        <w:pStyle w:val="00000f"/>
      </w:pPr>
      <w:r>
        <w:rPr>
          <w:rFonts w:hint="eastAsia"/>
          <w:b w:val="1"/>
          <w:bCs w:val="1"/>
        </w:rPr>
        <w:t>展望</w:t>
      </w:r>
      <w:r>
        <w:rPr>
          <w:rFonts w:hint="eastAsia"/>
        </w:rPr>
        <w:t>：后续工作按优先级依次为——修复评估管线校准并全量重跑（含</w:t>
      </w:r>
      <w:r>
        <w:t xml:space="preserve"> 20+ </w:t>
      </w:r>
      <w:r>
        <w:rPr>
          <w:rFonts w:hint="eastAsia"/>
        </w:rPr>
        <w:t>种子与效应量报告）；将任务从点回归升级为稳定性边界的分布预测；在受控变频切削实验中检验时间常数-物理时间尺度的协变假说；推动本文检查清单在领域内的社区化采纳。更长远地，本文的公平基准协议可平移至其他”解析先验+数据驱动”并存的制造预测任务：以</w:t>
      </w:r>
      <w:r>
        <w:t xml:space="preserve"> Archard </w:t>
      </w:r>
      <w:r>
        <w:rPr>
          <w:rFonts w:hint="eastAsia"/>
        </w:rPr>
        <w:t>磨损定律[47]为先验的刀具磨损预测、以</w:t>
      </w:r>
      <w:r>
        <w:t xml:space="preserve"> Lundberg-Palmgren </w:t>
      </w:r>
      <w:r>
        <w:rPr>
          <w:rFonts w:hint="eastAsia"/>
        </w:rPr>
        <w:t>理论[48]为先验的轴承寿命预测、以经典热传导解[49]与材料力学解[50]为先验的热-力耦合建模，以及以有限元[58]为高保真参照的代理模型评估——这些场景同样存在”解析基线被随意宣称击败”的风险，同样需要统计显著性与指标一致性的双重把关。我们相信，</w:t>
      </w:r>
      <w:r>
        <w:rPr>
          <w:rFonts w:hint="eastAsia"/>
          <w:b w:val="1"/>
          <w:bCs w:val="1"/>
        </w:rPr>
        <w:t>对一个应用领域而言，一次诚实的”无显著差异”报告，比十次不可复现的”显著优于”更能推动真实进步。</w:t>
      </w:r>
    </w:p>
    <w:p>
      <w:r>
        <w:pict>
          <v:rect style="width:0;height:1.5pt" o:hr="t" o:hrstd="t" o:hralign="center"/>
        </w:pict>
      </w:r>
    </w:p>
    <w:p>
      <w:pPr>
        <w:pStyle w:val="00001f"/>
      </w:pPr>
      <w:bookmarkEnd w:id="32"/>
      <w:bookmarkStart w:id="33" w:name="参考文献"/>
      <w:r>
        <w:rPr>
          <w:rFonts w:hint="eastAsia"/>
        </w:rPr>
        <w:t>参考文献</w:t>
      </w:r>
    </w:p>
    <w:p>
      <w:pPr>
        <w:pStyle w:val="000011"/>
      </w:pPr>
      <w:r>
        <w:t>[1] TLUSTY J, POLACEK M. The stability of machine tools against self-excited vibrations in machining[C]//International Research in Production Engineering. New York: ASME, 1963: 465-474.</w:t>
      </w:r>
    </w:p>
    <w:p>
      <w:pPr>
        <w:pStyle w:val="00000f"/>
      </w:pPr>
      <w:r>
        <w:t>[2] TOBIAS S A. Machine-Tool Vibration[M]. London: Blackie &amp; Son, 1965.</w:t>
      </w:r>
    </w:p>
    <w:p>
      <w:pPr>
        <w:pStyle w:val="00000f"/>
      </w:pPr>
      <w:r>
        <w:t>[3] MERRITT H E. Theory of self-excited machine-tool chatter[J]. Transactions of the ASME, Journal of Engineering for Industry, 1965, 87(4): 447-454.</w:t>
      </w:r>
    </w:p>
    <w:p>
      <w:pPr>
        <w:pStyle w:val="00000f"/>
      </w:pPr>
      <w:r>
        <w:t>[4] QUINTANA G, CIURANA J. Chatter in machining processes: a review[J]. International Journal of Machine Tools and Manufacture, 2011, 51(5): 363-376.</w:t>
      </w:r>
    </w:p>
    <w:p>
      <w:pPr>
        <w:pStyle w:val="00000f"/>
      </w:pPr>
      <w:r>
        <w:t>[5] MUNOA J, BEUDAERT X, DOMBOVARI Z, et al. Chatter suppression techniques in metal cutting[J]. CIRP Annals, 2016, 65(2): 785-808.</w:t>
      </w:r>
    </w:p>
    <w:p>
      <w:pPr>
        <w:pStyle w:val="00000f"/>
      </w:pPr>
      <w:r>
        <w:t>[6] ALTINTAS Y. Manufacturing Automation: Metal Cutting Mechanics, Machine Tool Vibrations, and CNC Design[M]. 2nd ed. Cambridge: Cambridge University Press, 2012.</w:t>
      </w:r>
    </w:p>
    <w:p>
      <w:pPr>
        <w:pStyle w:val="00000f"/>
      </w:pPr>
      <w:r>
        <w:t>[7] SCHMITZ T L, SMITH K S. Machining Dynamics: Frequency Response to Improved Productivity[M]. New York: Springer, 2009.</w:t>
      </w:r>
    </w:p>
    <w:p>
      <w:pPr>
        <w:pStyle w:val="00000f"/>
      </w:pPr>
      <w:r>
        <w:t>[8] ALTINTAS Y, BUDAK E. Analytical prediction of stability lobes in milling[J]. CIRP Annals, 1995, 44(1): 357-362.</w:t>
      </w:r>
    </w:p>
    <w:p>
      <w:pPr>
        <w:pStyle w:val="00000f"/>
      </w:pPr>
      <w:r>
        <w:t>[9] BUDAK E, ALTINTAS Y. Analytical prediction of cutting forces in milling[J]. Transactions of the ASME, Journal of Dynamic Systems, Measurement, and Control, 1998, 120(1): 22-30.</w:t>
      </w:r>
    </w:p>
    <w:p>
      <w:pPr>
        <w:pStyle w:val="00000f"/>
      </w:pPr>
      <w:r>
        <w:t>[10] ABELE E, ALTINTAS Y, BRECHER C. Machine tool spindle units[J]. CIRP Annals, 2010, 59(2): 781-802.</w:t>
      </w:r>
    </w:p>
    <w:p>
      <w:pPr>
        <w:pStyle w:val="00000f"/>
      </w:pPr>
      <w:r>
        <w:t>[11] EWINS D J. Modal Testing: Theory, Practice and Application[M]. 2nd ed. Baldock: Research Studies Press, 2000.</w:t>
      </w:r>
    </w:p>
    <w:p>
      <w:pPr>
        <w:pStyle w:val="00000f"/>
      </w:pPr>
      <w:r>
        <w:t>[12] INSPERGER T, STÉPÁN G. Semi-discretization method for delayed systems[J]. International Journal for Numerical Methods in Engineering, 2002, 55(5): 503-518.</w:t>
      </w:r>
    </w:p>
    <w:p>
      <w:pPr>
        <w:pStyle w:val="00000f"/>
      </w:pPr>
      <w:r>
        <w:t>[13] STÉPÁN G. Retarded Dynamical Systems: Stability and Characteristic Functions[M]. Harlow: Longman, 1989.</w:t>
      </w:r>
    </w:p>
    <w:p>
      <w:pPr>
        <w:pStyle w:val="00000f"/>
      </w:pPr>
      <w:r>
        <w:t>[14] WAN M, ZHANG W H, DANG J W, et al. A unified stability prediction method for milling process with multiple delays[J]. International Journal of Machine Tools and Manufacture, 2010, 50(1): 29-41.</w:t>
      </w:r>
    </w:p>
    <w:p>
      <w:pPr>
        <w:pStyle w:val="00000f"/>
      </w:pPr>
      <w:r>
        <w:t>[15] INSPERGER T, STÉPÁN G. Stability of the milling process with variable spindle speed[J]. Periodica Polytechnica Mechanical Engineering, 2000, 44(1): 47-57.</w:t>
      </w:r>
    </w:p>
    <w:p>
      <w:pPr>
        <w:pStyle w:val="00000f"/>
      </w:pPr>
      <w:r>
        <w:t>[16] CAO H, YUE Y, CHEN X, et al. Chatter detection in milling process based on synchrosqueezing transform of sound signals[J]. The International Journal of Advanced Manufacturing Technology, 2017, 89(9): 2747-2755.</w:t>
      </w:r>
    </w:p>
    <w:p>
      <w:pPr>
        <w:pStyle w:val="00000f"/>
      </w:pPr>
      <w:r>
        <w:t>[17] ZHU L, LIU C. Recent progress of chatter prediction, detection and suppression in milling[J]. Mechanical Systems and Signal Processing, 2020, 143: 106840.</w:t>
      </w:r>
    </w:p>
    <w:p>
      <w:pPr>
        <w:pStyle w:val="00000f"/>
      </w:pPr>
      <w:r>
        <w:t>[18] RAISSI M, PERDIKARIS P, KARNIADAKIS G E. Physics-informed neural networks: a deep learning framework for solving forward and inverse problems involving nonlinear partial differential equations[J]. Journal of Computational Physics, 2019, 378: 686-707.</w:t>
      </w:r>
    </w:p>
    <w:p>
      <w:pPr>
        <w:pStyle w:val="00000f"/>
      </w:pPr>
      <w:r>
        <w:t>[19] KARNIADAKIS G E, KEVREKIDIS I G, LU L, et al. Physics-informed machine learning[J]. Nature Reviews Physics, 2021, 3(6): 422-440.</w:t>
      </w:r>
    </w:p>
    <w:p>
      <w:pPr>
        <w:pStyle w:val="00000f"/>
      </w:pPr>
      <w:r>
        <w:t>[20] CUOMO S, DI COLA V S, GIAMPAOLO F, et al. Scientific machine learning through physics-informed neural networks: where we are and what’s next[J]. Journal of Scientific Computing, 2022, 92(3): 88.</w:t>
      </w:r>
    </w:p>
    <w:p>
      <w:pPr>
        <w:pStyle w:val="00000f"/>
      </w:pPr>
      <w:r>
        <w:t>[21] YU J, LU L, MENG X, et al. Gradient-enhanced physics-informed neural networks for forward and inverse PDE problems[J]. Computer Methods in Applied Mechanics and Engineering, 2022, 393: 114823.</w:t>
      </w:r>
    </w:p>
    <w:p>
      <w:pPr>
        <w:pStyle w:val="00000f"/>
      </w:pPr>
      <w:r>
        <w:t>[22] LECHNER M, HASANI R, AMINI A, et al. Neural circuit policies enabling auditable autonomy[J]. Nature Machine Intelligence, 2020, 2(10): 642-652.</w:t>
      </w:r>
    </w:p>
    <w:p>
      <w:pPr>
        <w:pStyle w:val="00000f"/>
      </w:pPr>
      <w:r>
        <w:t>[23] AMINI A, SCHWARTING W, SOLEIMANY A, et al. Deep evidential regression[C]//Advances in Neural Information Processing Systems. 2020, 33: 14927-14937.</w:t>
      </w:r>
    </w:p>
    <w:p>
      <w:pPr>
        <w:pStyle w:val="00000f"/>
      </w:pPr>
      <w:r>
        <w:t>[24] LECHNER M, HASANI R, AMINI A, et al. Causal navigation by continuous-time neural networks[C]//Advances in Neural Information Processing Systems. 2021, 34: 12425-12440.</w:t>
      </w:r>
    </w:p>
    <w:p>
      <w:pPr>
        <w:pStyle w:val="00000f"/>
      </w:pPr>
      <w:r>
        <w:t>[25] HASANI R, LECHNER M, AMINI A, et al. Liquid time-constant networks[C]//Proceedings of the 35th AAAI Conference on Artificial Intelligence. Palo Alto: AAAI Press, 2021: 7657-7666.</w:t>
      </w:r>
    </w:p>
    <w:p>
      <w:pPr>
        <w:pStyle w:val="00000f"/>
      </w:pPr>
      <w:r>
        <w:t>[26] HASANI R, LECHNER M, AMINI A, et al. Closed-form continuous-time neural networks[J]. Nature Machine Intelligence, 2022, 4(11): 992-1003.</w:t>
      </w:r>
    </w:p>
    <w:p>
      <w:pPr>
        <w:pStyle w:val="00000f"/>
      </w:pPr>
      <w:r>
        <w:t>[27] CHEN R T Q, RUBANOVA Y, BETTENCOURT J, et al. Neural ordinary differential equations[C]//Advances in Neural Information Processing Systems. 2018, 31: 6571-6583.</w:t>
      </w:r>
    </w:p>
    <w:p>
      <w:pPr>
        <w:pStyle w:val="00000f"/>
      </w:pPr>
      <w:r>
        <w:t>[28] FUNAHASHI K I, NAKAMURA Y. Approximation of dynamical systems by continuous time recurrent neural networks[J]. Neural Networks, 1993, 6(6): 801-806.</w:t>
      </w:r>
    </w:p>
    <w:p>
      <w:pPr>
        <w:pStyle w:val="00000f"/>
      </w:pPr>
      <w:r>
        <w:t>[29] RUBANOVA Y, CHEN R T Q, DUVENAUD D. Latent ordinary differential equations for irregularly-sampled time series[C]//Advances in Neural Information Processing Systems. 2019, 32: 5320-5330.</w:t>
      </w:r>
    </w:p>
    <w:p>
      <w:pPr>
        <w:pStyle w:val="00000f"/>
      </w:pPr>
      <w:r>
        <w:t>[30] DUPONT E, DOUCET A, TEH Y W. Augmented neural ODEs[C]//Advances in Neural Information Processing Systems. 2019, 32: 3140-3150.</w:t>
      </w:r>
    </w:p>
    <w:p>
      <w:pPr>
        <w:pStyle w:val="00000f"/>
      </w:pPr>
      <w:r>
        <w:t>[31] KIDGER P, MORRILL J, FOSTER J, et al. Neural controlled differential equations for irregular time series[C]//Advances in Neural Information Processing Systems. 2020, 33: 6696-6707.</w:t>
      </w:r>
    </w:p>
    <w:p>
      <w:pPr>
        <w:pStyle w:val="00000f"/>
      </w:pPr>
      <w:r>
        <w:t>[32] POLI M, MASSAROLI S, PARK J, et al. Graph neural ordinary differential equations[EB/OL]. (2019-11-18)[2026-07-29]. https://arxiv.org/abs/1911.07532.</w:t>
      </w:r>
    </w:p>
    <w:p>
      <w:pPr>
        <w:pStyle w:val="00000f"/>
      </w:pPr>
      <w:r>
        <w:t>[33] MASSAROLI S, POLI M, PARK J, et al. Dissecting neural ODEs[C]//Advances in Neural Information Processing Systems. 2020, 33: 3952-3963.</w:t>
      </w:r>
    </w:p>
    <w:p>
      <w:pPr>
        <w:pStyle w:val="00000f"/>
      </w:pPr>
      <w:r>
        <w:t>[34] JAGTAP A D, KARNIADAKIS G E. Extended physics-informed neural networks (XPINNs): a generalized space-time domain decomposition based deep learning framework for nonlinear partial differential equations[J]. Communications in Computational Physics, 2020, 28(5): 2002-2041.</w:t>
      </w:r>
    </w:p>
    <w:p>
      <w:pPr>
        <w:pStyle w:val="00000f"/>
      </w:pPr>
      <w:r>
        <w:t>[35] WANG S, YU X, PERDIKARIS P. When and why PINNs fail to train: a neural tangent kernel perspective[J]. Journal of Computational Physics, 2022, 449: 110768.</w:t>
      </w:r>
    </w:p>
    <w:p>
      <w:pPr>
        <w:pStyle w:val="00000f"/>
      </w:pPr>
      <w:r>
        <w:t>[36] KRISHNAPRIYAN A, GHOLAMI A, ZHE S, et al. Characterizing possible failure modes in physics-informed neural networks[C]//Advances in Neural Information Processing Systems. 2021, 34: 26548-26560.</w:t>
      </w:r>
    </w:p>
    <w:p>
      <w:pPr>
        <w:pStyle w:val="00000f"/>
      </w:pPr>
      <w:r>
        <w:t>[37] GREIS N P, NOGUEIRA M L, BHATTACHARYA S, et al. Stability modeling for chatter avoidance in self-aware machining: an application of physics-guided machine learning[J]. Journal of Intelligent Manufacturing, 2023, 34(1): 387-413.</w:t>
      </w:r>
    </w:p>
    <w:p>
      <w:pPr>
        <w:pStyle w:val="00000f"/>
      </w:pPr>
      <w:r>
        <w:t>[38] COOPER C, ZHANG J, GAO R X. Error homogenization in physics-informed neural networks for modeling in manufacturing[J]. Journal of Manufacturing Systems, 2023, 71: 298-308.</w:t>
      </w:r>
    </w:p>
    <w:p>
      <w:pPr>
        <w:pStyle w:val="00000f"/>
      </w:pPr>
      <w:r>
        <w:t>[39] GUO S, AGARWAL M, COOPER C, et al. Machine learning for metal additive manufacturing: towards a physics-informed data-driven paradigm[J]. Journal of Manufacturing Systems, 2022, 62: 145-163.</w:t>
      </w:r>
    </w:p>
    <w:p>
      <w:pPr>
        <w:pStyle w:val="00000f"/>
      </w:pPr>
      <w:r>
        <w:t>[40] WANG H, LIU Y, ZHANG J, et al. Physics-informed machine learning in intelligent manufacturing: a review[J]. Journal of Intelligent Manufacturing, 2025, 36(5): 2003-2031.</w:t>
      </w:r>
    </w:p>
    <w:p>
      <w:pPr>
        <w:pStyle w:val="00000f"/>
      </w:pPr>
      <w:r>
        <w:t>[41] RAO C, REN P, WANG Q, et al. Encoding physics to learn reaction-diffusion processes[J]. Nature Machine Intelligence, 2023, 5(7): 765-779.</w:t>
      </w:r>
    </w:p>
    <w:p>
      <w:pPr>
        <w:pStyle w:val="00000f"/>
      </w:pPr>
      <w:r>
        <w:t>[42] ZHU Q, GUO Y, LIN W. Neural delay differential equations[C]//Proceedings of the 9th International Conference on Learning Representations. 2021.</w:t>
      </w:r>
    </w:p>
    <w:p>
      <w:pPr>
        <w:pStyle w:val="00000f"/>
      </w:pPr>
      <w:r>
        <w:t>[43] BAZMARA M, MIANROODI M, SILANI M. Application of physics-informed neural networks for nonlinear buckling analysis of beams[J]. Acta Mechanica Sinica, 2023, 39(6): 422438.</w:t>
      </w:r>
    </w:p>
    <w:p>
      <w:pPr>
        <w:pStyle w:val="00000f"/>
      </w:pPr>
      <w:r>
        <w:t>[44] BHOWMICK S, NAGARAJAIAH S. Physics-guided identification of Euler-Bernoulli beam PDE model from full-field displacement response[J]. Engineering Structures, 2023, 289: 116231.</w:t>
      </w:r>
    </w:p>
    <w:p>
      <w:pPr>
        <w:pStyle w:val="00000f"/>
      </w:pPr>
      <w:r>
        <w:t>[45] CAI S, WANG Z, WANG S, et al. Physics-informed neural networks for heat transfer problems[J]. Journal of Heat Transfer, 2021, 143(6): 060801.</w:t>
      </w:r>
    </w:p>
    <w:p>
      <w:pPr>
        <w:pStyle w:val="00000f"/>
      </w:pPr>
      <w:r>
        <w:t>[46] ZHU Q, LIU Z, YAN J. Machine learning for metal additive manufacturing: predicting temperature and melt pool fluid dynamics using physics-informed neural networks[J]. Computational Mechanics, 2021, 67(2): 619-635.</w:t>
      </w:r>
    </w:p>
    <w:p>
      <w:pPr>
        <w:pStyle w:val="00000f"/>
      </w:pPr>
      <w:r>
        <w:t>[47] ARCHARD J F. Contact and rubbing of flat surfaces[J]. Journal of Applied Physics, 1953, 24(8): 981-988.</w:t>
      </w:r>
    </w:p>
    <w:p>
      <w:pPr>
        <w:pStyle w:val="00000f"/>
      </w:pPr>
      <w:r>
        <w:t>[48] LUNDBERG G, PALMGREN A. Dynamic capacity of rolling bearings[J]. Acta Polytechnica, 1947, 1(3): 1-50.</w:t>
      </w:r>
    </w:p>
    <w:p>
      <w:pPr>
        <w:pStyle w:val="00000f"/>
      </w:pPr>
      <w:r>
        <w:t>[49] CARSLAW H S, JAEGER J C. Conduction of Heat in Solids[M]. 2nd ed. Oxford: Clarendon Press, 1959.</w:t>
      </w:r>
    </w:p>
    <w:p>
      <w:pPr>
        <w:pStyle w:val="00000f"/>
      </w:pPr>
      <w:r>
        <w:t>[50] TIMOSHENKO S. Strength of Materials[M]. 3rd ed. New York: Van Nostrand, 1955.</w:t>
      </w:r>
    </w:p>
    <w:p>
      <w:pPr>
        <w:pStyle w:val="00000f"/>
      </w:pPr>
      <w:r>
        <w:t>[51] LEI Y, LI N, GUO L, et al. Machinery health prognostics: a systematic review from data acquisition to RUL prediction[J]. Mechanical Systems and Signal Processing, 2018, 104: 799-834.</w:t>
      </w:r>
    </w:p>
    <w:p>
      <w:pPr>
        <w:pStyle w:val="00000f"/>
      </w:pPr>
      <w:r>
        <w:t>[52] ZHAO R, YAN R, CHEN Z, et al. Deep learning and its applications to machine health monitoring[J]. Mechanical Systems and Signal Processing, 2019, 115: 213-237.</w:t>
      </w:r>
    </w:p>
    <w:p>
      <w:pPr>
        <w:pStyle w:val="00000f"/>
      </w:pPr>
      <w:r>
        <w:t>[53] WANG J, YAN J, LI C, et al. Deep heterogeneous GRU model for predictive analytics in smart manufacturing: application to tool wear prediction[J]. Computers in Industry, 2019, 111: 1-14.</w:t>
      </w:r>
    </w:p>
    <w:p>
      <w:pPr>
        <w:pStyle w:val="00000f"/>
      </w:pPr>
      <w:r>
        <w:t>[54] LI H, ZHANG Z, LI T, et al. A review on physics-informed data-driven remaining useful life prediction: challenges and opportunities[J]. Mechanical Systems and Signal Processing, 2024, 209: 111064.</w:t>
      </w:r>
    </w:p>
    <w:p>
      <w:pPr>
        <w:pStyle w:val="00000f"/>
      </w:pPr>
      <w:r>
        <w:t>[55] HE C, SHI H, SI J, et al. Physics-informed interpretable wavelet weight initialization and balanced dynamic adaptive threshold for intelligent fault diagnosis of rolling bearings[J]. Journal of Manufacturing Systems, 2023, 70: 579-592.</w:t>
      </w:r>
    </w:p>
    <w:p>
      <w:pPr>
        <w:pStyle w:val="00000f"/>
      </w:pPr>
      <w:r>
        <w:t>[56] XU Y, KOHTZ S, BOAKYE J, et al. Physics-informed machine learning for reliability and systems safety applications: state of the art and challenges[J]. Reliability Engineering &amp; System Safety, 2023, 230: 108900.</w:t>
      </w:r>
    </w:p>
    <w:p>
      <w:pPr>
        <w:pStyle w:val="00000f"/>
      </w:pPr>
      <w:r>
        <w:t>[57] HUANG B, WANG J. Applications of physics-informed neural networks in power systems: a review[J]. IEEE Transactions on Power Systems, 2023, 38(1): 572-588.</w:t>
      </w:r>
    </w:p>
    <w:p>
      <w:pPr>
        <w:pStyle w:val="00000f"/>
      </w:pPr>
      <w:r>
        <w:t>[58] BATHE K J. Finite Element Procedures[M]. 2nd ed. Watertown: Klaus-Jürgen Bathe, 2014.</w:t>
      </w:r>
    </w:p>
    <w:p>
      <w:pPr>
        <w:pStyle w:val="00000f"/>
      </w:pPr>
      <w:r>
        <w:t>[59] PHM SOCIETY. PHM 2010 data challenge: high-speed CNC milling machine cutters dataset[DS]. Rochester: PHM Society, 2010.</w:t>
      </w:r>
    </w:p>
    <w:p>
      <w:pPr>
        <w:pStyle w:val="00000f"/>
      </w:pPr>
      <w:r>
        <w:t xml:space="preserve">[60] </w:t>
      </w:r>
      <w:r>
        <w:rPr>
          <w:rFonts w:hint="eastAsia"/>
        </w:rPr>
        <w:t>南京航空航天大学智能制造课题组.</w:t>
      </w:r>
      <w:r>
        <w:t xml:space="preserve"> NUAA </w:t>
      </w:r>
      <w:r>
        <w:rPr>
          <w:rFonts w:hint="eastAsia"/>
        </w:rPr>
        <w:t>铣削颤振数据集</w:t>
      </w:r>
      <w:r>
        <w:t xml:space="preserve"> v1.0[DS]. </w:t>
      </w:r>
      <w:r>
        <w:rPr>
          <w:rFonts w:hint="eastAsia"/>
        </w:rPr>
        <w:t>南京:</w:t>
      </w:r>
      <w:r>
        <w:t xml:space="preserve"> </w:t>
      </w:r>
      <w:r>
        <w:rPr>
          <w:rFonts w:hint="eastAsia"/>
        </w:rPr>
        <w:t>南京航空航天大学,</w:t>
      </w:r>
      <w:r>
        <w:t xml:space="preserve"> 2022.</w:t>
      </w:r>
    </w:p>
    <w:p>
      <w:pPr>
        <w:pStyle w:val="00000f"/>
      </w:pPr>
      <w:r>
        <w:t>[61] NIST. Machining chatter benchmark dataset[DS]. Gaithersburg: National Institute of Standards and Technology, 2019.</w:t>
      </w:r>
    </w:p>
    <w:p>
      <w:pPr>
        <w:pStyle w:val="00000f"/>
      </w:pPr>
      <w:r>
        <w:t>[62] VASWANI A, SHAZEER N, PARMAR N, et al. Attention is all you need[C]//Advances in Neural Information Processing Systems. 2017, 30: 5998-6008.</w:t>
      </w:r>
    </w:p>
    <w:p>
      <w:pPr>
        <w:pStyle w:val="00000f"/>
      </w:pPr>
      <w:r>
        <w:t>[63] HOCHREITER S, SCHMIDHUBER J. Long short-term memory[J]. Neural Computation, 1997, 9(8): 1735-1780.</w:t>
      </w:r>
    </w:p>
    <w:p>
      <w:pPr>
        <w:pStyle w:val="00000f"/>
      </w:pPr>
      <w:r>
        <w:t>[64] GREFF K, SRIVASTAVA R K, KOUTNÍK J, et al. LSTM: a search space odyssey[J]. IEEE Transactions on Neural Networks and Learning Systems, 2017, 28(10): 2222-2232.</w:t>
      </w:r>
    </w:p>
    <w:p>
      <w:pPr>
        <w:pStyle w:val="00000f"/>
      </w:pPr>
      <w:r>
        <w:t>[65] PÉREZ F, GRANGER B E. IPython: a system for interactive scientific computing[J]. Computing in Science &amp; Engineering, 2007, 9(3): 21-29.</w:t>
      </w:r>
    </w:p>
    <w:p>
      <w:pPr>
        <w:pStyle w:val="00000f"/>
      </w:pPr>
      <w:r>
        <w:t>[66] PASZKE A, GROSS S, MASSA F, et al. PyTorch: an imperative style, high-performance deep learning library[C]//Advances in Neural Information Processing Systems. 2019, 32: 8026-8037.</w:t>
      </w:r>
    </w:p>
    <w:p>
      <w:pPr>
        <w:pStyle w:val="00000f"/>
      </w:pPr>
      <w:r>
        <w:t>[67] HARRIS C R, MILLMAN K J, VAN DER WALT S J, et al. Array programming with NumPy[J]. Nature, 2020, 585(7825): 357-362.</w:t>
      </w:r>
    </w:p>
    <w:p>
      <w:pPr>
        <w:pStyle w:val="00000f"/>
      </w:pPr>
      <w:r>
        <w:t>[68] VIRTANEN P, GOMMERS R, OLIPHANT T E, et al. SciPy 1.0: fundamental algorithms for scientific computing in Python[J]. Nature Methods, 2020, 17(3): 261-272.</w:t>
      </w:r>
    </w:p>
    <w:p>
      <w:pPr>
        <w:pStyle w:val="00000f"/>
      </w:pPr>
      <w:r>
        <w:t>[69] WELCH B L. The generalization of “Student’s” problem when several different population variances are involved[J]. Biometrika, 1947, 34(1/2): 28-35.</w:t>
      </w:r>
    </w:p>
    <w:p>
      <w:pPr>
        <w:pStyle w:val="00000f"/>
      </w:pPr>
      <w:r>
        <w:t>[70] STUDENT. The probable error of a mean[J]. Biometrika, 1908, 6(1): 1-25.</w:t>
      </w:r>
    </w:p>
    <w:p>
      <w:pPr>
        <w:pStyle w:val="00000f"/>
      </w:pPr>
      <w:r>
        <w:t>[71] BENAVOLI A, CORANI G, DEMŠAR J, et al. Time for a change: a tutorial for comparing multiple classifiers through Bayesian analysis[J]. Journal of Machine Learning Research, 2017, 18(77): 1-36.</w:t>
      </w:r>
    </w:p>
    <w:p>
      <w:pPr>
        <w:pStyle w:val="00000f"/>
      </w:pPr>
      <w:r>
        <w:t>[72] DEMŠAR J. Statistical comparisons of classifiers over multiple data sets[J]. Journal of Machine Learning Research, 2006, 7: 1-30.</w:t>
      </w:r>
    </w:p>
    <w:p>
      <w:pPr>
        <w:pStyle w:val="00000f"/>
      </w:pPr>
      <w:r>
        <w:t>[73] COHEN J. Statistical Power Analysis for the Behavioral Sciences[M]. 2nd ed. Hillsdale: Lawrence Erlbaum Associates, 1988.</w:t>
      </w:r>
    </w:p>
    <w:p>
      <w:pPr>
        <w:pStyle w:val="00000f"/>
      </w:pPr>
      <w:r>
        <w:t>[74] EFRON B, TIBSHIRANI R J. An Introduction to the Bootstrap[M]. New York: Chapman &amp; Hall, 1993.</w:t>
      </w:r>
    </w:p>
    <w:sectPr>
      <w:footnotePr>
        <w:numRestart w:val="eachSect"/>
      </w:footnotePr>
    </w:sectPr>
  </w:body>
</w:document>
</file>

<file path=word/fontTable.xml><?xml version="1.0" encoding="utf-8"?>
<w:fonts xmlns:w="http://schemas.openxmlformats.org/wordprocessingml/2006/main">
  <w:font w:name="Aptos">
    <w:panose1 w:val="020B0004020202020204"/>
    <w:charset w:val="00" w:characterSet="ISO-8859-1"/>
    <w:family w:val="swiss"/>
    <w:pitch w:val="variable"/>
    <w:sig w:usb0="20000287" w:usb1="00000003" w:usb2="00000000" w:usb3="00000000" w:csb0="0000019F" w:csb1="00000000"/>
  </w:font>
  <w:font w:name="Aptos Display">
    <w:panose1 w:val="020B0004020202020204"/>
    <w:charset w:val="00" w:characterSet="ISO-8859-1"/>
    <w:family w:val="swiss"/>
    <w:pitch w:val="variable"/>
    <w:sig w:usb0="20000287" w:usb1="00000003" w:usb2="00000000" w:usb3="00000000" w:csb0="0000019F" w:csb1="00000000"/>
  </w:font>
  <w:font w:name="Times New Roman">
    <w:panose1 w:val="02020603050405020304"/>
    <w:charset w:val="00" w:characterSet="ISO-8859-1"/>
    <w:family w:val="roman"/>
    <w:pitch w:val="variable"/>
    <w:sig w:usb0="E0002EFF" w:usb1="C000785B" w:usb2="00000009" w:usb3="00000000" w:csb0="000001FF" w:csb1="00000000"/>
  </w:font>
  <w:font w:name="Courier New">
    <w:panose1 w:val="02070309020205020404"/>
    <w:charset w:val="00" w:characterSet="ISO-8859-1"/>
    <w:family w:val="modern"/>
    <w:pitch w:val="fixed"/>
    <w:sig w:usb0="E0002AFF" w:usb1="C0007843" w:usb2="00000009" w:usb3="00000000" w:csb0="000001FF" w:csb1="00000000"/>
  </w:font>
  <w:font w:name="Calibri">
    <w:panose1 w:val="020F0502020204030204"/>
    <w:charset w:val="00" w:characterSet="ISO-8859-1"/>
    <w:family w:val="swiss"/>
    <w:pitch w:val="variable"/>
    <w:sig w:usb0="E0002AFF" w:usb1="C000247B" w:usb2="00000009" w:usb3="00000000" w:csb0="000001FF" w:csb1="00000000"/>
  </w:font>
  <w:font w:name="Cambria">
    <w:panose1 w:val="02040503050406030204"/>
    <w:charset w:val="00" w:characterSet="ISO-8859-1"/>
    <w:family w:val="roman"/>
    <w:pitch w:val="variable"/>
    <w:sig w:usb0="E00002FF" w:usb1="400004FF" w:usb2="00000000" w:usb3="00000000" w:csb0="0000019F" w:csb1="00000000"/>
  </w:font>
  <w:font w:name="Cambria Math">
    <w:panose1 w:val="02040503050406030204"/>
    <w:charset w:val="00" w:characterSet="ISO-8859-1"/>
    <w:family w:val="roman"/>
    <w:pitch w:val="variable"/>
    <w:sig w:usb0="E00002FF" w:usb1="420024FF" w:usb2="00000000" w:usb3="00000000" w:csb0="0000019F" w:csb1="00000000"/>
  </w:font>
</w:fonts>
</file>

<file path=word/footnotes.xml><?xml version="1.0" encoding="utf-8"?>
<w:footnotes xmlns:w="http://schemas.openxmlformats.org/wordprocessingml/2006/main">
  <w:footnote w:type="separator" w:id="0">
    <w:p>
      <w:r>
        <w:separator/>
      </w:r>
    </w:p>
  </w:footnote>
  <w:footnote w:type="continuationSeparator" w:id="1">
    <w:p>
      <w:r>
        <w:continuationSeparator/>
      </w:r>
    </w:p>
  </w:footnote>
</w:footnotes>
</file>

<file path=word/numbering.xml><?xml version="1.0" encoding="utf-8"?>
<w:numbering xmlns:w="http://schemas.openxmlformats.org/wordprocessingml/2006/main">
  <w:abstractNum w:abstractNumId="0">
    <w:nsid w:val="00A99411"/>
    <w:multiLevelType w:val="multilevel"/>
    <w:lvl w:ilvl="5">
      <w:start w:val="1"/>
      <w:numFmt w:val="decimal"/>
      <w:lvlText w:val="%6."/>
      <w:lvlJc w:val="left"/>
      <w:pPr>
        <w:ind w:left="4320" w:hanging="360"/>
      </w:pPr>
    </w:lvl>
    <w:lvl w:ilvl="4">
      <w:start w:val="1"/>
      <w:numFmt w:val="decimal"/>
      <w:lvlText w:val="%5."/>
      <w:lvlJc w:val="left"/>
      <w:pPr>
        <w:ind w:left="3600" w:hanging="360"/>
      </w:pPr>
    </w:lvl>
    <w:lvl w:ilvl="2">
      <w:start w:val="1"/>
      <w:numFmt w:val="decimal"/>
      <w:lvlText w:val="%3."/>
      <w:lvlJc w:val="left"/>
      <w:pPr>
        <w:ind w:left="2160" w:hanging="360"/>
      </w:pPr>
    </w:lvl>
    <w:lvl w:ilvl="3">
      <w:start w:val="1"/>
      <w:numFmt w:val="decimal"/>
      <w:lvlText w:val="%4."/>
      <w:lvlJc w:val="left"/>
      <w:pPr>
        <w:ind w:left="2880" w:hanging="360"/>
      </w:pPr>
    </w:lvl>
    <w:lvl w:ilvl="1">
      <w:start w:val="1"/>
      <w:numFmt w:val="decimal"/>
      <w:lvlText w:val="%2."/>
      <w:lvlJc w:val="left"/>
      <w:pPr>
        <w:ind w:left="1440" w:hanging="360"/>
      </w:pPr>
    </w:lvl>
    <w:lvl w:ilvl="6">
      <w:start w:val="1"/>
      <w:numFmt w:val="decimal"/>
      <w:lvlText w:val="%7."/>
      <w:lvlJc w:val="left"/>
      <w:pPr>
        <w:ind w:left="5040" w:hanging="360"/>
      </w:pPr>
    </w:lvl>
    <w:lvl w:ilvl="8">
      <w:start w:val="1"/>
      <w:numFmt w:val="decimal"/>
      <w:lvlText w:val="%9."/>
      <w:lvlJc w:val="left"/>
      <w:pPr>
        <w:ind w:left="6480" w:hanging="360"/>
      </w:pPr>
    </w:lvl>
    <w:lvl w:ilvl="0">
      <w:start w:val="1"/>
      <w:numFmt w:val="decimal"/>
      <w:lvlText w:val="%1."/>
      <w:lvlJc w:val="left"/>
      <w:pPr>
        <w:ind w:left="720" w:hanging="360"/>
      </w:pPr>
    </w:lvl>
    <w:lvl w:ilvl="7">
      <w:start w:val="1"/>
      <w:numFmt w:val="decimal"/>
      <w:lvlText w:val="%8."/>
      <w:lvlJc w:val="left"/>
      <w:pPr>
        <w:ind w:left="5760" w:hanging="360"/>
      </w:pPr>
    </w:lvl>
  </w:abstractNum>
  <w:abstractNum w:abstractNumId="1">
    <w:nsid w:val="0000A991"/>
    <w:multiLevelType w:val="multilevel"/>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8">
      <w:numFmt w:val="bullet"/>
      <w:lvlText w:val=""/>
      <w:lvlJc w:val="left"/>
      <w:pPr>
        <w:ind w:left="6480" w:hanging="360"/>
      </w:pPr>
      <w:rPr>
        <w:rFonts w:hint="default" w:ascii="Wingdings" w:hAnsi="Wingdings" w:cs="Wingdings"/>
      </w:rPr>
    </w:lvl>
    <w:lvl w:ilvl="7">
      <w:numFmt w:val="bullet"/>
      <w:lvlText w:val="o"/>
      <w:lvlJc w:val="left"/>
      <w:pPr>
        <w:ind w:left="5760" w:hanging="360"/>
      </w:pPr>
      <w:rPr>
        <w:rFonts w:hint="default" w:ascii="Courier New" w:hAnsi="Courier New" w:cs="Courier New"/>
      </w:rPr>
    </w:lvl>
    <w:lvl w:ilvl="6">
      <w:numFmt w:val="bullet"/>
      <w:lvlText w:val=""/>
      <w:lvlJc w:val="left"/>
      <w:pPr>
        <w:ind w:left="5040" w:hanging="360"/>
      </w:pPr>
      <w:rPr>
        <w:rFonts w:hint="default" w:ascii="Symbol" w:hAnsi="Symbol" w:cs="Symbol"/>
      </w:rPr>
    </w:lvl>
  </w:abstractNum>
  <w:num w:numId="9">
    <w:abstractNumId w:val="0"/>
    <w:lvlOverride w:ilvl="0">
      <w:startOverride w:val="1"/>
    </w:lvlOverride>
    <w:lvlOverride w:ilvl="4">
      <w:startOverride w:val="1"/>
    </w:lvlOverride>
    <w:lvlOverride w:ilvl="1">
      <w:startOverride w:val="1"/>
    </w:lvlOverride>
    <w:lvlOverride w:ilvl="2">
      <w:startOverride w:val="1"/>
    </w:lvlOverride>
    <w:lvlOverride w:ilvl="8">
      <w:startOverride w:val="1"/>
    </w:lvlOverride>
    <w:lvlOverride w:ilvl="5">
      <w:startOverride w:val="1"/>
    </w:lvlOverride>
    <w:lvlOverride w:ilvl="3">
      <w:startOverride w:val="1"/>
    </w:lvlOverride>
    <w:lvlOverride w:ilvl="6">
      <w:startOverride w:val="1"/>
    </w:lvlOverride>
    <w:lvlOverride w:ilvl="7">
      <w:startOverride w:val="1"/>
    </w:lvlOverride>
  </w:num>
  <w:num w:numId="2">
    <w:abstractNumId w:val="1"/>
  </w:num>
  <w:num w:numId="5">
    <w:abstractNumId w:val="0"/>
    <w:lvlOverride w:ilvl="6">
      <w:startOverride w:val="1"/>
    </w:lvlOverride>
    <w:lvlOverride w:ilvl="8">
      <w:startOverride w:val="1"/>
    </w:lvlOverride>
    <w:lvlOverride w:ilvl="2">
      <w:startOverride w:val="1"/>
    </w:lvlOverride>
    <w:lvlOverride w:ilvl="7">
      <w:startOverride w:val="1"/>
    </w:lvlOverride>
    <w:lvlOverride w:ilvl="1">
      <w:startOverride w:val="1"/>
    </w:lvlOverride>
    <w:lvlOverride w:ilvl="0">
      <w:startOverride w:val="1"/>
    </w:lvlOverride>
    <w:lvlOverride w:ilvl="3">
      <w:startOverride w:val="1"/>
    </w:lvlOverride>
    <w:lvlOverride w:ilvl="4">
      <w:startOverride w:val="1"/>
    </w:lvlOverride>
    <w:lvlOverride w:ilvl="5">
      <w:startOverride w:val="1"/>
    </w:lvlOverride>
  </w:num>
  <w:num w:numId="8">
    <w:abstractNumId w:val="0"/>
    <w:lvlOverride w:ilvl="2">
      <w:startOverride w:val="1"/>
    </w:lvlOverride>
    <w:lvlOverride w:ilvl="8">
      <w:startOverride w:val="1"/>
    </w:lvlOverride>
    <w:lvlOverride w:ilvl="6">
      <w:startOverride w:val="1"/>
    </w:lvlOverride>
    <w:lvlOverride w:ilvl="7">
      <w:startOverride w:val="1"/>
    </w:lvlOverride>
    <w:lvlOverride w:ilvl="4">
      <w:startOverride w:val="1"/>
    </w:lvlOverride>
    <w:lvlOverride w:ilvl="0">
      <w:startOverride w:val="1"/>
    </w:lvlOverride>
    <w:lvlOverride w:ilvl="1">
      <w:startOverride w:val="1"/>
    </w:lvlOverride>
    <w:lvlOverride w:ilvl="5">
      <w:startOverride w:val="1"/>
    </w:lvlOverride>
    <w:lvlOverride w:ilvl="3">
      <w:startOverride w:val="1"/>
    </w:lvlOverride>
  </w:num>
  <w:num w:numId="7">
    <w:abstractNumId w:val="1"/>
  </w:num>
  <w:num w:numId="4">
    <w:abstractNumId w:val="1"/>
  </w:num>
  <w:num w:numId="6">
    <w:abstractNumId w:val="1"/>
  </w:num>
  <w:num w:numId="1">
    <w:abstractNumId w:val="0"/>
    <w:lvlOverride w:ilvl="3">
      <w:startOverride w:val="1"/>
    </w:lvlOverride>
    <w:lvlOverride w:ilvl="6">
      <w:startOverride w:val="1"/>
    </w:lvlOverride>
    <w:lvlOverride w:ilvl="2">
      <w:startOverride w:val="1"/>
    </w:lvlOverride>
    <w:lvlOverride w:ilvl="8">
      <w:startOverride w:val="1"/>
    </w:lvlOverride>
    <w:lvlOverride w:ilvl="7">
      <w:startOverride w:val="1"/>
    </w:lvlOverride>
    <w:lvlOverride w:ilvl="4">
      <w:startOverride w:val="1"/>
    </w:lvlOverride>
    <w:lvlOverride w:ilvl="0">
      <w:startOverride w:val="1"/>
    </w:lvlOverride>
    <w:lvlOverride w:ilvl="1">
      <w:startOverride w:val="1"/>
    </w:lvlOverride>
    <w:lvlOverride w:ilvl="5">
      <w:startOverride w:val="1"/>
    </w:lvlOverride>
  </w:num>
  <w:num w:numId="3">
    <w:abstractNumId w:val="1"/>
  </w:num>
</w:numbering>
</file>

<file path=word/settings.xml><?xml version="1.0" encoding="utf-8"?>
<w:settings xmlns:w="http://schemas.openxmlformats.org/wordprocessingml/2006/main">
  <w:zoom w:percent="100"/>
  <w:embedSystemFonts w:val="1"/>
  <w:proofState w:spelling="clean" w:grammar="clean"/>
  <w:stylePaneFormatFilter/>
  <w:doNotTrackMoves w:val="1"/>
  <w:defaultTabStop w:val="720"/>
  <w:drawingGridHorizontalSpacing w:val="360"/>
  <w:drawingGridVerticalSpacing w:val="360"/>
  <w:displayHorizontalDrawingGridEvery w:val="0"/>
  <w:displayVerticalDrawingGridEvery w:val="0"/>
  <w:characterSpacingControl w:val="doNotCompress"/>
  <w:savePreviewPicture w:val="1"/>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00002b">
    <w:name w:val="heading 8"/>
    <w:basedOn w:val="00000e"/>
    <w:next w:val="00000f"/>
    <w:link w:val="00002c"/>
    <w:uiPriority w:val="9"/>
    <w:semiHidden w:val="1"/>
    <w:unhideWhenUsed w:val="1"/>
    <w:qFormat w:val="1"/>
    <w:rsid w:val="00A10FD9"/>
    <w:pPr>
      <w:keepNext w:val="1"/>
      <w:keepLines w:val="1"/>
      <w:spacing w:after="0"/>
      <w:outlineLvl w:val="7"/>
    </w:pPr>
    <w:rPr>
      <w:rFonts w:eastAsiaTheme="majorEastAsia" w:cstheme="majorBidi"/>
      <w:i w:val="1"/>
      <w:iCs w:val="1"/>
      <w:color w:val="272727" w:themeColor="text1" w:themeTint="D8"/>
    </w:rPr>
  </w:style>
  <w:style w:type="character" w:styleId="000044" w:customStyle="1">
    <w:name w:val="BaseNTok"/>
    <w:basedOn w:val="00003b"/>
    <w:rPr>
      <w:color w:val="40a070"/>
    </w:rPr>
  </w:style>
  <w:style w:type="character" w:styleId="000022" w:customStyle="1">
    <w:name w:val="Heading 3 Char"/>
    <w:basedOn w:val="000015"/>
    <w:link w:val="000021"/>
    <w:uiPriority w:val="9"/>
    <w:semiHidden w:val="1"/>
    <w:rsid w:val="00A10FD9"/>
    <w:rPr>
      <w:rFonts w:eastAsiaTheme="majorEastAsia" w:cstheme="majorBidi"/>
      <w:color w:val="0F4761" w:themeColor="accent1" w:themeShade="BF"/>
      <w:sz w:val="28"/>
      <w:szCs w:val="28"/>
    </w:rPr>
  </w:style>
  <w:style w:type="paragraph" w:styleId="000040" w:customStyle="1">
    <w:name w:val="Source Code"/>
    <w:basedOn w:val="00000e"/>
    <w:link w:val="00003b"/>
    <w:pPr>
      <w:wordWrap w:val="0"/>
    </w:pPr>
  </w:style>
  <w:style w:type="character" w:styleId="00003d">
    <w:name w:val="Footnote Reference"/>
    <w:basedOn w:val="000010"/>
    <w:rPr>
      <w:vertAlign w:val="superscript"/>
    </w:rPr>
  </w:style>
  <w:style w:type="character" w:styleId="000056" w:customStyle="1">
    <w:name w:val="BuiltInTok"/>
    <w:basedOn w:val="00003b"/>
    <w:rPr>
      <w:color w:val="008000"/>
    </w:rPr>
  </w:style>
  <w:style w:type="paragraph" w:styleId="000019">
    <w:name w:val="Date"/>
    <w:basedOn w:val="000013"/>
    <w:next w:val="00000f"/>
    <w:qFormat w:val="1"/>
    <w:pPr>
      <w:keepNext w:val="1"/>
      <w:keepLines w:val="1"/>
    </w:pPr>
    <w:rPr>
      <w:sz w:val="24"/>
      <w:szCs w:val="24"/>
    </w:rPr>
  </w:style>
  <w:style w:type="character" w:styleId="000055" w:customStyle="1">
    <w:name w:val="OperatorTok"/>
    <w:basedOn w:val="00003b"/>
    <w:rPr>
      <w:color w:val="666666"/>
    </w:rPr>
  </w:style>
  <w:style w:type="paragraph" w:styleId="00002f">
    <w:name w:val="Block Text"/>
    <w:basedOn w:val="00000f"/>
    <w:next w:val="00000f"/>
    <w:uiPriority w:val="9"/>
    <w:unhideWhenUsed w:val="1"/>
    <w:qFormat w:val="1"/>
    <w:pPr>
      <w:spacing w:before="100" w:after="100"/>
      <w:ind w:left="480" w:right="480" w:firstLine="0"/>
    </w:pPr>
  </w:style>
  <w:style w:type="paragraph" w:styleId="000039" w:customStyle="1">
    <w:name w:val="Figure"/>
    <w:basedOn w:val="00000e"/>
  </w:style>
  <w:style w:type="character" w:styleId="000026" w:customStyle="1">
    <w:name w:val="Heading 5 Char"/>
    <w:basedOn w:val="000015"/>
    <w:link w:val="000025"/>
    <w:uiPriority w:val="9"/>
    <w:semiHidden w:val="1"/>
    <w:rsid w:val="00A10FD9"/>
    <w:rPr>
      <w:rFonts w:eastAsiaTheme="majorEastAsia" w:cstheme="majorBidi"/>
      <w:color w:val="0F4761" w:themeColor="accent1" w:themeShade="BF"/>
    </w:rPr>
  </w:style>
  <w:style w:type="character" w:styleId="000041" w:customStyle="1">
    <w:name w:val="KeywordTok"/>
    <w:basedOn w:val="00003b"/>
    <w:rPr>
      <w:b w:val="1"/>
      <w:color w:val="007020"/>
    </w:rPr>
  </w:style>
  <w:style w:type="paragraph" w:styleId="000038" w:customStyle="1">
    <w:name w:val="Image Caption"/>
    <w:basedOn w:val="000036"/>
  </w:style>
  <w:style w:type="paragraph" w:styleId="00000e" w:default="1">
    <w:name w:val="Normal"/>
    <w:qFormat w:val="1"/>
  </w:style>
  <w:style w:type="paragraph" w:styleId="000027">
    <w:name w:val="heading 6"/>
    <w:basedOn w:val="00000e"/>
    <w:next w:val="00000f"/>
    <w:link w:val="000028"/>
    <w:uiPriority w:val="9"/>
    <w:semiHidden w:val="1"/>
    <w:unhideWhenUsed w:val="1"/>
    <w:qFormat w:val="1"/>
    <w:rsid w:val="00A10FD9"/>
    <w:pPr>
      <w:keepNext w:val="1"/>
      <w:keepLines w:val="1"/>
      <w:spacing w:before="40" w:after="0"/>
      <w:outlineLvl w:val="5"/>
    </w:pPr>
    <w:rPr>
      <w:rFonts w:eastAsiaTheme="majorEastAsia" w:cstheme="majorBidi"/>
      <w:i w:val="1"/>
      <w:iCs w:val="1"/>
      <w:color w:val="595959" w:themeColor="text1" w:themeTint="A6"/>
    </w:rPr>
  </w:style>
  <w:style w:type="character" w:styleId="00003c" w:customStyle="1">
    <w:name w:val="Section Number"/>
    <w:basedOn w:val="000010"/>
  </w:style>
  <w:style w:type="character" w:styleId="000051" w:customStyle="1">
    <w:name w:val="OtherTok"/>
    <w:basedOn w:val="00003b"/>
    <w:rPr>
      <w:color w:val="007020"/>
    </w:rPr>
  </w:style>
  <w:style w:type="character" w:styleId="000010" w:customStyle="1">
    <w:name w:val="Body Text Char"/>
    <w:basedOn w:val="000015"/>
    <w:link w:val="00000f"/>
  </w:style>
  <w:style w:type="character" w:styleId="00003e">
    <w:name w:val="Hyperlink"/>
    <w:basedOn w:val="000010"/>
    <w:rPr>
      <w:color w:val="4F81BD" w:themeColor="accent1"/>
    </w:rPr>
  </w:style>
  <w:style w:type="character" w:styleId="00004f" w:customStyle="1">
    <w:name w:val="AnnotationTok"/>
    <w:basedOn w:val="00003b"/>
    <w:rPr>
      <w:b w:val="1"/>
      <w:i w:val="1"/>
      <w:color w:val="60a0b0"/>
    </w:rPr>
  </w:style>
  <w:style w:type="character" w:styleId="00004e" w:customStyle="1">
    <w:name w:val="DocumentationTok"/>
    <w:basedOn w:val="00003b"/>
    <w:rPr>
      <w:i w:val="1"/>
      <w:color w:val="ba2121"/>
    </w:rPr>
  </w:style>
  <w:style w:type="paragraph" w:styleId="000034" w:customStyle="1">
    <w:name w:val="Definition Term"/>
    <w:basedOn w:val="00000e"/>
    <w:next w:val="000035"/>
    <w:pPr>
      <w:keepNext w:val="1"/>
      <w:keepLines w:val="1"/>
      <w:spacing w:after="0"/>
    </w:pPr>
    <w:rPr>
      <w:b w:val="1"/>
    </w:rPr>
  </w:style>
  <w:style w:type="paragraph" w:styleId="000037" w:customStyle="1">
    <w:name w:val="Table Caption"/>
    <w:basedOn w:val="000036"/>
    <w:pPr>
      <w:keepNext w:val="1"/>
    </w:pPr>
  </w:style>
  <w:style w:type="paragraph" w:styleId="00001d">
    <w:name w:val="heading 1"/>
    <w:basedOn w:val="00000e"/>
    <w:next w:val="00000f"/>
    <w:link w:val="00001e"/>
    <w:uiPriority w:val="9"/>
    <w:qFormat w:val="1"/>
    <w:rsid w:val="00A10FD9"/>
    <w:pPr>
      <w:keepNext w:val="1"/>
      <w:keepLines w:val="1"/>
      <w:spacing w:before="360" w:after="80"/>
      <w:outlineLvl w:val="0"/>
    </w:pPr>
    <w:rPr>
      <w:rFonts w:asciiTheme="majorHAnsi" w:hAnsiTheme="majorHAnsi" w:eastAsiaTheme="majorEastAsia" w:cstheme="majorBidi"/>
      <w:color w:val="0F4761" w:themeColor="accent1" w:themeShade="BF"/>
      <w:sz w:val="40"/>
      <w:szCs w:val="40"/>
    </w:rPr>
  </w:style>
  <w:style w:type="character" w:styleId="000047" w:customStyle="1">
    <w:name w:val="CharTok"/>
    <w:basedOn w:val="00003b"/>
    <w:rPr>
      <w:color w:val="4070a0"/>
    </w:rPr>
  </w:style>
  <w:style w:type="character" w:styleId="00002a" w:customStyle="1">
    <w:name w:val="Heading 7 Char"/>
    <w:basedOn w:val="000015"/>
    <w:link w:val="000029"/>
    <w:uiPriority w:val="9"/>
    <w:semiHidden w:val="1"/>
    <w:rsid w:val="00A10FD9"/>
    <w:rPr>
      <w:rFonts w:eastAsiaTheme="majorEastAsia" w:cstheme="majorBidi"/>
      <w:color w:val="595959" w:themeColor="text1" w:themeTint="A6"/>
    </w:rPr>
  </w:style>
  <w:style w:type="character" w:styleId="000014" w:customStyle="1">
    <w:name w:val="Title Char"/>
    <w:basedOn w:val="000015"/>
    <w:link w:val="000013"/>
    <w:uiPriority w:val="10"/>
    <w:rsid w:val="00A10FD9"/>
    <w:rPr>
      <w:rFonts w:asciiTheme="majorHAnsi" w:hAnsiTheme="majorHAnsi" w:eastAsiaTheme="majorEastAsia" w:cstheme="majorBidi"/>
      <w:sz w:val="56"/>
      <w:szCs w:val="56"/>
    </w:rPr>
  </w:style>
  <w:style w:type="paragraph" w:styleId="000021">
    <w:name w:val="heading 3"/>
    <w:basedOn w:val="00000e"/>
    <w:next w:val="00000f"/>
    <w:link w:val="000022"/>
    <w:uiPriority w:val="9"/>
    <w:semiHidden w:val="1"/>
    <w:unhideWhenUsed w:val="1"/>
    <w:qFormat w:val="1"/>
    <w:rsid w:val="00A10FD9"/>
    <w:pPr>
      <w:keepNext w:val="1"/>
      <w:keepLines w:val="1"/>
      <w:spacing w:before="160" w:after="80"/>
      <w:outlineLvl w:val="2"/>
    </w:pPr>
    <w:rPr>
      <w:rFonts w:eastAsiaTheme="majorEastAsia" w:cstheme="majorBidi"/>
      <w:color w:val="0F4761" w:themeColor="accent1" w:themeShade="BF"/>
      <w:sz w:val="28"/>
      <w:szCs w:val="28"/>
    </w:rPr>
  </w:style>
  <w:style w:type="paragraph" w:styleId="00003a" w:customStyle="1">
    <w:name w:val="Captioned Figure"/>
    <w:basedOn w:val="000039"/>
    <w:pPr>
      <w:keepNext w:val="1"/>
    </w:pPr>
  </w:style>
  <w:style w:type="character" w:styleId="000058" w:customStyle="1">
    <w:name w:val="PreprocessorTok"/>
    <w:basedOn w:val="00003b"/>
    <w:rPr>
      <w:color w:val="bc7a00"/>
    </w:rPr>
  </w:style>
  <w:style w:type="character" w:styleId="000057" w:customStyle="1">
    <w:name w:val="ExtensionTok"/>
    <w:basedOn w:val="00003b"/>
    <w:rPr/>
  </w:style>
  <w:style w:type="character" w:styleId="00004b" w:customStyle="1">
    <w:name w:val="SpecialStringTok"/>
    <w:basedOn w:val="00003b"/>
    <w:rPr>
      <w:color w:val="bb6688"/>
    </w:rPr>
  </w:style>
  <w:style w:type="character" w:styleId="000043" w:customStyle="1">
    <w:name w:val="DecValTok"/>
    <w:basedOn w:val="00003b"/>
    <w:rPr>
      <w:color w:val="40a070"/>
    </w:rPr>
  </w:style>
  <w:style w:type="paragraph" w:styleId="000035" w:customStyle="1">
    <w:name w:val="Definition"/>
    <w:basedOn w:val="00000e"/>
  </w:style>
  <w:style w:type="character" w:styleId="00002e" w:customStyle="1">
    <w:name w:val="Heading 9 Char"/>
    <w:basedOn w:val="000015"/>
    <w:link w:val="00002d"/>
    <w:uiPriority w:val="9"/>
    <w:semiHidden w:val="1"/>
    <w:rsid w:val="00A10FD9"/>
    <w:rPr>
      <w:rFonts w:eastAsiaTheme="majorEastAsia" w:cstheme="majorBidi"/>
      <w:color w:val="272727" w:themeColor="text1" w:themeTint="D8"/>
    </w:rPr>
  </w:style>
  <w:style w:type="character" w:styleId="000052" w:customStyle="1">
    <w:name w:val="FunctionTok"/>
    <w:basedOn w:val="00003b"/>
    <w:rPr>
      <w:color w:val="06287e"/>
    </w:rPr>
  </w:style>
  <w:style w:type="paragraph" w:styleId="000025">
    <w:name w:val="heading 5"/>
    <w:basedOn w:val="00000e"/>
    <w:next w:val="00000f"/>
    <w:link w:val="000026"/>
    <w:uiPriority w:val="9"/>
    <w:semiHidden w:val="1"/>
    <w:unhideWhenUsed w:val="1"/>
    <w:qFormat w:val="1"/>
    <w:rsid w:val="00A10FD9"/>
    <w:pPr>
      <w:keepNext w:val="1"/>
      <w:keepLines w:val="1"/>
      <w:spacing w:before="80" w:after="40"/>
      <w:outlineLvl w:val="4"/>
    </w:pPr>
    <w:rPr>
      <w:rFonts w:eastAsiaTheme="majorEastAsia" w:cstheme="majorBidi"/>
      <w:color w:val="0F4761" w:themeColor="accent1" w:themeShade="BF"/>
    </w:rPr>
  </w:style>
  <w:style w:type="character" w:styleId="000053" w:customStyle="1">
    <w:name w:val="VariableTok"/>
    <w:basedOn w:val="00003b"/>
    <w:rPr>
      <w:color w:val="19177c"/>
    </w:rPr>
  </w:style>
  <w:style w:type="character" w:styleId="00004d" w:customStyle="1">
    <w:name w:val="CommentTok"/>
    <w:basedOn w:val="00003b"/>
    <w:rPr>
      <w:i w:val="1"/>
      <w:color w:val="60a0b0"/>
    </w:rPr>
  </w:style>
  <w:style w:type="paragraph" w:styleId="000031">
    <w:name w:val="Footnote Block Text"/>
    <w:basedOn w:val="000030"/>
    <w:next w:val="000030"/>
    <w:uiPriority w:val="9"/>
    <w:unhideWhenUsed w:val="1"/>
    <w:qFormat w:val="1"/>
    <w:pPr>
      <w:spacing w:before="100" w:after="100"/>
      <w:ind w:left="480" w:right="480" w:firstLine="0"/>
    </w:pPr>
  </w:style>
  <w:style w:type="paragraph" w:styleId="000030">
    <w:name w:val="Footnote Text"/>
    <w:basedOn w:val="00000e"/>
    <w:next w:val="000030"/>
    <w:uiPriority w:val="9"/>
    <w:unhideWhenUsed w:val="1"/>
    <w:qFormat w:val="1"/>
  </w:style>
  <w:style w:type="paragraph" w:styleId="00003f">
    <w:name w:val="TOC Heading"/>
    <w:basedOn w:val="00001d"/>
    <w:next w:val="00000f"/>
    <w:uiPriority w:val="39"/>
    <w:unhideWhenUsed w:val="1"/>
    <w:qFormat w:val="1"/>
    <w:pPr>
      <w:spacing w:before="240" w:line="259" w:lineRule="auto"/>
      <w:outlineLvl w:val="9"/>
    </w:pPr>
    <w:rPr>
      <w:rFonts w:asciiTheme="majorHAnsi" w:hAnsiTheme="majorHAnsi" w:eastAsiaTheme="majorEastAsia" w:cstheme="majorBidi"/>
      <w:b w:val="0"/>
      <w:bCs w:val="0"/>
      <w:color w:val="365F91" w:themeColor="accent1" w:themeShade="BF"/>
    </w:rPr>
  </w:style>
  <w:style w:type="character" w:styleId="00004a" w:customStyle="1">
    <w:name w:val="VerbatimStringTok"/>
    <w:basedOn w:val="00003b"/>
    <w:rPr>
      <w:color w:val="4070a0"/>
    </w:rPr>
  </w:style>
  <w:style w:type="character" w:styleId="00005e" w:customStyle="1">
    <w:name w:val="ErrorTok"/>
    <w:basedOn w:val="00003b"/>
    <w:rPr>
      <w:b w:val="1"/>
      <w:color w:val="ff0000"/>
    </w:rPr>
  </w:style>
  <w:style w:type="character" w:styleId="000028" w:customStyle="1">
    <w:name w:val="Heading 6 Char"/>
    <w:basedOn w:val="000015"/>
    <w:link w:val="000027"/>
    <w:uiPriority w:val="9"/>
    <w:semiHidden w:val="1"/>
    <w:rsid w:val="00A10FD9"/>
    <w:rPr>
      <w:rFonts w:eastAsiaTheme="majorEastAsia" w:cstheme="majorBidi"/>
      <w:i w:val="1"/>
      <w:iCs w:val="1"/>
      <w:color w:val="595959" w:themeColor="text1" w:themeTint="A6"/>
    </w:rPr>
  </w:style>
  <w:style w:type="paragraph" w:styleId="000018" w:customStyle="1">
    <w:name w:val="Author"/>
    <w:basedOn w:val="000013"/>
    <w:next w:val="00000f"/>
    <w:qFormat w:val="1"/>
    <w:pPr>
      <w:keepNext w:val="1"/>
      <w:keepLines w:val="1"/>
    </w:pPr>
    <w:rPr>
      <w:sz w:val="24"/>
      <w:szCs w:val="24"/>
    </w:rPr>
  </w:style>
  <w:style w:type="character" w:styleId="00005f" w:customStyle="1">
    <w:name w:val="NormalTok"/>
    <w:basedOn w:val="00003b"/>
    <w:rPr/>
  </w:style>
  <w:style w:type="character" w:styleId="000054" w:customStyle="1">
    <w:name w:val="ControlFlowTok"/>
    <w:basedOn w:val="00003b"/>
    <w:rPr>
      <w:b w:val="1"/>
      <w:color w:val="007020"/>
    </w:rPr>
  </w:style>
  <w:style w:type="character" w:styleId="00003b" w:customStyle="1">
    <w:name w:val="Verbatim Char"/>
    <w:basedOn w:val="000010"/>
    <w:rPr>
      <w:rFonts w:ascii="Consolas" w:hAnsi="Consolas"/>
      <w:sz w:val="22"/>
    </w:rPr>
  </w:style>
  <w:style w:type="character" w:styleId="000050" w:customStyle="1">
    <w:name w:val="CommentVarTok"/>
    <w:basedOn w:val="00003b"/>
    <w:rPr>
      <w:b w:val="1"/>
      <w:i w:val="1"/>
      <w:color w:val="60a0b0"/>
    </w:rPr>
  </w:style>
  <w:style w:type="paragraph" w:styleId="000036">
    <w:name w:val="Caption"/>
    <w:basedOn w:val="00000e"/>
    <w:link w:val="000010"/>
    <w:pPr>
      <w:spacing w:before="0" w:after="120"/>
    </w:pPr>
    <w:rPr>
      <w:i w:val="1"/>
    </w:rPr>
  </w:style>
  <w:style w:type="paragraph" w:styleId="00001b" w:customStyle="1">
    <w:name w:val="Abstract"/>
    <w:basedOn w:val="00000e"/>
    <w:next w:val="00000f"/>
    <w:qFormat w:val="1"/>
    <w:pPr>
      <w:keepNext w:val="1"/>
      <w:keepLines w:val="1"/>
      <w:spacing w:before="100" w:after="300"/>
    </w:pPr>
    <w:rPr>
      <w:sz w:val="20"/>
      <w:szCs w:val="20"/>
    </w:rPr>
  </w:style>
  <w:style w:type="paragraph" w:styleId="000012" w:customStyle="1">
    <w:name w:val="Compact"/>
    <w:basedOn w:val="00000f"/>
    <w:qFormat w:val="1"/>
    <w:pPr>
      <w:spacing w:before="36" w:after="36"/>
    </w:pPr>
  </w:style>
  <w:style w:type="character" w:styleId="00004c" w:customStyle="1">
    <w:name w:val="ImportTok"/>
    <w:basedOn w:val="00003b"/>
    <w:rPr>
      <w:b w:val="1"/>
      <w:color w:val="008000"/>
    </w:rPr>
  </w:style>
  <w:style w:type="table" w:styleId="000032" w:default="1">
    <w:name w:val="Table"/>
    <w:basedOn w:val="000033"/>
    <w:semiHidden w:val="1"/>
    <w:unhideWhenUsed w:val="1"/>
    <w:qFormat w:val="1"/>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00001a" w:customStyle="1">
    <w:name w:val="Abstract Title"/>
    <w:basedOn w:val="00000e"/>
    <w:next w:val="00001b"/>
    <w:qFormat w:val="1"/>
    <w:pPr>
      <w:keepNext w:val="1"/>
      <w:keepLines w:val="1"/>
      <w:spacing w:before="300" w:after="0"/>
      <w:jc w:val="center"/>
    </w:pPr>
    <w:rPr>
      <w:b w:val="1"/>
      <w:sz w:val="20"/>
      <w:szCs w:val="20"/>
    </w:rPr>
  </w:style>
  <w:style w:type="character" w:styleId="000048" w:customStyle="1">
    <w:name w:val="SpecialCharTok"/>
    <w:basedOn w:val="00003b"/>
    <w:rPr>
      <w:color w:val="4070a0"/>
    </w:rPr>
  </w:style>
  <w:style w:type="character" w:styleId="00005a" w:customStyle="1">
    <w:name w:val="RegionMarkerTok"/>
    <w:basedOn w:val="00003b"/>
    <w:rPr/>
  </w:style>
  <w:style w:type="paragraph" w:styleId="000011" w:customStyle="1">
    <w:name w:val="First Paragraph"/>
    <w:basedOn w:val="00000f"/>
    <w:next w:val="00000f"/>
    <w:qFormat w:val="1"/>
  </w:style>
  <w:style w:type="character" w:styleId="000049" w:customStyle="1">
    <w:name w:val="StringTok"/>
    <w:basedOn w:val="00003b"/>
    <w:rPr>
      <w:color w:val="4070a0"/>
    </w:rPr>
  </w:style>
  <w:style w:type="character" w:styleId="00001e" w:customStyle="1">
    <w:name w:val="Heading 1 Char"/>
    <w:basedOn w:val="000015"/>
    <w:link w:val="00001d"/>
    <w:uiPriority w:val="9"/>
    <w:rsid w:val="00A10FD9"/>
    <w:rPr>
      <w:rFonts w:asciiTheme="majorHAnsi" w:hAnsiTheme="majorHAnsi" w:eastAsiaTheme="majorEastAsia" w:cstheme="majorBidi"/>
      <w:color w:val="0F4761" w:themeColor="accent1" w:themeShade="BF"/>
      <w:sz w:val="40"/>
      <w:szCs w:val="40"/>
    </w:rPr>
  </w:style>
  <w:style w:type="character" w:styleId="000015" w:default="1">
    <w:name w:val="Default Paragraph Font"/>
    <w:semiHidden w:val="1"/>
    <w:unhideWhenUsed w:val="1"/>
  </w:style>
  <w:style w:type="character" w:styleId="00002c" w:customStyle="1">
    <w:name w:val="Heading 8 Char"/>
    <w:basedOn w:val="000015"/>
    <w:link w:val="00002b"/>
    <w:uiPriority w:val="9"/>
    <w:semiHidden w:val="1"/>
    <w:rsid w:val="00A10FD9"/>
    <w:rPr>
      <w:rFonts w:eastAsiaTheme="majorEastAsia" w:cstheme="majorBidi"/>
      <w:i w:val="1"/>
      <w:iCs w:val="1"/>
      <w:color w:val="272727" w:themeColor="text1" w:themeTint="D8"/>
    </w:rPr>
  </w:style>
  <w:style w:type="paragraph" w:styleId="000023">
    <w:name w:val="heading 4"/>
    <w:basedOn w:val="00000e"/>
    <w:next w:val="00000f"/>
    <w:link w:val="000024"/>
    <w:uiPriority w:val="9"/>
    <w:semiHidden w:val="1"/>
    <w:unhideWhenUsed w:val="1"/>
    <w:qFormat w:val="1"/>
    <w:rsid w:val="00A10FD9"/>
    <w:pPr>
      <w:keepNext w:val="1"/>
      <w:keepLines w:val="1"/>
      <w:spacing w:before="80" w:after="40"/>
      <w:outlineLvl w:val="3"/>
    </w:pPr>
    <w:rPr>
      <w:rFonts w:eastAsiaTheme="majorEastAsia" w:cstheme="majorBidi"/>
      <w:i w:val="1"/>
      <w:iCs w:val="1"/>
      <w:color w:val="0F4761" w:themeColor="accent1" w:themeShade="BF"/>
    </w:rPr>
  </w:style>
  <w:style w:type="character" w:styleId="000046" w:customStyle="1">
    <w:name w:val="ConstantTok"/>
    <w:basedOn w:val="00003b"/>
    <w:rPr>
      <w:color w:val="880000"/>
    </w:rPr>
  </w:style>
  <w:style w:type="character" w:styleId="000020" w:customStyle="1">
    <w:name w:val="Heading 2 Char"/>
    <w:basedOn w:val="000015"/>
    <w:link w:val="00001f"/>
    <w:uiPriority w:val="9"/>
    <w:semiHidden w:val="1"/>
    <w:rsid w:val="00A10FD9"/>
    <w:rPr>
      <w:rFonts w:asciiTheme="majorHAnsi" w:hAnsiTheme="majorHAnsi" w:eastAsiaTheme="majorEastAsia" w:cstheme="majorBidi"/>
      <w:color w:val="0F4761" w:themeColor="accent1" w:themeShade="BF"/>
      <w:sz w:val="32"/>
      <w:szCs w:val="32"/>
    </w:rPr>
  </w:style>
  <w:style w:type="paragraph" w:styleId="00001c">
    <w:name w:val="Bibliography"/>
    <w:basedOn w:val="00000e"/>
    <w:next w:val="00001c"/>
    <w:qFormat w:val="1"/>
    <w:pPr/>
    <w:rPr/>
  </w:style>
  <w:style w:type="character" w:styleId="000045" w:customStyle="1">
    <w:name w:val="FloatTok"/>
    <w:basedOn w:val="00003b"/>
    <w:rPr>
      <w:color w:val="40a070"/>
    </w:rPr>
  </w:style>
  <w:style w:type="paragraph" w:styleId="000013">
    <w:name w:val="Title"/>
    <w:basedOn w:val="00000e"/>
    <w:next w:val="00000f"/>
    <w:link w:val="000014"/>
    <w:uiPriority w:val="10"/>
    <w:qFormat w:val="1"/>
    <w:rsid w:val="00A10FD9"/>
    <w:pPr>
      <w:spacing w:after="80" w:line="240" w:lineRule="auto"/>
      <w:contextualSpacing w:val="1"/>
      <w:jc w:val="center"/>
    </w:pPr>
    <w:rPr>
      <w:rFonts w:asciiTheme="majorHAnsi" w:hAnsiTheme="majorHAnsi" w:eastAsiaTheme="majorEastAsia" w:cstheme="majorBidi"/>
      <w:sz w:val="56"/>
      <w:szCs w:val="56"/>
    </w:rPr>
  </w:style>
  <w:style w:type="character" w:styleId="000059" w:customStyle="1">
    <w:name w:val="AttributeTok"/>
    <w:basedOn w:val="00003b"/>
    <w:rPr>
      <w:color w:val="7d9029"/>
    </w:rPr>
  </w:style>
  <w:style w:type="paragraph" w:styleId="00002d">
    <w:name w:val="heading 9"/>
    <w:basedOn w:val="00000e"/>
    <w:next w:val="00000f"/>
    <w:link w:val="00002e"/>
    <w:uiPriority w:val="9"/>
    <w:semiHidden w:val="1"/>
    <w:unhideWhenUsed w:val="1"/>
    <w:qFormat w:val="1"/>
    <w:rsid w:val="00A10FD9"/>
    <w:pPr>
      <w:keepNext w:val="1"/>
      <w:keepLines w:val="1"/>
      <w:spacing w:after="0"/>
      <w:outlineLvl w:val="8"/>
    </w:pPr>
    <w:rPr>
      <w:rFonts w:eastAsiaTheme="majorEastAsia" w:cstheme="majorBidi"/>
      <w:color w:val="272727" w:themeColor="text1" w:themeTint="D8"/>
    </w:rPr>
  </w:style>
  <w:style w:type="character" w:styleId="000024" w:customStyle="1">
    <w:name w:val="Heading 4 Char"/>
    <w:basedOn w:val="000015"/>
    <w:link w:val="000023"/>
    <w:uiPriority w:val="9"/>
    <w:semiHidden w:val="1"/>
    <w:rsid w:val="00A10FD9"/>
    <w:rPr>
      <w:rFonts w:eastAsiaTheme="majorEastAsia" w:cstheme="majorBidi"/>
      <w:i w:val="1"/>
      <w:iCs w:val="1"/>
      <w:color w:val="0F4761" w:themeColor="accent1" w:themeShade="BF"/>
    </w:rPr>
  </w:style>
  <w:style w:type="character" w:styleId="00005d" w:customStyle="1">
    <w:name w:val="AlertTok"/>
    <w:basedOn w:val="00003b"/>
    <w:rPr>
      <w:b w:val="1"/>
      <w:color w:val="ff0000"/>
    </w:rPr>
  </w:style>
  <w:style w:type="character" w:styleId="00005c" w:customStyle="1">
    <w:name w:val="WarningTok"/>
    <w:basedOn w:val="00003b"/>
    <w:rPr>
      <w:b w:val="1"/>
      <w:i w:val="1"/>
      <w:color w:val="60a0b0"/>
    </w:rPr>
  </w:style>
  <w:style w:type="character" w:styleId="000017" w:customStyle="1">
    <w:name w:val="Subtitle Char"/>
    <w:basedOn w:val="000015"/>
    <w:link w:val="000016"/>
    <w:uiPriority w:val="11"/>
    <w:rsid w:val="00A10FD9"/>
    <w:rPr>
      <w:rFonts w:eastAsiaTheme="majorEastAsia" w:cstheme="majorBidi"/>
      <w:color w:val="595959" w:themeColor="text1" w:themeTint="A6"/>
      <w:spacing w:val="15"/>
      <w:sz w:val="28"/>
      <w:szCs w:val="28"/>
    </w:rPr>
  </w:style>
  <w:style w:type="character" w:styleId="000042" w:customStyle="1">
    <w:name w:val="DataTypeTok"/>
    <w:basedOn w:val="00003b"/>
    <w:rPr>
      <w:color w:val="902000"/>
    </w:rPr>
  </w:style>
  <w:style w:type="paragraph" w:styleId="000029">
    <w:name w:val="heading 7"/>
    <w:basedOn w:val="00000e"/>
    <w:next w:val="00000f"/>
    <w:link w:val="00002a"/>
    <w:uiPriority w:val="9"/>
    <w:semiHidden w:val="1"/>
    <w:unhideWhenUsed w:val="1"/>
    <w:qFormat w:val="1"/>
    <w:rsid w:val="00A10FD9"/>
    <w:pPr>
      <w:keepNext w:val="1"/>
      <w:keepLines w:val="1"/>
      <w:spacing w:before="40" w:after="0"/>
      <w:outlineLvl w:val="6"/>
    </w:pPr>
    <w:rPr>
      <w:rFonts w:eastAsiaTheme="majorEastAsia" w:cstheme="majorBidi"/>
      <w:color w:val="595959" w:themeColor="text1" w:themeTint="A6"/>
    </w:rPr>
  </w:style>
  <w:style w:type="paragraph" w:styleId="00001f">
    <w:name w:val="heading 2"/>
    <w:basedOn w:val="00000e"/>
    <w:next w:val="00000f"/>
    <w:link w:val="000020"/>
    <w:uiPriority w:val="9"/>
    <w:semiHidden w:val="1"/>
    <w:unhideWhenUsed w:val="1"/>
    <w:qFormat w:val="1"/>
    <w:rsid w:val="00A10FD9"/>
    <w:pPr>
      <w:keepNext w:val="1"/>
      <w:keepLines w:val="1"/>
      <w:spacing w:before="160" w:after="80"/>
      <w:outlineLvl w:val="1"/>
    </w:pPr>
    <w:rPr>
      <w:rFonts w:asciiTheme="majorHAnsi" w:hAnsiTheme="majorHAnsi" w:eastAsiaTheme="majorEastAsia" w:cstheme="majorBidi"/>
      <w:color w:val="0F4761" w:themeColor="accent1" w:themeShade="BF"/>
      <w:sz w:val="32"/>
      <w:szCs w:val="32"/>
    </w:rPr>
  </w:style>
  <w:style w:type="character" w:styleId="00005b" w:customStyle="1">
    <w:name w:val="InformationTok"/>
    <w:basedOn w:val="00003b"/>
    <w:rPr>
      <w:b w:val="1"/>
      <w:i w:val="1"/>
      <w:color w:val="60a0b0"/>
    </w:rPr>
  </w:style>
  <w:style w:type="paragraph" w:styleId="00000f">
    <w:name w:val="Body Text"/>
    <w:basedOn w:val="00000e"/>
    <w:link w:val="000010"/>
    <w:qFormat w:val="1"/>
    <w:pPr>
      <w:spacing w:before="180" w:after="180"/>
    </w:pPr>
  </w:style>
  <w:style w:type="paragraph" w:styleId="000016">
    <w:name w:val="Subtitle"/>
    <w:basedOn w:val="000013"/>
    <w:next w:val="00000f"/>
    <w:link w:val="000017"/>
    <w:uiPriority w:val="11"/>
    <w:qFormat w:val="1"/>
    <w:rsid w:val="00A10FD9"/>
    <w:pPr>
      <w:numPr>
        <w:ilvl w:val="1"/>
      </w:numPr>
    </w:pPr>
    <w:rPr>
      <w:rFonts w:eastAsiaTheme="majorEastAsia" w:cstheme="majorBidi"/>
      <w:spacing w:val="15"/>
      <w:sz w:val="28"/>
      <w:szCs w:val="28"/>
    </w:rPr>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1" Type="http://schemas.openxmlformats.org/officeDocument/2006/relationships/settings" Target="settings.xml" /><Relationship Id="rId2" Type="http://schemas.openxmlformats.org/officeDocument/2006/relationships/footnotes" Target="footnotes.xml" /><Relationship Id="rId3" Type="http://schemas.openxmlformats.org/officeDocument/2006/relationships/fontTable" Target="fontTable.xml" /><Relationship Id="rId5" Type="http://schemas.openxmlformats.org/officeDocument/2006/relationships/numbering" Target="numbering.xml" /><Relationship Id="rId4" Type="http://schemas.openxmlformats.org/officeDocument/2006/relationships/theme" Target="theme/theme1.xml" /></Relationships>
</file>

<file path=word/theme/theme1.xml><?xml version="1.0" encoding="utf-8"?>
<a:theme xmlns:a="http://schemas.openxmlformats.org/drawingml/2006/main" xmlns:thm15="http://schemas.microsoft.com/office/thememl/2012/main" xmlns:mc="http://schemas.openxmlformats.org/markup-compatibility/2006" name="Office Theme" mc:Ignorable="thm15">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2026-07-30T00:27:01Z</dcterms:created>
  <dcterms:modified xsi:type="dcterms:W3CDTF">2026-07-30T00:27:01Z</dcterms:modified>
</cp:coreProperties>
</file>