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Architecture Search in Self-Modifying Systems: The Scale-Decay Regularity of General Selection and Randomized Controlled Audit Discipline</w:t>
      </w:r>
    </w:p>
    <w:p>
      <w:r>
        <w:rPr>
          <w:rFonts w:ascii="Times New Roman" w:hAnsi="Times New Roman"/>
        </w:rPr>
        <w:t>Author (as registered): Yulong Li (ORCID: 0009-0006-0492-857X) — Independent Researcher, Guiyang, China</w:t>
      </w:r>
    </w:p>
    <w:p>
      <w:r>
        <w:rPr>
          <w:rFonts w:ascii="Times New Roman" w:hAnsi="Times New Roman"/>
          <w:sz w:val="20"/>
        </w:rPr>
        <w:t>Abstract: Progress claims of self-evolving AI systems generally lack null-hypothesis calibration: the evolutionary computation literature has a neutral-control tradition, yet representative self-modifying systems (Darwin Gödel Machine, AlphaEvolve) run only ablations in the cited reports, and an industrial self-evolving network in which over 84% of genes bypassed quality checks. Starting from the selection-visibility asymmetry quantified on a real Drosophila connectome (parametric changes amplified 3× by selection, architectural changes about 0.8×), we test architecture-level search on three substrates. On a discrete skill-graph platform, directed-channel installation with acceptance-only selection reaches 15.6/16 versus 9.2/16 for general two-layer search and 4.2/16 for drift; drift alone installs 17.4 edges, which an uncontrolled observer would credit to selection. A scale scan across the four tested scales (W = 35 to 2,331; 12 runs per cell; constant absolute flip budget F = 2.1) shows general-search discovery decaying monotonically with W (1.000 to 0.167, trend p &lt; 0.001) while the directed channel holds at 15.333 — a designed invariance under frozen architecture and paired RNG. A generation × mutation × scale factorial refutes the crossover-generation hypothesis, exposes destruction growing as 14F/W, and supports absolute flip counts as the fairness lock for cross-scale comparison under a fixed per-generation budget. In a preregistered three-arm verdict on real LLMs (three arms × 10 seeds × 10 generations, two base tiers), the directed advantage holds at 14B (+4.9, 95% CI [2.76, 7.04], 9/10 seeds concordant; robust to leave-one-out re-estimation) and does not hold at 30B-A3B: a format-constrained rerun repaired the self-report channel (42% parse failures to 0/100) and the directed advantage remained absent (+0.2, 95% CI [−0.96, +1.36], 6/10 concordant seeds) — channel repairability and channel benefit are separate dimensions. Accepted architecture-type mutations show zero mean empirical gain at both tiers under the verdict’s self-reported classification; the acceptance guard approves neutral edits wholesale. We distill five design principles: selection-visibility asymmetry, directed channels, sham audits, quality-control metrology, and scale-decaying architectural visibility.</w:t>
      </w:r>
    </w:p>
    <w:p>
      <w:r>
        <w:rPr>
          <w:rFonts w:ascii="Times New Roman" w:hAnsi="Times New Roman"/>
          <w:b/>
          <w:sz w:val="20"/>
        </w:rPr>
        <w:t>Keywords:</w:t>
      </w:r>
      <w:r>
        <w:rPr>
          <w:rFonts w:ascii="Times New Roman" w:hAnsi="Times New Roman"/>
          <w:sz w:val="20"/>
        </w:rPr>
        <w:t xml:space="preserve"> self-evolving systems; architecture search; neutral control; sham audit; recursive self-improvement; neuroevolution</w:t>
      </w:r>
    </w:p>
    <w:p>
      <w:pPr>
        <w:pStyle w:val="Heading2"/>
      </w:pPr>
      <w:r>
        <w:rPr>
          <w:rFonts w:ascii="Times New Roman" w:hAnsi="Times New Roman"/>
        </w:rPr>
        <w:t>1 Introduction</w:t>
      </w:r>
    </w:p>
    <w:p>
      <w:r>
        <w:rPr>
          <w:rFonts w:ascii="Times New Roman" w:hAnsi="Times New Roman"/>
        </w:rPr>
        <w:t>Self-modifying systems driven by large language models are developing rapidly: the Darwin Gödel Machine (DGM) iteratively rewrites its own code, self-reporting a rise from 20.0% to 50.0% on SWE-bench [1]; AlphaEvolve discovers improved matrix-multiplication algorithms through evolutionary program search [2]; the industrial self-evolving network EvoMap carried over 1.5 million assets and 128,000 daily-active agents as of April 2026, the subject of an empirical study over a 47-day observation window [3]. The common structure of these systems is a "mutate–evaluate–select" loop, yet validation of their progress claims stops at ablation studies (removing self-modification, removing the archive); not one sets up a randomized-change control drawn from the same operator distribution (a sham control). This gap is not an isolated case: the machine-learning literature has long warned about missing controls and irreproducibility as "troubling trends" [4,5]. LLM self-improvement mechanisms (Voyager's skill-library accumulation [6], Reflexion's verbal reinforcement [7], Self-Refine's iterative self-feedback [8]) and agent benchmarks (AgentBench [9], SWE-bench [10]) have proliferated, and their "improvement" readouts likewise rest on ablations and baseline comparisons rather than same-operator randomized controls; self-correction claims in particular can vanish entirely under stricter baselines [11]. Industrial observation sharpens the concern: in EvoMap, over 84% of genes bypassed quality validation (66% with no validation command at all, 18.2% submitting only trivial checks), 98% of accumulated assets were never reused, and inflated self-reported metadata could push a rated asset from the 65th to the 75th percentile [3]. FunSearch and AlphaEvolve do guard against language-model hallucination through programmatic evaluation [12], and their readouts are benchmarked against known optima, but neither measures the false-progress rate under same-operator random change: the evaluator only answers "is the proposal good," never "could a random change with the same operator distribution reach this level" [2,13]. To the best of our knowledge, none of the representative systems reviewed here measures the "false-progress rate under same-operator random change" as a first-class quantity.</w:t>
      </w:r>
    </w:p>
    <w:p>
      <w:r>
        <w:rPr>
          <w:rFonts w:ascii="Times New Roman" w:hAnsi="Times New Roman"/>
        </w:rPr>
        <w:t>In the evolution of nervous systems, "can selection discover architectural innovation" is a question with controlled experimental answers: connectomes have been used as trainable evolutionary substrates (sensorimotor training on an artificial C. elegans connectome [14]), and the topological sensitivity of connectome-constrained networks has recently been quantified [15]. Our companion paper (Paper A [16]) quantified the selection-visibility asymmetry law on a real fruit-fly connectome: parametric (weight) changes were amplified 3× by selection, architectural (connection) changes about 0.8×, and remained unfavored even with the solution in hand, pressure maxed out, and time ×4 (80 generations, four times the 20-generation decision window). (Measurement summary: a leaky-integration spiking substrate over the FlyWire v783 olfactory subcircuit, 4,409 real neurons and 33,527 real connections; in the weight layer, 12 paired seeds showed all-positive gain differences, mean +16.3 (95% CI 14.6–18.1); in the structure layer, 0/10 seeds passed the preregistered line in long runs, while hand-wiring the same bypass pathway flipped 3/3 host animals past the full brain — the solution exists yet is invisible to selection.) This law is a direct alarm for self-modifying systems: if general selection cannot see a ready-made architectural solution on a real neural substrate, then a self-evolving system that relies on general selection to discover architectural improvements is largely wasting its architecture-search budget. This paper takes the law as a testable prediction and transplants it onto three artificial substrates: (i) a discrete skill-graph self-modification platform, in which the architectural genome is an edge mask and the parametric genome a bias vector — isomorphic to self-modification designs that "edit the skill graph rather than raw code" [17,18]; (ii) an architecture-search-space scale scan, testing the scale dependence of the law; (iii) a six-stage self-modification loop on a real LLM with a preregistered three-arm verdict batch (two base-model tiers × 10 seeds × 10 generations), minimally reproducing the GEP protocol [17]. All experiments carry neutral controls or sham conditions.</w:t>
      </w:r>
    </w:p>
    <w:p>
      <w:r>
        <w:rPr>
          <w:rFonts w:ascii="Times New Roman" w:hAnsi="Times New Roman"/>
        </w:rPr>
        <w:t>Methodologically, this paper enforces three preregistration disciplines. First, every contrast condition is paired with a randomized-change control from the same operator distribution (sham), with decision rules written into analysis scripts before the batch runs — no interpretive freedom at adjudication time. Second, cross-scale comparisons use paired random numbers (all conditions consume the same RNG trajectory), with a hard self-check requiring the entire trajectory of the condition "fitness given structure is scale-invariant" to be bitwise identical across scales — a self-check that in fact caught a cross-scale RNG-stream drift defect during this work. Third, the real-LLM experiments carry a G0 cargo gate: multi-condition comparison is permitted only when the expert reference genome outperforms the naive genome (the pipeline-validation stage's frozen criteria additionally require a margin of ≥ 2 tasks); if the reference cargo is worthless, the run is halted by discipline.</w:t>
      </w:r>
    </w:p>
    <w:p>
      <w:r>
        <w:rPr>
          <w:rFonts w:ascii="Times New Roman" w:hAnsi="Times New Roman"/>
        </w:rPr>
        <w:t>Our contributions: (i) on the discrete substrate we confirm that "architectural improvements enter through a directed channel; general selection only performs acceptance" holds — general search's architectural discovery decays with scale, so the directed–general contrast widens across the four tested scales (the directed readout's cross-scale constancy is a designed invariance under frozen architecture and paired RNG, used as the pipeline self-check and not counted as an independent empirical finding); (ii) we give the scale-decay regularity of general search's architectural discovery (achievement rate 1.000 → 0.167; 12 runs per cell; trend p &lt; 0.001; limited to the four tested scales) together with a quantification of decoy contamination growing with scale; (iii) we give the fairness-lock determination for cross-scale comparison (absolute flip counts, not relative pressure); (iv) we establish, with in-experiment proofs, the two disciplines of sham auditing and quality-control metrology, provide a controlled measurement of how hand-wired cargo value decays with the serving stack, and test the directed-channel principle in a preregistered three-arm verdict batch on a real LLM: the advantage holds at the 14B tier and is indeterminate at the 30B-A3B tier due to self-report format failure. To the best of our knowledge, none of the representative systems reviewed here reports a false-progress readout under a same-operator randomized control. All data were produced by a checkpoint-and-resume automated pipeline on a real deployment stack, with per-run immutable logging and full reproducibility. Section 2 covers materials and methods, Section 3 results, Section 4 design principles and related theory, Section 5 conclusions.</w:t>
      </w:r>
    </w:p>
    <w:p>
      <w:pPr>
        <w:pStyle w:val="Heading2"/>
      </w:pPr>
      <w:r>
        <w:rPr>
          <w:rFonts w:ascii="Times New Roman" w:hAnsi="Times New Roman"/>
        </w:rPr>
        <w:t>2 Materials and Methods</w:t>
      </w:r>
    </w:p>
    <w:p>
      <w:pPr>
        <w:pStyle w:val="Heading3"/>
      </w:pPr>
      <w:r>
        <w:rPr>
          <w:rFonts w:ascii="Times New Roman" w:hAnsi="Times New Roman"/>
        </w:rPr>
        <w:t>2.1 Discrete skill-graph self-modification platform (Experiment G)</w:t>
      </w:r>
    </w:p>
    <w:p>
      <w:r>
        <w:rPr>
          <w:rFonts w:ascii="Times New Roman" w:hAnsi="Times New Roman"/>
        </w:rPr>
        <w:t>The substrate is a three-tier skill directed graph: an input layer of 1 node, three hidden tiers of 4/4/3 nodes (11 in total), and an output node — 13 nodes and 35 inter-tier candidate edges in total; the 12 non-input nodes carry biases (the parametric genome dimension, also referred to as 12 skill nodes). Node values are modular-arithmetic values over Z/64Z (written Z_64), and node operators are drawn from a set of cyclic shifts, XOR, multiplication, and squaring under the modulus. Tasks are 16 combinatorial tasks generated programmatically from a hidden reference circuit (14 true edges in total); evaluation is the number of tasks solved (0–16), and greedy evaluation makes the score a deterministic function of the genome. The architectural genome is a 35-dimensional edge-presence mask (initial density 0.25); the parametric genome is 12 node biases. Genetic operators: mutation is per-edge flipping (probability 0.06 per edge) plus Gaussian perturbation of per-node biases (σ = 1.2, activation probability 0.3); crossover is per-bit uniform crossover (0.5); selection is random pairing with pairwise tournament retention. Protocol: population 60 × 500 generations × 5 seeds × 5 conditions — Naive (free search on both architecture and parameters), Param-only (architecture frozen), Directed (architecture installed directly through a directed channel according to the reference edge set, with general selection only tuning and accepting parameters), Sham (independent mutation stream + shuffled fitness, the drift control), and Gated (architecture mutation gated by a simple plateau detector). A hand-wiring grid first established the existence and shape of the architectural solution (G0).</w:t>
      </w:r>
    </w:p>
    <w:p>
      <w:pPr>
        <w:pStyle w:val="Heading3"/>
      </w:pPr>
      <w:r>
        <w:rPr>
          <w:rFonts w:ascii="Times New Roman" w:hAnsi="Times New Roman"/>
        </w:rPr>
        <w:t>2.2 Scale scan and three-factor design</w:t>
      </w:r>
    </w:p>
    <w:p>
      <w:r>
        <w:rPr>
          <w:rFonts w:ascii="Times New Roman" w:hAnsi="Times New Roman"/>
        </w:rPr>
        <w:t>The scale scan adds decoy nodes to the skill graph, with hidden-tier widths (4,4,3), (12,12,9), (24,24,18), (36,36,27), giving candidate edge counts W = a + ab + bc + c (a, b, c the hidden widths) ∈ {35, 273, 1050, 2,331}, 300 generations per run. Five conditions (directed, param-only, naive-arch, naive-joint, sham) start from the same defective starting point: each run removes one edge — one of two key edges calibrated by single-edge ablation (ablation drops of 15 each) — and the primary readout is the achievement rate. To prevent drift forgery, achievement required the missing edge to return to ON and the final score to reach the full solution:</w:t>
      </w:r>
    </w:p>
    <w:p>
      <w:pPr>
        <w:jc w:val="center"/>
      </w:pPr>
      <m:oMath>
        <m:r>
          <m:rPr>
            <m:sty m:val="i"/>
          </m:rPr>
          <m:t xml:space="preserve">recovered</m:t>
        </m:r>
        <m:r>
          <m:t xml:space="preserve"> = 1{</m:t>
        </m:r>
        <m:r>
          <m:rPr>
            <m:sty m:val="i"/>
          </m:rPr>
          <m:t xml:space="preserve">e</m:t>
        </m:r>
        <m:r>
          <m:t xml:space="preserve"> ∈ ON(</m:t>
        </m:r>
        <m:r>
          <m:rPr>
            <m:sty m:val="i"/>
          </m:rPr>
          <m:t xml:space="preserve">T</m:t>
        </m:r>
        <m:r>
          <m:t xml:space="preserve">)} · 1{</m:t>
        </m:r>
        <m:r>
          <m:rPr>
            <m:sty m:val="i"/>
          </m:rPr>
          <m:t xml:space="preserve">s</m:t>
        </m:r>
        <m:r>
          <m:t xml:space="preserve">(</m:t>
        </m:r>
        <m:r>
          <m:rPr>
            <m:sty m:val="i"/>
          </m:rPr>
          <m:t xml:space="preserve">T</m:t>
        </m:r>
        <m:r>
          <m:t xml:space="preserve">) ≥ </m:t>
        </m:r>
        <m:sSub>
          <m:e>
            <m:r>
              <m:rPr>
                <m:sty m:val="i"/>
              </m:rPr>
              <m:t xml:space="preserve">s</m:t>
            </m:r>
          </m:e>
          <m:sub>
            <m:r>
              <m:t xml:space="preserve">full</m:t>
            </m:r>
          </m:sub>
        </m:sSub>
        <m:r>
          <m:t xml:space="preserve">}</m:t>
        </m:r>
      </m:oMath>
      <w:r>
        <w:rPr>
          <w:rFonts w:ascii="Times New Roman" w:hAnsi="Times New Roman"/>
        </w:rPr>
        <w:tab/>
        <w:t>(Eq. 1)</w:t>
      </w:r>
    </w:p>
    <w:p>
      <w:r>
        <w:rPr>
          <w:rFonts w:ascii="Times New Roman" w:hAnsi="Times New Roman"/>
        </w:rPr>
        <w:t>where T is the final generation, ON(T) the final on-edge set, e the removed reference edge, and s(T) the final number of tasks solved; achievement requires the full score (16). The scan runs a constant flip budget F = 2.1 (Eq. 2), with architecture mutation firing at probability 0.7 per offspring, identical across conditions. All conditions consume the same RNG trajectory with paired random numbers, and the hard self-check requires the entire trajectory of the directed condition ("fitness given structure is W-invariant") to be bitwise identical across scales — a self-check that caught a genuine cross-scale RNG-stream drift defect in an earlier version of this work. Likewise, under the discipline that "retired metrics must leave an audit trail": the preregistered metric of the v1 scale curve (DECAY_NOT_OBSERVED) has been retired with its record preserved, its readouts are no longer cited, and the decay conclusions rest on observations under the corrected v2 protocol (defective starting point + Eq. 1 achievement rate). The three-factor scan fixes the task and reference circuit and sweeps W ∈ {35, 273, 1050} × mutation tiers {absolute flips F = 2.1, F = 6.3, relative pressure p = 6%} × 3 conditions × 3 seeds × 800 generations: 81 designed cells, of which the param-only tier is architecture-frozen and therefore independent of the mutation tier, so 9 runs are reused across tiers — 63 runs executed. With the expected number of flips per genome held constant, the per-edge flip probability is</w:t>
      </w:r>
    </w:p>
    <w:p>
      <w:pPr>
        <w:jc w:val="center"/>
      </w:pPr>
      <m:oMath>
        <m:sSub>
          <m:e>
            <m:r>
              <m:rPr>
                <m:sty m:val="i"/>
              </m:rPr>
              <m:t xml:space="preserve">p</m:t>
            </m:r>
          </m:e>
          <m:sub>
            <m:r>
              <m:t xml:space="preserve">flip</m:t>
            </m:r>
          </m:sub>
        </m:sSub>
        <m:r>
          <m:t xml:space="preserve"> = </m:t>
        </m:r>
        <m:r>
          <m:rPr>
            <m:sty m:val="i"/>
          </m:rPr>
          <m:t xml:space="preserve">F</m:t>
        </m:r>
        <m:r>
          <m:t xml:space="preserve"> / </m:t>
        </m:r>
        <m:r>
          <m:rPr>
            <m:sty m:val="i"/>
          </m:rPr>
          <m:t xml:space="preserve">W</m:t>
        </m:r>
      </m:oMath>
      <w:r>
        <w:rPr>
          <w:rFonts w:ascii="Times New Roman" w:hAnsi="Times New Roman"/>
        </w:rPr>
        <w:tab/>
        <w:t>(Eq. 2)</w:t>
      </w:r>
    </w:p>
    <w:p>
      <w:r>
        <w:rPr>
          <w:rFonts w:ascii="Times New Roman" w:hAnsi="Times New Roman"/>
        </w:rPr>
        <w:t>The three conditions share the reference edge set as the starting structure: naive-joint (both layers free) and param-only (architecture frozen on the reference edge set) start from zero biases at 1/16; naive-arch (architecture free, parameters pinned to the reference biases) starts from the full solution 16/16 as the pure-destruction readout. The retention rate is the population's retained fraction of the reference edge set (constant 1 for architecture-frozen param-only), and must be read as a population mean, not the best individual.</w:t>
      </w:r>
    </w:p>
    <w:p>
      <w:pPr>
        <w:pStyle w:val="Heading3"/>
      </w:pPr>
      <w:r>
        <w:rPr>
          <w:rFonts w:ascii="Times New Roman" w:hAnsi="Times New Roman"/>
        </w:rPr>
        <w:t>2.3 Real LLM: the GEP six-stage loop, formalized validation, and the three-arm verdict batch</w:t>
      </w:r>
    </w:p>
    <w:p>
      <w:r>
        <w:rPr>
          <w:rFonts w:ascii="Times New Roman" w:hAnsi="Times New Roman"/>
        </w:rPr>
        <w:t>Using a locally deployed Qwen3-30B-A3B-Instruct (llama-server, quantized inference; archived platform parameters: KV cache q8_0 quantization, MoE expert pages resident in CPU), we implement the GEP six-stage self-modification loop (scan → signal → intent → mutate → validate → solidify) [17]: strategy genes are represented as text, a mutator proposes modifications, an edit is accepted only if the validation score does not regress, and the test score is measured only at the end; all evaluations use greedy decoding (temperature 0), making scores a deterministic function of the gene. The pilot protocol was 8 validation + 8 test tasks, 3 conditions × 2 seeds × 5 generations (n = 2).</w:t>
      </w:r>
    </w:p>
    <w:p>
      <w:r>
        <w:rPr>
          <w:rFonts w:ascii="Times New Roman" w:hAnsi="Times New Roman"/>
        </w:rPr>
        <w:t>After the pilot, we redesigned the task set into a harder v2 version under a preregistered plan (four families: five-step mixed integer chains with intermediate values in the thousands, 9–10 letter Caesar rotations, three-digit digit-sum construction, three-word reversals), expanded validation to 12 tasks and test to 20 tasks (deduplicated), and raised the evaluation budget to 1,280 tokens (in v1, 320–512 tokens truncated the written-workings strategy's answer lines, producing false G0 negatives) — and replaced direct batch execution with pipeline validation under four preregistered criteria: S1 measurement determinism (the same gene evaluated twice with reversed task order must produce identical scores); S2 the G0 cargo gate (the expert reference genome must beat the naive genome by ≥ 2 tasks, else multi-condition comparison is barred under the handwire discipline); S3 climb authenticity (naive-condition net climb ≥ +2 and mutation parse success ≥ 60%); S4 cost extrapolation. The execution environment was hostile: the inference-serving instance was periodically reaped by process management, and the deployment stack changed models mid-experiment. The pipeline therefore ran with checkpoint-and-resume (per-stage, per-generation persistence), inference calls carried 30 × 30 s retries to ride out reaping windows, and cross-instance measurement validity was guaranteed by S1.</w:t>
      </w:r>
    </w:p>
    <w:p>
      <w:r>
        <w:rPr>
          <w:rFonts w:ascii="Times New Roman" w:hAnsi="Times New Roman"/>
        </w:rPr>
        <w:t>After pipeline validation, and under the author's own written authorization, recorded before launch in accordance with the preregistration discipline and with the frozen criteria unchanged (the authorization record ships with the artifact package; it restricted base models to the Qwen3 family with an uncapped token budget), we launched the preregistered three-arm verdict batch TJ_B1_llm_three_arm. Arm semantics: the directed arm loads the expert reference gene and the LLM self-reports each mutation; the sham arm receives programmatic random mutations from the same operator distribution (the drift control); the naive arm loads the naive gene and the LLM self-reports mutations without prior knowledge. Each arm: 10 seeds × 10 generations, task set v2 (12 validation + 20 test), accept only on a non-regressing validation score, test score measured only at the end. The 32 task instances are built once per tier and shared across arms and seeds; the mutator prompt, the self-report format schema, and the parser specification are embedded in the batch runner and ship with the artifact package. Two base-model tiers: qwen3-instruct-30b (Qwen3-30B-A3B-Instruct, a MoE model with ~3B active parameters, UD-Q4_K_XL quantization, context 65,536) and qwen3-14b (dense, Q4_K_M quantization, context 32,768); the tiers differ simultaneously in total parameters, active parameters, and architecture family, so cross-tier differences must not be read as a "scale effect". The qwen3-8b named in the frozen design does not exist on this machine and was replaced by qwen3-14b; the candidate Qwen3.8-27B was excluded for IQ3_S recompression quantization stacked on a non-standard fine-tune; the full selection rationale is on record in the authorization file. Four frozen criteria: directed − sham with 95% CI excluding zero and ≥ 7/10 concordant seeds adjudicates B1_DIRECTED_WINS; TOST equivalence failing excludes an equivalence reading; seed mean square exceeding arm mean square by 10× adjudicates NOISE (metrology first; no rolling re-adjudication); self-report misclassification rate capped at 0.2 — defined as the fraction of parsed self-reports whose stated mutation type disagrees with the programmatic type; as implemented in the verdict file, this criterion gates the validity of the directed arm's self-reports. "Parse failure" (no parseable self-report produced) is a distinct failure mode with no frozen threshold; it is reported as a descriptive readout. The criteria-freeze JSON's SHA256 is b2b05c0d96c6136767c984829f34ab7b971c4470c632b3055f5c5a63d9872939; its frozen status (CONDITIONAL), the written authorization that unlocked it, and the full model-selection record ship with the artifact package. Deployment and inference configuration: 30B tier context 65,536 with MoE expert pages resident in CPU and KV cache q8_0; 14B tier context 32,768; the two tiers ran serially through a local inference-proxy chain ("30B batch first, then 14B"). Each tier ran a per-model G0 preflight before starting: the handwire discipline requires the reference gene to beat the naive gene on the 12 validation tasks, implemented in the batch runner as a recorded check that warns rather than blocks (the frozen criteria set contains no G0 criterion, so the gate readouts — 30B: 5 vs 4; 14B: 2 vs 0, out of 12 — are recorded in the verdict file rather than constituting a blocking criterion); the same hand-wired reference gene is used throughout, with no re-derivation between rounds. The pipeline checkpointed and resumed, and token usage was accumulated per call from usage fields. Before launch, one task-generator defect was fixed and logged (insufficient coverage of the clist-family candidate tier; the fix regression-tested against the preregistration's stated intent), with the frozen pipeline script itself untouched. Statistics: seed-level paired directed − sham differences are reported as paired-t intervals (n = 10, df = 9; 14B tier: 4.9 ± t_0.975,9 × 2.998/√10 ≈ [2.76, 7.04]; 30B-A3B tier: −0.4 ± 2.145 ≈ [−2.54, +1.74]). Equivalence uses TOST with Δ = 1 task (one of the 20-task test score, same origin as the pilot rule "minimum meaningful difference naive − sham ≥ 1"; the operationalization is archived in the verdict JSON). Variance decomposition reports the arm-mean-square to seed-mean-square ratio, with seed mean square exceeding arm mean square by 10× adjudicating NOISE.</w:t>
      </w:r>
    </w:p>
    <w:p>
      <w:pPr>
        <w:pStyle w:val="Heading2"/>
      </w:pPr>
      <w:r>
        <w:rPr>
          <w:rFonts w:ascii="Times New Roman" w:hAnsi="Times New Roman"/>
        </w:rPr>
        <w:t>3 Results</w:t>
      </w:r>
    </w:p>
    <w:p>
      <w:pPr>
        <w:pStyle w:val="Heading3"/>
      </w:pPr>
      <w:r>
        <w:rPr>
          <w:rFonts w:ascii="Times New Roman" w:hAnsi="Times New Roman"/>
        </w:rPr>
        <w:t>3.1 The directed channel's overwhelming advantage over general selection (Experiment G)</w:t>
      </w:r>
    </w:p>
    <w:p>
      <w:r>
        <w:rPr>
          <w:rFonts w:ascii="Times New Roman" w:hAnsi="Times New Roman"/>
        </w:rPr>
        <w:t>The directed channel's advantage over general selection is overwhelming on this substrate. Hand-wiring (G0) first established the architectural solution's "lock-and-key" joint structure: random mask + zero biases, reference edge set + zero biases, and random mask + reference biases each scored only 1/16, while reference edges + reference biases reached 16/16 — structure alone is worthless and must combine with parameters to unlock the full task set. On this basis, 500 generations of two-layer free search (Naive) finished at 9.2/16 (best seed 11), while the directed-channel condition (Directed) reached 15.6/16 (per-seed 16/14/16/16/16, 4/5 at ceiling; Fig. 1a, Table 1). All conditions are reported as 5-seed means (the preregistered global discipline requires per-seed values to be available: directed per-seed values are 16/14/16/16/16; the remaining conditions' per-seed final scores ship with the artifact package event logs [19]). The selection signal itself was healthy: Naive − Sham = +5.0, real selection 2.2× drift; the architectural marginal value Naive − Param-only = +3.0. Layer ablation showed performance is held jointly by the two layers: rolling back the architecture layer dropped it to 2.2/16, rolling back the parameter layer to 1.8/16 (ablation protocol released with the artifact package's method_code). Experiment G's verdict file also records three preregistered checks — selection signal naive − sham ≥ 2, architectural value naive − param-only ≥ 1, channel advantage directed − naive ≥ 1 — all passed, verdict ASYMMETRY_REPLICATED. The simple plateau gate (Gated: architecture mutation opens only after 8 generations without improvement) matched Naive (final 9.6) while executing ~8% fewer architecture mutations — harmless.</w:t>
      </w:r>
    </w:p>
    <w:p>
      <w:pPr>
        <w:spacing w:after="160" w:line="240" w:lineRule="auto"/>
      </w:pPr>
      <w:r>
        <w:rPr>
          <w:rFonts w:ascii="Times New Roman" w:hAnsi="Times New Roman"/>
          <w:b/>
          <w:sz w:val="18"/>
        </w:rPr>
        <w:t>Table 1. Experiment G, five-condition finals (5-seed means, out of 16).</w:t>
      </w:r>
    </w:p>
    <w:tbl>
      <w:tblPr>
        <w:tblStyle w:val="TableGrid"/>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Column="1" w:firstRow="1" w:lastColumn="0" w:lastRow="0" w:noHBand="0" w:noVBand="1" w:val="04A0"/>
      </w:tblPr>
      <w:tblGrid>
        <w:gridCol w:w="2160"/>
        <w:gridCol w:w="2160"/>
        <w:gridCol w:w="2160"/>
        <w:gridCol w:w="2160"/>
      </w:tblGrid>
      <w:tr>
        <w:tc>
          <w:tcPr>
            <w:tcW w:type="dxa" w:w="2160"/>
            <w:tcBorders>
              <w:bottom w:val="single" w:sz="6" w:space="0" w:color="000000"/>
            </w:tcBorders>
          </w:tcPr>
          <w:p>
            <w:pPr>
              <w:spacing w:before="40" w:after="40" w:line="240" w:lineRule="auto"/>
            </w:pPr>
            <w:r>
              <w:rPr>
                <w:rFonts w:ascii="Times New Roman" w:hAnsi="Times New Roman"/>
                <w:b/>
                <w:sz w:val="18"/>
              </w:rPr>
              <w:t>Condition</w:t>
            </w:r>
          </w:p>
        </w:tc>
        <w:tc>
          <w:tcPr>
            <w:tcW w:type="dxa" w:w="2160"/>
            <w:tcBorders>
              <w:bottom w:val="single" w:sz="6" w:space="0" w:color="000000"/>
            </w:tcBorders>
          </w:tcPr>
          <w:p>
            <w:pPr>
              <w:spacing w:before="40" w:after="40" w:line="240" w:lineRule="auto"/>
            </w:pPr>
            <w:r>
              <w:rPr>
                <w:rFonts w:ascii="Times New Roman" w:hAnsi="Times New Roman"/>
                <w:b/>
                <w:sz w:val="18"/>
              </w:rPr>
              <w:t>Mechanism</w:t>
            </w:r>
          </w:p>
        </w:tc>
        <w:tc>
          <w:tcPr>
            <w:tcW w:type="dxa" w:w="2160"/>
            <w:tcBorders>
              <w:bottom w:val="single" w:sz="6" w:space="0" w:color="000000"/>
            </w:tcBorders>
          </w:tcPr>
          <w:p>
            <w:pPr>
              <w:spacing w:before="40" w:after="40" w:line="240" w:lineRule="auto"/>
            </w:pPr>
            <w:r>
              <w:rPr>
                <w:rFonts w:ascii="Times New Roman" w:hAnsi="Times New Roman"/>
                <w:b/>
                <w:sz w:val="18"/>
              </w:rPr>
              <w:t>Final solved</w:t>
            </w:r>
          </w:p>
        </w:tc>
        <w:tc>
          <w:tcPr>
            <w:tcW w:type="dxa" w:w="2160"/>
            <w:tcBorders>
              <w:bottom w:val="single" w:sz="6" w:space="0" w:color="000000"/>
            </w:tcBorders>
          </w:tcPr>
          <w:p>
            <w:pPr>
              <w:spacing w:before="40" w:after="40" w:line="240" w:lineRule="auto"/>
            </w:pPr>
            <w:r>
              <w:rPr>
                <w:rFonts w:ascii="Times New Roman" w:hAnsi="Times New Roman"/>
                <w:b/>
                <w:sz w:val="18"/>
              </w:rPr>
              <w:t>Note</w:t>
            </w:r>
          </w:p>
        </w:tc>
      </w:tr>
      <w:tr>
        <w:tc>
          <w:tcPr>
            <w:tcW w:type="dxa" w:w="2160"/>
          </w:tcPr>
          <w:p>
            <w:pPr>
              <w:spacing w:before="40" w:after="40" w:line="240" w:lineRule="auto"/>
            </w:pPr>
            <w:r>
              <w:rPr>
                <w:rFonts w:ascii="Times New Roman" w:hAnsi="Times New Roman"/>
                <w:sz w:val="18"/>
              </w:rPr>
              <w:t>Directed</w:t>
            </w:r>
          </w:p>
        </w:tc>
        <w:tc>
          <w:tcPr>
            <w:tcW w:type="dxa" w:w="2160"/>
          </w:tcPr>
          <w:p>
            <w:pPr>
              <w:spacing w:before="40" w:after="40" w:line="240" w:lineRule="auto"/>
            </w:pPr>
            <w:r>
              <w:rPr>
                <w:rFonts w:ascii="Times New Roman" w:hAnsi="Times New Roman"/>
                <w:sz w:val="18"/>
              </w:rPr>
              <w:t>architecture installed via directed channel + selection tunes/accepts</w:t>
            </w:r>
          </w:p>
        </w:tc>
        <w:tc>
          <w:tcPr>
            <w:tcW w:type="dxa" w:w="2160"/>
          </w:tcPr>
          <w:p>
            <w:pPr>
              <w:spacing w:before="40" w:after="40" w:line="240" w:lineRule="auto"/>
            </w:pPr>
            <w:r>
              <w:rPr>
                <w:rFonts w:ascii="Times New Roman" w:hAnsi="Times New Roman"/>
                <w:sz w:val="18"/>
              </w:rPr>
              <w:t>15.6</w:t>
            </w:r>
          </w:p>
        </w:tc>
        <w:tc>
          <w:tcPr>
            <w:tcW w:type="dxa" w:w="2160"/>
          </w:tcPr>
          <w:p>
            <w:pPr>
              <w:spacing w:before="40" w:after="40" w:line="240" w:lineRule="auto"/>
            </w:pPr>
            <w:r>
              <w:rPr>
                <w:rFonts w:ascii="Times New Roman" w:hAnsi="Times New Roman"/>
                <w:sz w:val="18"/>
              </w:rPr>
              <w:t>4/5 seeds at ceiling</w:t>
            </w:r>
          </w:p>
        </w:tc>
      </w:tr>
      <w:tr>
        <w:tc>
          <w:tcPr>
            <w:tcW w:type="dxa" w:w="2160"/>
          </w:tcPr>
          <w:p>
            <w:pPr>
              <w:spacing w:before="40" w:after="40" w:line="240" w:lineRule="auto"/>
            </w:pPr>
            <w:r>
              <w:rPr>
                <w:rFonts w:ascii="Times New Roman" w:hAnsi="Times New Roman"/>
                <w:sz w:val="18"/>
              </w:rPr>
              <w:t>Gated</w:t>
            </w:r>
          </w:p>
        </w:tc>
        <w:tc>
          <w:tcPr>
            <w:tcW w:type="dxa" w:w="2160"/>
          </w:tcPr>
          <w:p>
            <w:pPr>
              <w:spacing w:before="40" w:after="40" w:line="240" w:lineRule="auto"/>
            </w:pPr>
            <w:r>
              <w:rPr>
                <w:rFonts w:ascii="Times New Roman" w:hAnsi="Times New Roman"/>
                <w:sz w:val="18"/>
              </w:rPr>
              <w:t>plateau-gated architecture mutation</w:t>
            </w:r>
          </w:p>
        </w:tc>
        <w:tc>
          <w:tcPr>
            <w:tcW w:type="dxa" w:w="2160"/>
          </w:tcPr>
          <w:p>
            <w:pPr>
              <w:spacing w:before="40" w:after="40" w:line="240" w:lineRule="auto"/>
            </w:pPr>
            <w:r>
              <w:rPr>
                <w:rFonts w:ascii="Times New Roman" w:hAnsi="Times New Roman"/>
                <w:sz w:val="18"/>
              </w:rPr>
              <w:t>9.6</w:t>
            </w:r>
          </w:p>
        </w:tc>
        <w:tc>
          <w:tcPr>
            <w:tcW w:type="dxa" w:w="2160"/>
          </w:tcPr>
          <w:p>
            <w:pPr>
              <w:spacing w:before="40" w:after="40" w:line="240" w:lineRule="auto"/>
            </w:pPr>
            <w:r>
              <w:rPr>
                <w:rFonts w:ascii="Times New Roman" w:hAnsi="Times New Roman"/>
                <w:sz w:val="18"/>
              </w:rPr>
              <w:t>comparable to Naive, saves 8% of architecture mutations</w:t>
            </w:r>
          </w:p>
        </w:tc>
      </w:tr>
      <w:tr>
        <w:tc>
          <w:tcPr>
            <w:tcW w:type="dxa" w:w="2160"/>
          </w:tcPr>
          <w:p>
            <w:pPr>
              <w:spacing w:before="40" w:after="40" w:line="240" w:lineRule="auto"/>
            </w:pPr>
            <w:r>
              <w:rPr>
                <w:rFonts w:ascii="Times New Roman" w:hAnsi="Times New Roman"/>
                <w:sz w:val="18"/>
              </w:rPr>
              <w:t>Naive</w:t>
            </w:r>
          </w:p>
        </w:tc>
        <w:tc>
          <w:tcPr>
            <w:tcW w:type="dxa" w:w="2160"/>
          </w:tcPr>
          <w:p>
            <w:pPr>
              <w:spacing w:before="40" w:after="40" w:line="240" w:lineRule="auto"/>
            </w:pPr>
            <w:r>
              <w:rPr>
                <w:rFonts w:ascii="Times New Roman" w:hAnsi="Times New Roman"/>
                <w:sz w:val="18"/>
              </w:rPr>
              <w:t>free search on architecture + parameters</w:t>
            </w:r>
          </w:p>
        </w:tc>
        <w:tc>
          <w:tcPr>
            <w:tcW w:type="dxa" w:w="2160"/>
          </w:tcPr>
          <w:p>
            <w:pPr>
              <w:spacing w:before="40" w:after="40" w:line="240" w:lineRule="auto"/>
            </w:pPr>
            <w:r>
              <w:rPr>
                <w:rFonts w:ascii="Times New Roman" w:hAnsi="Times New Roman"/>
                <w:sz w:val="18"/>
              </w:rPr>
              <w:t>9.2</w:t>
            </w:r>
          </w:p>
        </w:tc>
        <w:tc>
          <w:tcPr>
            <w:tcW w:type="dxa" w:w="2160"/>
          </w:tcPr>
          <w:p>
            <w:pPr>
              <w:spacing w:before="40" w:after="40" w:line="240" w:lineRule="auto"/>
            </w:pPr>
            <w:r>
              <w:rPr>
                <w:rFonts w:ascii="Times New Roman" w:hAnsi="Times New Roman"/>
                <w:sz w:val="18"/>
              </w:rPr>
              <w:t>best seed in 500 generations only 11</w:t>
            </w:r>
          </w:p>
        </w:tc>
      </w:tr>
      <w:tr>
        <w:tc>
          <w:tcPr>
            <w:tcW w:type="dxa" w:w="2160"/>
          </w:tcPr>
          <w:p>
            <w:pPr>
              <w:spacing w:before="40" w:after="40" w:line="240" w:lineRule="auto"/>
            </w:pPr>
            <w:r>
              <w:rPr>
                <w:rFonts w:ascii="Times New Roman" w:hAnsi="Times New Roman"/>
                <w:sz w:val="18"/>
              </w:rPr>
              <w:t>Param-only</w:t>
            </w:r>
          </w:p>
        </w:tc>
        <w:tc>
          <w:tcPr>
            <w:tcW w:type="dxa" w:w="2160"/>
          </w:tcPr>
          <w:p>
            <w:pPr>
              <w:spacing w:before="40" w:after="40" w:line="240" w:lineRule="auto"/>
            </w:pPr>
            <w:r>
              <w:rPr>
                <w:rFonts w:ascii="Times New Roman" w:hAnsi="Times New Roman"/>
                <w:sz w:val="18"/>
              </w:rPr>
              <w:t>architecture frozen, parameters only</w:t>
            </w:r>
          </w:p>
        </w:tc>
        <w:tc>
          <w:tcPr>
            <w:tcW w:type="dxa" w:w="2160"/>
          </w:tcPr>
          <w:p>
            <w:pPr>
              <w:spacing w:before="40" w:after="40" w:line="240" w:lineRule="auto"/>
            </w:pPr>
            <w:r>
              <w:rPr>
                <w:rFonts w:ascii="Times New Roman" w:hAnsi="Times New Roman"/>
                <w:sz w:val="18"/>
              </w:rPr>
              <w:t>6.2</w:t>
            </w:r>
          </w:p>
        </w:tc>
        <w:tc>
          <w:tcPr>
            <w:tcW w:type="dxa" w:w="2160"/>
          </w:tcPr>
          <w:p>
            <w:pPr>
              <w:spacing w:before="40" w:after="40" w:line="240" w:lineRule="auto"/>
            </w:pPr>
            <w:r>
              <w:rPr>
                <w:rFonts w:ascii="Times New Roman" w:hAnsi="Times New Roman"/>
                <w:sz w:val="18"/>
              </w:rPr>
              <w:t>architecture-layer marginal value +3.0</w:t>
            </w:r>
          </w:p>
        </w:tc>
      </w:tr>
      <w:tr>
        <w:tc>
          <w:tcPr>
            <w:tcW w:type="dxa" w:w="2160"/>
          </w:tcPr>
          <w:p>
            <w:pPr>
              <w:spacing w:before="40" w:after="40" w:line="240" w:lineRule="auto"/>
            </w:pPr>
            <w:r>
              <w:rPr>
                <w:rFonts w:ascii="Times New Roman" w:hAnsi="Times New Roman"/>
                <w:sz w:val="18"/>
              </w:rPr>
              <w:t>Sham</w:t>
            </w:r>
          </w:p>
        </w:tc>
        <w:tc>
          <w:tcPr>
            <w:tcW w:type="dxa" w:w="2160"/>
          </w:tcPr>
          <w:p>
            <w:pPr>
              <w:spacing w:before="40" w:after="40" w:line="240" w:lineRule="auto"/>
            </w:pPr>
            <w:r>
              <w:rPr>
                <w:rFonts w:ascii="Times New Roman" w:hAnsi="Times New Roman"/>
                <w:sz w:val="18"/>
              </w:rPr>
              <w:t>independent mutation stream + shuffled fitness</w:t>
            </w:r>
          </w:p>
        </w:tc>
        <w:tc>
          <w:tcPr>
            <w:tcW w:type="dxa" w:w="2160"/>
          </w:tcPr>
          <w:p>
            <w:pPr>
              <w:spacing w:before="40" w:after="40" w:line="240" w:lineRule="auto"/>
            </w:pPr>
            <w:r>
              <w:rPr>
                <w:rFonts w:ascii="Times New Roman" w:hAnsi="Times New Roman"/>
                <w:sz w:val="18"/>
              </w:rPr>
              <w:t>4.2</w:t>
            </w:r>
          </w:p>
        </w:tc>
        <w:tc>
          <w:tcPr>
            <w:tcW w:type="dxa" w:w="2160"/>
          </w:tcPr>
          <w:p>
            <w:pPr>
              <w:spacing w:before="40" w:after="40" w:line="240" w:lineRule="auto"/>
            </w:pPr>
            <w:r>
              <w:rPr>
                <w:rFonts w:ascii="Times New Roman" w:hAnsi="Times New Roman"/>
                <w:sz w:val="18"/>
              </w:rPr>
              <w:t>selection signal +5.0; final score 2.2× drift (9.2 vs 4.2)</w:t>
            </w:r>
          </w:p>
        </w:tc>
      </w:tr>
    </w:tbl>
    <w:p/>
    <w:p>
      <w:pPr>
        <w:spacing w:before="200" w:after="80"/>
        <w:jc w:val="center"/>
      </w:pPr>
      <w:r>
        <w:rPr>
          <w:rFonts w:ascii="Times New Roman" w:hAnsi="Times New Roman"/>
        </w:rPr>
        <w:drawing>
          <wp:inline xmlns:a="http://schemas.openxmlformats.org/drawingml/2006/main" xmlns:pic="http://schemas.openxmlformats.org/drawingml/2006/picture">
            <wp:extent cx="5580000" cy="22680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2268040"/>
                    </a:xfrm>
                    <a:prstGeom prst="rect"/>
                  </pic:spPr>
                </pic:pic>
              </a:graphicData>
            </a:graphic>
          </wp:inline>
        </w:drawing>
      </w:r>
    </w:p>
    <w:p>
      <w:pPr>
        <w:spacing w:after="160" w:line="240" w:lineRule="auto"/>
      </w:pPr>
      <w:r>
        <w:rPr>
          <w:rFonts w:ascii="Times New Roman" w:hAnsi="Times New Roman"/>
          <w:sz w:val="18"/>
        </w:rPr>
        <w:t>Figure 1. Experiment G results. (a) Final tasks solved by the five conditions (5-seed means; open points: per-seed directed values, 4/5 at ceiling). (b) Sham-audit readout: edges installed and reference edges hit, for chance level at initialization, pure drift (sham), and real selection (naive); 5-seed condition means, with initialization (0.25 mask density) averaging 8 edges on and 3 reference-edge matches. Drift installs 17.4 edges on its own — an observer without a control would credit them all to selection.</w:t>
      </w:r>
    </w:p>
    <w:p>
      <w:pPr>
        <w:pStyle w:val="Heading3"/>
      </w:pPr>
      <w:r>
        <w:rPr>
          <w:rFonts w:ascii="Times New Roman" w:hAnsi="Times New Roman"/>
        </w:rPr>
        <w:t>3.2 The sham audit: drift fills up the architecture on its own</w:t>
      </w:r>
    </w:p>
    <w:p>
      <w:r>
        <w:rPr>
          <w:rFonts w:ascii="Times New Roman" w:hAnsi="Times New Roman"/>
        </w:rPr>
        <w:t>Drift fills up the architecture on its own. The Sham condition, applying random architectural changes from exactly the same operator distribution as Naive, ended 500 generations with 17.4 edges switched on per run on average, hitting 6.4 reference edges; real selection switched on 16.0, hitting 8.2 (Fig. 1b). The two totals are nearly identical: without the sham control, an observer would have credited all ~17 drift-installed edges to selection. This risk is not unique to this paper: on the fruit-fly side, the verdict chain measured a shared mutation stream inflating the structural fixation ratio from 1.07 to 1.37 (Paper A [16]); a 20-generation weight candidate set shrank from 57 neurons to 15; three pairs of "cross-seed convergent" new connections were condemned as duplication–inheritance artifacts by controls. Three documented incidents from the record plus one in-experiment demonstration (Naive and Sham indistinguishable in switch-on counts) support the discipline: any progress claim by a self-modifying system must be benchmarked against random changes from the same operator distribution.</w:t>
      </w:r>
    </w:p>
    <w:p>
      <w:pPr>
        <w:pStyle w:val="Heading3"/>
      </w:pPr>
      <w:r>
        <w:rPr>
          <w:rFonts w:ascii="Times New Roman" w:hAnsi="Times New Roman"/>
        </w:rPr>
        <w:t>3.3 General search's architectural discovery decays with scale</w:t>
      </w:r>
    </w:p>
    <w:p>
      <w:r>
        <w:rPr>
          <w:rFonts w:ascii="Times New Roman" w:hAnsi="Times New Roman"/>
        </w:rPr>
        <w:t>The scale scan gives a clean dose–response (Fig. 2, Table 2): from the same defective starting point, the achievement rate of naive-arch (architecture free + parameters pinned — the pure-discovery readout) decayed monotonically with W across the four tested scales, from 1.000 (35) to 0.167 (2,331) — non-increasing at every point, with no rebound at any scale; a Cochran-Armitage trend test (log2 W scores) gives z = −4.51, two-sided p ≈ 6×10⁻⁶. The sham floor was 0 at all four scales (0/48 in total), excluding drift forgery. By contrast, the directed channel's final score held constant at 15.333 across all four scales (bitwise identical across scales, passing the hard self-check; the per-tier 12-run final distribution is 13, 13, 15, 15, 16×8, with 8/12 full-score runs), and param-only held at 5.0 — the directed readout is W-invariant over the tested range. That constancy is a designed invariance under frozen architecture and paired RNG; its bitwise cross-scale identity serves as the pipeline self-check and is not an independent empirical finding. Three subsidiary conclusions: first, attention competition (architecture and parameter layers crowding each other out) is a small-scale effect in this design, not a scale-amplified law — its readout (the attention gap, naive-arch − naive-joint) decays and turns negative with W (+0.179 / +0.036 / −0.012 / −0.048 across the four scales, scale_v2_verdict.json), directionally consistent with the factorial’s population-retention readouts (positive in all 9 cells while shrinking with W); naive-joint serves in the scan as this attention-competition reference, with its arch-progress readouts in the same verdict file; second, the parameter layer is the bottleneck on this substrate: with architecture given (directed) the score holds at 15.333, while with parameters given (naive-arch) achievement at full rate occurred only at W = 35 (12/12); third, decoy contamination grows with W: naive-arch's final decoy edges rose from 0.6 to 46.8 (sham reached 352.2) — in a large space, selection cannot tell true edges from decoys.</w:t>
      </w:r>
    </w:p>
    <w:p>
      <w:r>
        <w:rPr>
          <w:rFonts w:ascii="Times New Roman" w:hAnsi="Times New Roman"/>
        </w:rPr>
        <w:t>Boundary statement: the dose–response evidence above is one skill-graph substrate × four W tiers × 2 missing edges per cell × 6 seeds (preregistered seeds 1–3 plus post-hoc expansion seeds 4–6 triggered during review, criteria and protocol unchanged, merged and reported; single-cell Wilson 95% intervals remain wide — e.g., [0.047, 0.448] at W = 2,331 — the cross-scale trend is significant but single-point resolution is still seed-limited). The fruit-fly and LLM readouts are cross-substrate corroboration under different protocols and are not pooled with this scan, which is why we state the conclusion as a "scale-decay regularity" rather than a law.</w:t>
      </w:r>
    </w:p>
    <w:p>
      <w:pPr>
        <w:spacing w:after="160" w:line="240" w:lineRule="auto"/>
      </w:pPr>
      <w:r>
        <w:rPr>
          <w:rFonts w:ascii="Times New Roman" w:hAnsi="Times New Roman"/>
          <w:b/>
          <w:sz w:val="18"/>
        </w:rPr>
        <w:t>Table 2. Scale scan, primary readouts.</w:t>
      </w:r>
    </w:p>
    <w:tbl>
      <w:tblPr>
        <w:tblStyle w:val="TableGrid"/>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Column="1" w:firstRow="1" w:lastColumn="0" w:lastRow="0" w:noHBand="0" w:noVBand="1" w:val="04A0"/>
      </w:tblPr>
      <w:tblGrid>
        <w:gridCol w:w="1440"/>
        <w:gridCol w:w="1440"/>
        <w:gridCol w:w="1440"/>
        <w:gridCol w:w="1440"/>
        <w:gridCol w:w="1440"/>
        <w:gridCol w:w="1440"/>
      </w:tblGrid>
      <w:tr>
        <w:tc>
          <w:tcPr>
            <w:tcW w:type="dxa" w:w="1440"/>
            <w:tcBorders>
              <w:bottom w:val="single" w:sz="6" w:space="0" w:color="000000"/>
            </w:tcBorders>
          </w:tcPr>
          <w:p>
            <w:pPr>
              <w:spacing w:before="40" w:after="40" w:line="240" w:lineRule="auto"/>
            </w:pPr>
            <w:r>
              <w:rPr>
                <w:rFonts w:ascii="Times New Roman" w:hAnsi="Times New Roman"/>
                <w:b/>
                <w:sz w:val="18"/>
              </w:rPr>
              <w:t>W</w:t>
            </w:r>
          </w:p>
        </w:tc>
        <w:tc>
          <w:tcPr>
            <w:tcW w:type="dxa" w:w="1440"/>
            <w:tcBorders>
              <w:bottom w:val="single" w:sz="6" w:space="0" w:color="000000"/>
            </w:tcBorders>
          </w:tcPr>
          <w:p>
            <w:pPr>
              <w:spacing w:before="40" w:after="40" w:line="240" w:lineRule="auto"/>
            </w:pPr>
            <w:r>
              <w:rPr>
                <w:rFonts w:ascii="Times New Roman" w:hAnsi="Times New Roman"/>
                <w:b/>
                <w:sz w:val="18"/>
              </w:rPr>
              <w:t>naive-arch achievement</w:t>
            </w:r>
          </w:p>
        </w:tc>
        <w:tc>
          <w:tcPr>
            <w:tcW w:type="dxa" w:w="1440"/>
            <w:tcBorders>
              <w:bottom w:val="single" w:sz="6" w:space="0" w:color="000000"/>
            </w:tcBorders>
          </w:tcPr>
          <w:p>
            <w:pPr>
              <w:spacing w:before="40" w:after="40" w:line="240" w:lineRule="auto"/>
            </w:pPr>
            <w:r>
              <w:rPr>
                <w:rFonts w:ascii="Times New Roman" w:hAnsi="Times New Roman"/>
                <w:b/>
                <w:sz w:val="18"/>
              </w:rPr>
              <w:t>sham floor</w:t>
            </w:r>
          </w:p>
        </w:tc>
        <w:tc>
          <w:tcPr>
            <w:tcW w:type="dxa" w:w="1440"/>
            <w:tcBorders>
              <w:bottom w:val="single" w:sz="6" w:space="0" w:color="000000"/>
            </w:tcBorders>
          </w:tcPr>
          <w:p>
            <w:pPr>
              <w:spacing w:before="40" w:after="40" w:line="240" w:lineRule="auto"/>
            </w:pPr>
            <w:r>
              <w:rPr>
                <w:rFonts w:ascii="Times New Roman" w:hAnsi="Times New Roman"/>
                <w:b/>
                <w:sz w:val="18"/>
              </w:rPr>
              <w:t>param-only final</w:t>
            </w:r>
          </w:p>
        </w:tc>
        <w:tc>
          <w:tcPr>
            <w:tcW w:type="dxa" w:w="1440"/>
            <w:tcBorders>
              <w:bottom w:val="single" w:sz="6" w:space="0" w:color="000000"/>
            </w:tcBorders>
          </w:tcPr>
          <w:p>
            <w:pPr>
              <w:spacing w:before="40" w:after="40" w:line="240" w:lineRule="auto"/>
            </w:pPr>
            <w:r>
              <w:rPr>
                <w:rFonts w:ascii="Times New Roman" w:hAnsi="Times New Roman"/>
                <w:b/>
                <w:sz w:val="18"/>
              </w:rPr>
              <w:t>directed final</w:t>
            </w:r>
          </w:p>
        </w:tc>
        <w:tc>
          <w:tcPr>
            <w:tcW w:type="dxa" w:w="1440"/>
            <w:tcBorders>
              <w:bottom w:val="single" w:sz="6" w:space="0" w:color="000000"/>
            </w:tcBorders>
          </w:tcPr>
          <w:p>
            <w:pPr>
              <w:spacing w:before="40" w:after="40" w:line="240" w:lineRule="auto"/>
            </w:pPr>
            <w:r>
              <w:rPr>
                <w:rFonts w:ascii="Times New Roman" w:hAnsi="Times New Roman"/>
                <w:b/>
                <w:sz w:val="18"/>
              </w:rPr>
              <w:t>decoy edges on</w:t>
            </w:r>
          </w:p>
        </w:tc>
      </w:tr>
      <w:tr>
        <w:tc>
          <w:tcPr>
            <w:tcW w:type="dxa" w:w="1440"/>
          </w:tcPr>
          <w:p>
            <w:pPr>
              <w:spacing w:before="40" w:after="40" w:line="240" w:lineRule="auto"/>
            </w:pPr>
            <w:r>
              <w:rPr>
                <w:rFonts w:ascii="Times New Roman" w:hAnsi="Times New Roman"/>
                <w:sz w:val="18"/>
              </w:rPr>
              <w:t>35</w:t>
            </w:r>
          </w:p>
        </w:tc>
        <w:tc>
          <w:tcPr>
            <w:tcW w:type="dxa" w:w="1440"/>
          </w:tcPr>
          <w:p>
            <w:pPr>
              <w:spacing w:before="40" w:after="40" w:line="240" w:lineRule="auto"/>
            </w:pPr>
            <w:r>
              <w:rPr>
                <w:rFonts w:ascii="Times New Roman" w:hAnsi="Times New Roman"/>
                <w:sz w:val="18"/>
              </w:rPr>
              <w:t>1.000</w:t>
            </w:r>
          </w:p>
        </w:tc>
        <w:tc>
          <w:tcPr>
            <w:tcW w:type="dxa" w:w="1440"/>
          </w:tcPr>
          <w:p>
            <w:pPr>
              <w:spacing w:before="40" w:after="40" w:line="240" w:lineRule="auto"/>
            </w:pPr>
            <w:r>
              <w:rPr>
                <w:rFonts w:ascii="Times New Roman" w:hAnsi="Times New Roman"/>
                <w:sz w:val="18"/>
              </w:rPr>
              <w:t>0.000</w:t>
            </w:r>
          </w:p>
        </w:tc>
        <w:tc>
          <w:tcPr>
            <w:tcW w:type="dxa" w:w="1440"/>
          </w:tcPr>
          <w:p>
            <w:pPr>
              <w:spacing w:before="40" w:after="40" w:line="240" w:lineRule="auto"/>
            </w:pPr>
            <w:r>
              <w:rPr>
                <w:rFonts w:ascii="Times New Roman" w:hAnsi="Times New Roman"/>
                <w:sz w:val="18"/>
              </w:rPr>
              <w:t>5.0</w:t>
            </w:r>
          </w:p>
        </w:tc>
        <w:tc>
          <w:tcPr>
            <w:tcW w:type="dxa" w:w="1440"/>
          </w:tcPr>
          <w:p>
            <w:pPr>
              <w:spacing w:before="40" w:after="40" w:line="240" w:lineRule="auto"/>
            </w:pPr>
            <w:r>
              <w:rPr>
                <w:rFonts w:ascii="Times New Roman" w:hAnsi="Times New Roman"/>
                <w:sz w:val="18"/>
              </w:rPr>
              <w:t>15.333</w:t>
            </w:r>
          </w:p>
        </w:tc>
        <w:tc>
          <w:tcPr>
            <w:tcW w:type="dxa" w:w="1440"/>
          </w:tcPr>
          <w:p>
            <w:pPr>
              <w:spacing w:before="40" w:after="40" w:line="240" w:lineRule="auto"/>
            </w:pPr>
            <w:r>
              <w:rPr>
                <w:rFonts w:ascii="Times New Roman" w:hAnsi="Times New Roman"/>
                <w:sz w:val="18"/>
              </w:rPr>
              <w:t>0.6</w:t>
            </w:r>
          </w:p>
        </w:tc>
      </w:tr>
      <w:tr>
        <w:tc>
          <w:tcPr>
            <w:tcW w:type="dxa" w:w="1440"/>
          </w:tcPr>
          <w:p>
            <w:pPr>
              <w:spacing w:before="40" w:after="40" w:line="240" w:lineRule="auto"/>
            </w:pPr>
            <w:r>
              <w:rPr>
                <w:rFonts w:ascii="Times New Roman" w:hAnsi="Times New Roman"/>
                <w:sz w:val="18"/>
              </w:rPr>
              <w:t>273</w:t>
            </w:r>
          </w:p>
        </w:tc>
        <w:tc>
          <w:tcPr>
            <w:tcW w:type="dxa" w:w="1440"/>
          </w:tcPr>
          <w:p>
            <w:pPr>
              <w:spacing w:before="40" w:after="40" w:line="240" w:lineRule="auto"/>
            </w:pPr>
            <w:r>
              <w:rPr>
                <w:rFonts w:ascii="Times New Roman" w:hAnsi="Times New Roman"/>
                <w:sz w:val="18"/>
              </w:rPr>
              <w:t>0.750</w:t>
            </w:r>
          </w:p>
        </w:tc>
        <w:tc>
          <w:tcPr>
            <w:tcW w:type="dxa" w:w="1440"/>
          </w:tcPr>
          <w:p>
            <w:pPr>
              <w:spacing w:before="40" w:after="40" w:line="240" w:lineRule="auto"/>
            </w:pPr>
            <w:r>
              <w:rPr>
                <w:rFonts w:ascii="Times New Roman" w:hAnsi="Times New Roman"/>
                <w:sz w:val="18"/>
              </w:rPr>
              <w:t>0.000</w:t>
            </w:r>
          </w:p>
        </w:tc>
        <w:tc>
          <w:tcPr>
            <w:tcW w:type="dxa" w:w="1440"/>
          </w:tcPr>
          <w:p>
            <w:pPr>
              <w:spacing w:before="40" w:after="40" w:line="240" w:lineRule="auto"/>
            </w:pPr>
            <w:r>
              <w:rPr>
                <w:rFonts w:ascii="Times New Roman" w:hAnsi="Times New Roman"/>
                <w:sz w:val="18"/>
              </w:rPr>
              <w:t>5.0</w:t>
            </w:r>
          </w:p>
        </w:tc>
        <w:tc>
          <w:tcPr>
            <w:tcW w:type="dxa" w:w="1440"/>
          </w:tcPr>
          <w:p>
            <w:pPr>
              <w:spacing w:before="40" w:after="40" w:line="240" w:lineRule="auto"/>
            </w:pPr>
            <w:r>
              <w:rPr>
                <w:rFonts w:ascii="Times New Roman" w:hAnsi="Times New Roman"/>
                <w:sz w:val="18"/>
              </w:rPr>
              <w:t>15.333</w:t>
            </w:r>
          </w:p>
        </w:tc>
        <w:tc>
          <w:tcPr>
            <w:tcW w:type="dxa" w:w="1440"/>
          </w:tcPr>
          <w:p>
            <w:pPr>
              <w:spacing w:before="40" w:after="40" w:line="240" w:lineRule="auto"/>
            </w:pPr>
            <w:r>
              <w:rPr>
                <w:rFonts w:ascii="Times New Roman" w:hAnsi="Times New Roman"/>
                <w:sz w:val="18"/>
              </w:rPr>
              <w:t>15.8</w:t>
            </w:r>
          </w:p>
        </w:tc>
      </w:tr>
      <w:tr>
        <w:tc>
          <w:tcPr>
            <w:tcW w:type="dxa" w:w="1440"/>
          </w:tcPr>
          <w:p>
            <w:pPr>
              <w:spacing w:before="40" w:after="40" w:line="240" w:lineRule="auto"/>
            </w:pPr>
            <w:r>
              <w:rPr>
                <w:rFonts w:ascii="Times New Roman" w:hAnsi="Times New Roman"/>
                <w:sz w:val="18"/>
              </w:rPr>
              <w:t>1050</w:t>
            </w:r>
          </w:p>
        </w:tc>
        <w:tc>
          <w:tcPr>
            <w:tcW w:type="dxa" w:w="1440"/>
          </w:tcPr>
          <w:p>
            <w:pPr>
              <w:spacing w:before="40" w:after="40" w:line="240" w:lineRule="auto"/>
            </w:pPr>
            <w:r>
              <w:rPr>
                <w:rFonts w:ascii="Times New Roman" w:hAnsi="Times New Roman"/>
                <w:sz w:val="18"/>
              </w:rPr>
              <w:t>0.333</w:t>
            </w:r>
          </w:p>
        </w:tc>
        <w:tc>
          <w:tcPr>
            <w:tcW w:type="dxa" w:w="1440"/>
          </w:tcPr>
          <w:p>
            <w:pPr>
              <w:spacing w:before="40" w:after="40" w:line="240" w:lineRule="auto"/>
            </w:pPr>
            <w:r>
              <w:rPr>
                <w:rFonts w:ascii="Times New Roman" w:hAnsi="Times New Roman"/>
                <w:sz w:val="18"/>
              </w:rPr>
              <w:t>0.000</w:t>
            </w:r>
          </w:p>
        </w:tc>
        <w:tc>
          <w:tcPr>
            <w:tcW w:type="dxa" w:w="1440"/>
          </w:tcPr>
          <w:p>
            <w:pPr>
              <w:spacing w:before="40" w:after="40" w:line="240" w:lineRule="auto"/>
            </w:pPr>
            <w:r>
              <w:rPr>
                <w:rFonts w:ascii="Times New Roman" w:hAnsi="Times New Roman"/>
                <w:sz w:val="18"/>
              </w:rPr>
              <w:t>5.0</w:t>
            </w:r>
          </w:p>
        </w:tc>
        <w:tc>
          <w:tcPr>
            <w:tcW w:type="dxa" w:w="1440"/>
          </w:tcPr>
          <w:p>
            <w:pPr>
              <w:spacing w:before="40" w:after="40" w:line="240" w:lineRule="auto"/>
            </w:pPr>
            <w:r>
              <w:rPr>
                <w:rFonts w:ascii="Times New Roman" w:hAnsi="Times New Roman"/>
                <w:sz w:val="18"/>
              </w:rPr>
              <w:t>15.333</w:t>
            </w:r>
          </w:p>
        </w:tc>
        <w:tc>
          <w:tcPr>
            <w:tcW w:type="dxa" w:w="1440"/>
          </w:tcPr>
          <w:p>
            <w:pPr>
              <w:spacing w:before="40" w:after="40" w:line="240" w:lineRule="auto"/>
            </w:pPr>
            <w:r>
              <w:rPr>
                <w:rFonts w:ascii="Times New Roman" w:hAnsi="Times New Roman"/>
                <w:sz w:val="18"/>
              </w:rPr>
              <w:t>32.4</w:t>
            </w:r>
          </w:p>
        </w:tc>
      </w:tr>
      <w:tr>
        <w:tc>
          <w:tcPr>
            <w:tcW w:type="dxa" w:w="1440"/>
          </w:tcPr>
          <w:p>
            <w:pPr>
              <w:spacing w:before="40" w:after="40" w:line="240" w:lineRule="auto"/>
            </w:pPr>
            <w:r>
              <w:rPr>
                <w:rFonts w:ascii="Times New Roman" w:hAnsi="Times New Roman"/>
                <w:sz w:val="18"/>
              </w:rPr>
              <w:t>2,331</w:t>
            </w:r>
          </w:p>
        </w:tc>
        <w:tc>
          <w:tcPr>
            <w:tcW w:type="dxa" w:w="1440"/>
          </w:tcPr>
          <w:p>
            <w:pPr>
              <w:spacing w:before="40" w:after="40" w:line="240" w:lineRule="auto"/>
            </w:pPr>
            <w:r>
              <w:rPr>
                <w:rFonts w:ascii="Times New Roman" w:hAnsi="Times New Roman"/>
                <w:sz w:val="18"/>
              </w:rPr>
              <w:t>0.167</w:t>
            </w:r>
          </w:p>
        </w:tc>
        <w:tc>
          <w:tcPr>
            <w:tcW w:type="dxa" w:w="1440"/>
          </w:tcPr>
          <w:p>
            <w:pPr>
              <w:spacing w:before="40" w:after="40" w:line="240" w:lineRule="auto"/>
            </w:pPr>
            <w:r>
              <w:rPr>
                <w:rFonts w:ascii="Times New Roman" w:hAnsi="Times New Roman"/>
                <w:sz w:val="18"/>
              </w:rPr>
              <w:t>0.000</w:t>
            </w:r>
          </w:p>
        </w:tc>
        <w:tc>
          <w:tcPr>
            <w:tcW w:type="dxa" w:w="1440"/>
          </w:tcPr>
          <w:p>
            <w:pPr>
              <w:spacing w:before="40" w:after="40" w:line="240" w:lineRule="auto"/>
            </w:pPr>
            <w:r>
              <w:rPr>
                <w:rFonts w:ascii="Times New Roman" w:hAnsi="Times New Roman"/>
                <w:sz w:val="18"/>
              </w:rPr>
              <w:t>5.0</w:t>
            </w:r>
          </w:p>
        </w:tc>
        <w:tc>
          <w:tcPr>
            <w:tcW w:type="dxa" w:w="1440"/>
          </w:tcPr>
          <w:p>
            <w:pPr>
              <w:spacing w:before="40" w:after="40" w:line="240" w:lineRule="auto"/>
            </w:pPr>
            <w:r>
              <w:rPr>
                <w:rFonts w:ascii="Times New Roman" w:hAnsi="Times New Roman"/>
                <w:sz w:val="18"/>
              </w:rPr>
              <w:t>15.333</w:t>
            </w:r>
          </w:p>
        </w:tc>
        <w:tc>
          <w:tcPr>
            <w:tcW w:type="dxa" w:w="1440"/>
          </w:tcPr>
          <w:p>
            <w:pPr>
              <w:spacing w:before="40" w:after="40" w:line="240" w:lineRule="auto"/>
            </w:pPr>
            <w:r>
              <w:rPr>
                <w:rFonts w:ascii="Times New Roman" w:hAnsi="Times New Roman"/>
                <w:sz w:val="18"/>
              </w:rPr>
              <w:t>46.8</w:t>
            </w:r>
          </w:p>
        </w:tc>
      </w:tr>
    </w:tbl>
    <w:p/>
    <w:p>
      <w:r>
        <w:rPr>
          <w:rFonts w:ascii="Times New Roman" w:hAnsi="Times New Roman"/>
        </w:rPr>
        <w:t>Note: achievement requires the missing edge to return to ON and the final score to reach the full solution (Eq. 1); each cell is 2 missing edges × 6 seeds (preregistered 3 + post-hoc 3, merged). 95% Wilson intervals per scale: W=35 [0.76, 1.00], 273 [0.47, 0.91], 1050 [0.14, 0.61], 2,331 [0.05, 0.45]. Param-only's final of 5.0 is a readout of the scale-scan protocol (defective start + decoy nodes) and is not directly comparable to the 6.2 tasks of Experiment G's protocol in Table 1.</w:t>
      </w:r>
    </w:p>
    <w:p>
      <w:pPr>
        <w:spacing w:before="200" w:after="80"/>
        <w:jc w:val="center"/>
      </w:pPr>
      <w:r>
        <w:rPr>
          <w:rFonts w:ascii="Times New Roman" w:hAnsi="Times New Roman"/>
        </w:rPr>
        <w:drawing>
          <wp:inline xmlns:a="http://schemas.openxmlformats.org/drawingml/2006/main" xmlns:pic="http://schemas.openxmlformats.org/drawingml/2006/picture">
            <wp:extent cx="5580000" cy="226308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2263086"/>
                    </a:xfrm>
                    <a:prstGeom prst="rect"/>
                  </pic:spPr>
                </pic:pic>
              </a:graphicData>
            </a:graphic>
          </wp:inline>
        </w:drawing>
      </w:r>
    </w:p>
    <w:p>
      <w:pPr>
        <w:spacing w:after="160" w:line="240" w:lineRule="auto"/>
      </w:pPr>
      <w:r>
        <w:rPr>
          <w:rFonts w:ascii="Times New Roman" w:hAnsi="Times New Roman"/>
          <w:sz w:val="18"/>
        </w:rPr>
        <w:t>Figure 2. Architecture-space scale scan (4 scales × 5 conditions × 2 missing edges × 6 seeds × 300 generations). (a) naive-arch achievement (blue) decays monotonically with W to 0.167; the sham floor (gray) holds at 0. (b) The directed channel's final score (red) holds at 15.333 across the four scales; param-only (green) holds at 5.0. Log-scale x-axis.</w:t>
      </w:r>
    </w:p>
    <w:p>
      <w:pPr>
        <w:pStyle w:val="Heading3"/>
      </w:pPr>
      <w:r>
        <w:rPr>
          <w:rFonts w:ascii="Times New Roman" w:hAnsi="Times New Roman"/>
        </w:rPr>
        <w:t>3.4 The three-factor scan: an F/W phenomenon, not a generations phenomenon</w:t>
      </w:r>
    </w:p>
    <w:p>
      <w:r>
        <w:rPr>
          <w:rFonts w:ascii="Times New Roman" w:hAnsi="Times New Roman"/>
        </w:rPr>
        <w:t>The hypothesis "architectural mutation = slow discovery − instant destruction, therefore a crossover generation exists" was refuted: none of the 9 (W × mutation-tier) cells produced a crossover point, and difference curves stayed flat or worsened over 800 generations (Fig. 3a). The true structure is two-way monotonic. Holding per-generation flips F fixed and varying W, the difference (naive-joint − param-only) shrank with W (F = 2.1: −3.00/−0.33/0.00; F = 6.3: −5.00/−3.00/−0.33), matching the empirical form of the destruction term:</w:t>
      </w:r>
    </w:p>
    <w:p>
      <w:pPr>
        <w:jc w:val="center"/>
      </w:pPr>
      <m:oMath>
        <m:r>
          <m:rPr>
            <m:sty m:val="i"/>
          </m:rPr>
          <m:t xml:space="preserve">D</m:t>
        </m:r>
        <m:r>
          <m:t xml:space="preserve">(</m:t>
        </m:r>
        <m:r>
          <m:rPr>
            <m:sty m:val="i"/>
          </m:rPr>
          <m:t xml:space="preserve">W</m:t>
        </m:r>
        <m:r>
          <m:t xml:space="preserve">, </m:t>
        </m:r>
        <m:r>
          <m:rPr>
            <m:sty m:val="i"/>
          </m:rPr>
          <m:t xml:space="preserve">F</m:t>
        </m:r>
        <m:r>
          <m:t xml:space="preserve">) ≈ 14 · </m:t>
        </m:r>
        <m:r>
          <m:rPr>
            <m:sty m:val="i"/>
          </m:rPr>
          <m:t xml:space="preserve">F</m:t>
        </m:r>
        <m:r>
          <m:t xml:space="preserve"> / </m:t>
        </m:r>
        <m:r>
          <m:rPr>
            <m:sty m:val="i"/>
          </m:rPr>
          <m:t xml:space="preserve">W</m:t>
        </m:r>
      </m:oMath>
      <w:r>
        <w:rPr>
          <w:rFonts w:ascii="Times New Roman" w:hAnsi="Times New Roman"/>
        </w:rPr>
        <w:tab/>
        <w:t>(Eq. 3)</w:t>
      </w:r>
    </w:p>
    <w:p>
      <w:r>
        <w:rPr>
          <w:rFonts w:ascii="Times New Roman" w:hAnsi="Times New Roman"/>
        </w:rPr>
        <w:t>The coefficient 14 is the number of reference edges active at the pinned starting point: the expected true-edge destruction per genome is (F/W) × 14, which evaluates to 0.84 at F = 2.1 and W = 35 — exactly the per-generation destruction of the relative-pressure tier (6% × 14). The two tiers are therefore calibrated against the same quantity. Holding destruction constant (the relative-pressure tier, 0.84 true edges flipped per generation) and varying W, the difference worsened (−3.00/−5.00/−7.33), matching the discovery term becoming harder to flip into existence in a larger candidate space. The relative-pressure tier collapsed at the largest W while the absolute tiers did not, supporting the absolute flip count (Eq. 2), rather than relative pressure, as the fairness lock for cross-scale comparison under a fixed per-generation mutation budget; at W = 35 the relative-pressure tier's flip probability and full trajectory were bitwise identical to the absolute F = 2.1 tier under the preregistered self-check, providing an implementation-level validation of that comparison. A mild population-level attention competition exists: the retention-rate difference of naive-arch over naive-joint was positive in all 9 cells (baseline tier +0.155 → +0.079 → +0.039, shrinking with W; Fig. 3b) — the two layers do not crowd each other out in large spaces, corroborating §3.3's first subsidiary conclusion.</w:t>
      </w:r>
    </w:p>
    <w:p>
      <w:pPr>
        <w:spacing w:before="200" w:after="80"/>
        <w:jc w:val="center"/>
      </w:pPr>
      <w:r>
        <w:rPr>
          <w:rFonts w:ascii="Times New Roman" w:hAnsi="Times New Roman"/>
        </w:rPr>
        <w:drawing>
          <wp:inline xmlns:a="http://schemas.openxmlformats.org/drawingml/2006/main" xmlns:pic="http://schemas.openxmlformats.org/drawingml/2006/picture">
            <wp:extent cx="5580000" cy="226434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2264348"/>
                    </a:xfrm>
                    <a:prstGeom prst="rect"/>
                  </pic:spPr>
                </pic:pic>
              </a:graphicData>
            </a:graphic>
          </wp:inline>
        </w:drawing>
      </w:r>
    </w:p>
    <w:p>
      <w:pPr>
        <w:spacing w:after="160" w:line="240" w:lineRule="auto"/>
      </w:pPr>
      <w:r>
        <w:rPr>
          <w:rFonts w:ascii="Times New Roman" w:hAnsi="Times New Roman"/>
          <w:sz w:val="18"/>
        </w:rPr>
        <w:t>Figure 3. Generation × mutation × scale three-factor scan (81 designed units, 63 executed runs × 800 generations). (a) Final differences (naive-joint − param-only): no crossover point under any mutation tier; with F fixed the difference shrinks with W (destruction term = 14·F/W); with destruction fixed the difference worsens with W (discovery term). (b) Population retention-rate difference (naive-arch − naive-joint, "pinned − joint"): positive in all 9 cells; the baseline tier (F = 2.1) shrinks monotonically with W (+0.155 → +0.079 → +0.039), the F = 6.3 tier is non-monotonic (highest at W = 273), and the relative-pressure tier shrinks with W.</w:t>
      </w:r>
    </w:p>
    <w:p>
      <w:pPr>
        <w:pStyle w:val="Heading3"/>
      </w:pPr>
      <w:r>
        <w:rPr>
          <w:rFonts w:ascii="Times New Roman" w:hAnsi="Times New Roman"/>
        </w:rPr>
        <w:t>3.5 The real-LLM three-arm verdict: tiered adjudication and cargo–stack relativity</w:t>
      </w:r>
    </w:p>
    <w:p>
      <w:r>
        <w:rPr>
          <w:rFonts w:ascii="Times New Roman" w:hAnsi="Times New Roman"/>
        </w:rPr>
        <w:t>The evidence chain on this substrate ran in three steps. The first round, the six-stage pilot (3 conditions × 2 seeds × 5 generations, n = 2), had returned "no clear directed advantage" (final: directed 5.5 vs naive and sham 5.0 each); that conclusion has been superseded by the third round's 10-seed verdict batch and is retained only as history. But two by-products of the pilot still stand: first, the acceptance guard made zero mistakes (4 in the pilot + 4 in the formal batch, 8 cases, descriptive readout) — every worse gene proposed by the mutator was rejected and the sole full-score proposal accepted, so the "channel supplies, selection accepts" division executed as designed at run level; second, an 8-task validation suite cannot support acceptance decisions — quantization noise alone could swing the same gene's score between 7 and 8 — establishing the quality-control metrology principle: validation-suite size and measurement stability are hard prerequisites for a self-modifying system.</w:t>
      </w:r>
    </w:p>
    <w:p>
      <w:r>
        <w:rPr>
          <w:rFonts w:ascii="Times New Roman" w:hAnsi="Times New Roman"/>
        </w:rPr>
        <w:t>The second round was formalized validation (task set v2, four families: five-step mixed integer chains, 9–10 letter Caesar rotations, three-digit digit-sum construction, three-word reversals; 12 validation + 20 test tasks; 1,280-token evaluation budget; all preregistered). Pipeline validation returned three controlled readouts: (i) measurement determinism passed — the same gene evaluated twice with reversed task order scored identically, so measurement is trustworthy; (ii) the G0 cargo gate FAILED — the expert hand-wired gene had no advantage over the naive gene (standard stack: naive 10/12 vs expert 8/12; redesigned task set v2: naive 4/12 vs expert 3/12), and the failure replicated across both the task-set and token-budget dimensions — the pilot's "channel cargo is the best on the board" did not reproduce on today’s serving stack; hand-wired cargo value is stack-relative (strictly, the two probes varied task set, token budget, and serving configuration jointly, so the attribution is to the joint change; the operative rule is that the gate must be re-checked on the deployment configuration rather than inherited); (iii) general-selection climb was zero — genes produced by 4 generations of naive self-mutation all scored below the incumbent (1/1/2/3 vs 4), the acceptance guard correctly rejected 4/4, and net climb was 0 (mutation parsing 4/4 normal, excluding parse faults). Overall adjudication: on this substrate general selection had neither cargo to use nor genuine climb; and the cargo's non-portability itself refines the directed-channel principle — what the channel supplies must be cargo co-calibrated with the serving stack, not a one-off hand-made artifact. Pipeline-validation adjudication in Table 3.</w:t>
      </w:r>
    </w:p>
    <w:p>
      <w:pPr>
        <w:spacing w:after="160" w:line="240" w:lineRule="auto"/>
      </w:pPr>
      <w:r>
        <w:rPr>
          <w:rFonts w:ascii="Times New Roman" w:hAnsi="Times New Roman"/>
          <w:b/>
          <w:sz w:val="18"/>
        </w:rPr>
        <w:t>Table 3. Formalized-validation pipeline adjudication (all criteria preregistered).</w:t>
      </w:r>
    </w:p>
    <w:tbl>
      <w:tblPr>
        <w:tblStyle w:val="TableGrid"/>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Column="1" w:firstRow="1" w:lastColumn="0" w:lastRow="0" w:noHBand="0" w:noVBand="1" w:val="04A0"/>
      </w:tblPr>
      <w:tblGrid>
        <w:gridCol w:w="2160"/>
        <w:gridCol w:w="2160"/>
        <w:gridCol w:w="2160"/>
        <w:gridCol w:w="2160"/>
      </w:tblGrid>
      <w:tr>
        <w:tc>
          <w:tcPr>
            <w:tcW w:type="dxa" w:w="2160"/>
            <w:tcBorders>
              <w:bottom w:val="single" w:sz="6" w:space="0" w:color="000000"/>
            </w:tcBorders>
          </w:tcPr>
          <w:p>
            <w:pPr>
              <w:spacing w:before="40" w:after="40" w:line="240" w:lineRule="auto"/>
            </w:pPr>
            <w:r>
              <w:rPr>
                <w:rFonts w:ascii="Times New Roman" w:hAnsi="Times New Roman"/>
                <w:b/>
                <w:sz w:val="18"/>
              </w:rPr>
              <w:t>Stage</w:t>
            </w:r>
          </w:p>
        </w:tc>
        <w:tc>
          <w:tcPr>
            <w:tcW w:type="dxa" w:w="2160"/>
            <w:tcBorders>
              <w:bottom w:val="single" w:sz="6" w:space="0" w:color="000000"/>
            </w:tcBorders>
          </w:tcPr>
          <w:p>
            <w:pPr>
              <w:spacing w:before="40" w:after="40" w:line="240" w:lineRule="auto"/>
            </w:pPr>
            <w:r>
              <w:rPr>
                <w:rFonts w:ascii="Times New Roman" w:hAnsi="Times New Roman"/>
                <w:b/>
                <w:sz w:val="18"/>
              </w:rPr>
              <w:t>Criterion (preregistered)</w:t>
            </w:r>
          </w:p>
        </w:tc>
        <w:tc>
          <w:tcPr>
            <w:tcW w:type="dxa" w:w="2160"/>
            <w:tcBorders>
              <w:bottom w:val="single" w:sz="6" w:space="0" w:color="000000"/>
            </w:tcBorders>
          </w:tcPr>
          <w:p>
            <w:pPr>
              <w:spacing w:before="40" w:after="40" w:line="240" w:lineRule="auto"/>
            </w:pPr>
            <w:r>
              <w:rPr>
                <w:rFonts w:ascii="Times New Roman" w:hAnsi="Times New Roman"/>
                <w:b/>
                <w:sz w:val="18"/>
              </w:rPr>
              <w:t>Readout</w:t>
            </w:r>
          </w:p>
        </w:tc>
        <w:tc>
          <w:tcPr>
            <w:tcW w:type="dxa" w:w="2160"/>
            <w:tcBorders>
              <w:bottom w:val="single" w:sz="6" w:space="0" w:color="000000"/>
            </w:tcBorders>
          </w:tcPr>
          <w:p>
            <w:pPr>
              <w:spacing w:before="40" w:after="40" w:line="240" w:lineRule="auto"/>
            </w:pPr>
            <w:r>
              <w:rPr>
                <w:rFonts w:ascii="Times New Roman" w:hAnsi="Times New Roman"/>
                <w:b/>
                <w:sz w:val="18"/>
              </w:rPr>
              <w:t>Verdict</w:t>
            </w:r>
          </w:p>
        </w:tc>
      </w:tr>
      <w:tr>
        <w:tc>
          <w:tcPr>
            <w:tcW w:type="dxa" w:w="2160"/>
          </w:tcPr>
          <w:p>
            <w:pPr>
              <w:spacing w:before="40" w:after="40" w:line="240" w:lineRule="auto"/>
            </w:pPr>
            <w:r>
              <w:rPr>
                <w:rFonts w:ascii="Times New Roman" w:hAnsi="Times New Roman"/>
                <w:sz w:val="18"/>
              </w:rPr>
              <w:t>S1 measurement determinism</w:t>
            </w:r>
          </w:p>
        </w:tc>
        <w:tc>
          <w:tcPr>
            <w:tcW w:type="dxa" w:w="2160"/>
          </w:tcPr>
          <w:p>
            <w:pPr>
              <w:spacing w:before="40" w:after="40" w:line="240" w:lineRule="auto"/>
            </w:pPr>
            <w:r>
              <w:rPr>
                <w:rFonts w:ascii="Times New Roman" w:hAnsi="Times New Roman"/>
                <w:sz w:val="18"/>
              </w:rPr>
              <w:t>same gene, reversed task order, twice: identical scores</w:t>
            </w:r>
          </w:p>
        </w:tc>
        <w:tc>
          <w:tcPr>
            <w:tcW w:type="dxa" w:w="2160"/>
          </w:tcPr>
          <w:p>
            <w:pPr>
              <w:spacing w:before="40" w:after="40" w:line="240" w:lineRule="auto"/>
            </w:pPr>
            <w:r>
              <w:rPr>
                <w:rFonts w:ascii="Times New Roman" w:hAnsi="Times New Roman"/>
                <w:sz w:val="18"/>
              </w:rPr>
              <w:t>4 = 4</w:t>
            </w:r>
          </w:p>
        </w:tc>
        <w:tc>
          <w:tcPr>
            <w:tcW w:type="dxa" w:w="2160"/>
          </w:tcPr>
          <w:p>
            <w:pPr>
              <w:spacing w:before="40" w:after="40" w:line="240" w:lineRule="auto"/>
            </w:pPr>
            <w:r>
              <w:rPr>
                <w:rFonts w:ascii="Times New Roman" w:hAnsi="Times New Roman"/>
                <w:sz w:val="18"/>
              </w:rPr>
              <w:t>pass</w:t>
            </w:r>
          </w:p>
        </w:tc>
      </w:tr>
      <w:tr>
        <w:tc>
          <w:tcPr>
            <w:tcW w:type="dxa" w:w="2160"/>
          </w:tcPr>
          <w:p>
            <w:pPr>
              <w:spacing w:before="40" w:after="40" w:line="240" w:lineRule="auto"/>
            </w:pPr>
            <w:r>
              <w:rPr>
                <w:rFonts w:ascii="Times New Roman" w:hAnsi="Times New Roman"/>
                <w:sz w:val="18"/>
              </w:rPr>
              <w:t>S2 G0 cargo gate</w:t>
            </w:r>
          </w:p>
        </w:tc>
        <w:tc>
          <w:tcPr>
            <w:tcW w:type="dxa" w:w="2160"/>
          </w:tcPr>
          <w:p>
            <w:pPr>
              <w:spacing w:before="40" w:after="40" w:line="240" w:lineRule="auto"/>
            </w:pPr>
            <w:r>
              <w:rPr>
                <w:rFonts w:ascii="Times New Roman" w:hAnsi="Times New Roman"/>
                <w:sz w:val="18"/>
              </w:rPr>
              <w:t>gene_ref − gene_init ≥ 2</w:t>
            </w:r>
          </w:p>
        </w:tc>
        <w:tc>
          <w:tcPr>
            <w:tcW w:type="dxa" w:w="2160"/>
          </w:tcPr>
          <w:p>
            <w:pPr>
              <w:spacing w:before="40" w:after="40" w:line="240" w:lineRule="auto"/>
            </w:pPr>
            <w:r>
              <w:rPr>
                <w:rFonts w:ascii="Times New Roman" w:hAnsi="Times New Roman"/>
                <w:sz w:val="18"/>
              </w:rPr>
              <w:t>naive 4 vs expert 3 (margin −1)</w:t>
            </w:r>
          </w:p>
        </w:tc>
        <w:tc>
          <w:tcPr>
            <w:tcW w:type="dxa" w:w="2160"/>
          </w:tcPr>
          <w:p>
            <w:pPr>
              <w:spacing w:before="40" w:after="40" w:line="240" w:lineRule="auto"/>
            </w:pPr>
            <w:r>
              <w:rPr>
                <w:rFonts w:ascii="Times New Roman" w:hAnsi="Times New Roman"/>
                <w:sz w:val="18"/>
              </w:rPr>
              <w:t>fail</w:t>
            </w:r>
          </w:p>
        </w:tc>
      </w:tr>
      <w:tr>
        <w:tc>
          <w:tcPr>
            <w:tcW w:type="dxa" w:w="2160"/>
          </w:tcPr>
          <w:p>
            <w:pPr>
              <w:spacing w:before="40" w:after="40" w:line="240" w:lineRule="auto"/>
            </w:pPr>
            <w:r>
              <w:rPr>
                <w:rFonts w:ascii="Times New Roman" w:hAnsi="Times New Roman"/>
                <w:sz w:val="18"/>
              </w:rPr>
              <w:t>S3 climb authenticity</w:t>
            </w:r>
          </w:p>
        </w:tc>
        <w:tc>
          <w:tcPr>
            <w:tcW w:type="dxa" w:w="2160"/>
          </w:tcPr>
          <w:p>
            <w:pPr>
              <w:spacing w:before="40" w:after="40" w:line="240" w:lineRule="auto"/>
            </w:pPr>
            <w:r>
              <w:rPr>
                <w:rFonts w:ascii="Times New Roman" w:hAnsi="Times New Roman"/>
                <w:sz w:val="18"/>
              </w:rPr>
              <w:t>net climb ≥ +2 and parse rate ≥ 60%</w:t>
            </w:r>
          </w:p>
        </w:tc>
        <w:tc>
          <w:tcPr>
            <w:tcW w:type="dxa" w:w="2160"/>
          </w:tcPr>
          <w:p>
            <w:pPr>
              <w:spacing w:before="40" w:after="40" w:line="240" w:lineRule="auto"/>
            </w:pPr>
            <w:r>
              <w:rPr>
                <w:rFonts w:ascii="Times New Roman" w:hAnsi="Times New Roman"/>
                <w:sz w:val="18"/>
              </w:rPr>
              <w:t>climb 0; all 4 generations' mutations rejected (validation 1/1/2/3); parsing 4/4</w:t>
            </w:r>
          </w:p>
        </w:tc>
        <w:tc>
          <w:tcPr>
            <w:tcW w:type="dxa" w:w="2160"/>
          </w:tcPr>
          <w:p>
            <w:pPr>
              <w:spacing w:before="40" w:after="40" w:line="240" w:lineRule="auto"/>
            </w:pPr>
            <w:r>
              <w:rPr>
                <w:rFonts w:ascii="Times New Roman" w:hAnsi="Times New Roman"/>
                <w:sz w:val="18"/>
              </w:rPr>
              <w:t>fail</w:t>
            </w:r>
          </w:p>
        </w:tc>
      </w:tr>
      <w:tr>
        <w:tc>
          <w:tcPr>
            <w:tcW w:type="dxa" w:w="2160"/>
          </w:tcPr>
          <w:p>
            <w:pPr>
              <w:spacing w:before="40" w:after="40" w:line="240" w:lineRule="auto"/>
            </w:pPr>
            <w:r>
              <w:rPr>
                <w:rFonts w:ascii="Times New Roman" w:hAnsi="Times New Roman"/>
                <w:sz w:val="18"/>
              </w:rPr>
              <w:t>S4 cost</w:t>
            </w:r>
          </w:p>
        </w:tc>
        <w:tc>
          <w:tcPr>
            <w:tcW w:type="dxa" w:w="2160"/>
          </w:tcPr>
          <w:p>
            <w:pPr>
              <w:spacing w:before="40" w:after="40" w:line="240" w:lineRule="auto"/>
            </w:pPr>
            <w:r>
              <w:rPr>
                <w:rFonts w:ascii="Times New Roman" w:hAnsi="Times New Roman"/>
                <w:sz w:val="18"/>
              </w:rPr>
              <w:t>measured extrapolation of full-batch duration</w:t>
            </w:r>
          </w:p>
        </w:tc>
        <w:tc>
          <w:tcPr>
            <w:tcW w:type="dxa" w:w="2160"/>
          </w:tcPr>
          <w:p>
            <w:pPr>
              <w:spacing w:before="40" w:after="40" w:line="240" w:lineRule="auto"/>
            </w:pPr>
            <w:r>
              <w:rPr>
                <w:rFonts w:ascii="Times New Roman" w:hAnsi="Times New Roman"/>
                <w:sz w:val="18"/>
              </w:rPr>
              <w:t>S3 stage measured 187 min (including an infrastructure-disturbance window)</w:t>
            </w:r>
          </w:p>
        </w:tc>
        <w:tc>
          <w:tcPr>
            <w:tcW w:type="dxa" w:w="2160"/>
          </w:tcPr>
          <w:p>
            <w:pPr>
              <w:spacing w:before="40" w:after="40" w:line="240" w:lineRule="auto"/>
            </w:pPr>
            <w:r>
              <w:rPr>
                <w:rFonts w:ascii="Times New Roman" w:hAnsi="Times New Roman"/>
                <w:sz w:val="18"/>
              </w:rPr>
              <w:t>recorded readout, no threshold</w:t>
            </w:r>
          </w:p>
        </w:tc>
      </w:tr>
    </w:tbl>
    <w:p/>
    <w:p>
      <w:r>
        <w:rPr>
          <w:rFonts w:ascii="Times New Roman" w:hAnsi="Times New Roman"/>
        </w:rPr>
        <w:t>Note: S2/S3 failed ⇒ under preregistered discipline no formal multi-condition comparison (directed/naive/sham × 3 seeds) was run, avoiding a misleading verdict without cargo or climb evidence; readouts are from the standard archived-parameter inference stack and the redesigned task set v2; S4 is a recorded readout with no threshold. A third G0 probe in the formal-batch logs (gene_init 9/12 vs gene_ref 9/12, margin 0) is disclosed here as a note, same direction as the first two and also short of the gate, changing no adjudication. That interception concerned the original pipeline stack; the third-round three-arm verdict batch below was launched subsequently under execution authorization, and its per-model G0 gate is not the same criterion as S2 — each is governed by its own frozen file.</w:t>
      </w:r>
    </w:p>
    <w:p>
      <w:r>
        <w:rPr>
          <w:rFonts w:ascii="Times New Roman" w:hAnsi="Times New Roman"/>
        </w:rPr>
        <w:t>The third round was the preregistered verdict batch TJ_B1_llm_three_arm launched under the author’s own written authorization (protocol and frozen criteria in §2.3): two base tiers × 3 arms × 10 seeds × 10 generations, total token consumption 5.15M (3.10M at the 30B tier, 2.05M at 14B, accumulated per call from usage fields); per-model G0 preflight checks passed in both tiers (30B: reference 5 vs naive 4; 14B: reference 2 vs naive 0, out of the 12 validation tasks; a recorded, non-blocking handwire discipline — see §2.3). The qwen3-14b tier adjudicated B1_DIRECTED_WINS: directed − sham = +4.9 (SD 3.0), 95% CI [2.76, 7.04] excluding zero, 9/10 seeds concordant (frozen line 7/10); variance decomposition gave arm mean square 70.2 vs seed mean square 3.47 — the arm effect dominates, not seed noise; final test scores of directed consistently exceeded sham and naive (final scores of the first two seeds: directed 6 and 9 out of 20; sham 2 and 1, naive 2 and 2); directed self-report parsing 100/100, zero failures and zero misclassifications. The verdict is robust to the out-of-bound readouts: leave-one-out (LOO) re-estimation over seeds maintained B1_DIRECTED_WINS in 10/10 cases (each refit excludes one seed; every refit CI excludes zero with ≥ 8/9 concordant seeds).</w:t>
      </w:r>
    </w:p>
    <w:p>
      <w:r>
        <w:rPr>
          <w:rFonts w:ascii="Times New Roman" w:hAnsi="Times New Roman"/>
        </w:rPr>
        <w:t>The qwen3-instruct-30b tier adjudicated B1_INCONCLUSIVE: directed − sham = −0.4, 95% CI [−2.54, +1.74] including zero, only 3/10 concordant seeds; TOST equivalence also failed (p1 = 0.271, p2 = 0.086, both &gt; 0.05), so neither advantage nor equivalence is claimable — to be precise: the equivalence margin Δ = 1 task is smaller than this tier's paired-difference standard error (≈ 0.95), so at n = 10 TOST is structurally underpowered (the 90% CI half-width ≈ 1.74 always exceeds Δ); its failure rules out only a strong equivalence reading and is not substantive evidence about equivalence. The seed-to-arm mean-square ratio was 1.41, short of the 10× NOISE line. The mechanism is identifiable: 42 of this tier's directed arm's 100 proposals failed to produce a parseable self-report (parse-failure rate 42%; 58 parsed successfully) — the 30B could not reliably produce the protocol's required self-report format, so the directed channel's "channel" itself failed. Parse-failed proposals were executed as programmatic parameter-type fallback mutations and adjudicated as usual (10 of the 42 were accepted), so only about 58% of this tier's directed generations were actually driven by cargo-backed self-reports. The parse failure is arm-conditional rather than a pure model property: under the same tier, task set, and interface the naive arm's parse-failure rate was 7% (7/100), while at 14B both arms parsed 100/100 — the failure mode involves the loaded cargo text and the self-report interface jointly with the base model, so we state the boundary condition as protocol-relative. Within this batch's readouts, the tier's indeterminacy is therefore first a channel-failure readout, not evidence that the directed effect is absent — an attribution that a format-constrained extension batch then tested directly (next paragraph).</w:t>
      </w:r>
    </w:p>
    <w:p>
      <w:r>
        <w:rPr>
          <w:rFonts w:ascii="Times New Roman" w:hAnsi="Times New Roman"/>
        </w:rPr>
        <w:t>This attribution was tested by a post-hoc extension batch (TJ_B1b / TJ_B1c, executed under the author's written authorization, recorded with the artifact package; disclosed as a post-hoc extension of the original batch with two protocol differences: the directed and naive arms' self-reports were placed under a strict response-format grammar constraint (llama-server response_format = json_schema), and the mutation-call token ceiling was raised from 800 to 2,048; seeds 1–10 are shared one-to-one with the original batch, the sham arm reuses the original batch's events, and the four frozen criteria are unchanged, with independently frozen criteria files TJ-B1b / TJ-B1C-frozen-v1.0.json). The extension ran in two steps. Step one (TJ_B1b, grammar constraint at the original 800-token ceiling) reproduced channel failure in another form: 37 of 100 proposals failed to parse, adjudicating B1B_CHANNEL_FAIL; inspection of every failure site showed all were new_gene fields truncated at the token ceiling — a pure generation-budget problem, not grammar non-compliance. Step two (TJ_B1c, constraint + 2,048-token ceiling) reduced the parse-failure rate to 0/100; directed − sham = +0.2 (SD 1.62), 95% CI [−0.96, +1.36] including zero, 6/10 concordant seeds — short of B1_DIRECTED_WINS; TOST equivalence also failed (p1 = 0.022, p2 = 0.076), with the same power caveat as the original batch (Δ = 1 task still below the ≈ 1.16 90% CI half-width); the seed-to-arm mean-square ratio was 5.32, short of the NOISE line. The frozen criteria adjudicate B1B_INCONCLUSIVE — this time with a healthy channel. The two extension batches consumed ≈ 5.9M additional tokens (B1b 2.78M, B1c 3.07M, accumulated from usage fields). These readouts correct the record in two directions. First, the original batch's 42% parse failures and the extension's step-one 37% share one cause — generation budget — and a grammar constraint plus an adequate budget repairs it (0/100): channel availability is confirmed as an engineering parameter. Second, with the channel repaired the directed-advantage readout remains near zero (paired across the same seeds, −0.4 → +0.2), overturning the previous paragraph's attribution: at 30B-A3B, within this protocol and its power, the readout is that the directed advantage does not appear. We also record honestly that the repaired tier's naive-arm self-report misclassification remained at 39% (directed arm 2%): naive self-report metadata does not become trustworthy through channel repair, with the same scope limitation as §2.3.</w:t>
      </w:r>
    </w:p>
    <w:p>
      <w:r>
        <w:rPr>
          <w:rFonts w:ascii="Times New Roman" w:hAnsi="Times New Roman"/>
        </w:rPr>
        <w:t>Across both tiers a phenomenon isomorphic to §3.2's sham audit emerged, and its accounting semantics must be stated: the verdict file classifies accepted mutations by self-reported type (sham arm by generator type; accepted parse-failed events are excluded from this classification). On that accounting, accepted "architecture-type" mutations summed to zero mean empirical gain (30B: 40; 14B: 100) — and by the implementation semantics they come entirely from the sham arm's programmatic random edits: the self-modifying arms themselves produced almost no accepted architecture-type mutations (at 14B the directed arm had zero, with all 50 of its accepted mutations parameter-type at +0.44 mean gain). The genuinely sham-audit-isomorphic readout on a real LLM is therefore: the acceptance guard approves neutral architecture-type edits wholesale — all 100 of the sham arm's random architecture-type mutations at 14B were accepted with mean validation-score change of exactly 0 — "acceptance only guards against regressions, it does not certify progress" reproduced on a real LLM: without a sham-style control, these accepted neutral edits would be booked as progress at any moment. Parameter-type mutations carried all of the positive gains (summed by self-reported type: +1.09 at 30B, +0.20 at 14B; the directed arm at 14B averaged +0.44 per accepted mutation). Empirical gain is defined as the accepted event's validation-score change (score_new − score_old). Per-arm, per-tier accounting in Table 4.</w:t>
      </w:r>
    </w:p>
    <w:p>
      <w:pPr>
        <w:spacing w:after="160" w:line="240" w:lineRule="auto"/>
      </w:pPr>
      <w:r>
        <w:rPr>
          <w:rFonts w:ascii="Times New Roman" w:hAnsi="Times New Roman"/>
          <w:b/>
          <w:sz w:val="18"/>
        </w:rPr>
        <w:t>Table 4. Three-arm verdict batch, per-arm accounting (100 proposals per arm per tier).</w:t>
      </w:r>
    </w:p>
    <w:tbl>
      <w:tblPr>
        <w:tblStyle w:val="TableGrid"/>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Column="1" w:firstRow="1" w:lastColumn="0" w:lastRow="0" w:noHBand="0" w:noVBand="1" w:val="04A0"/>
      </w:tblPr>
      <w:tblGrid>
        <w:gridCol w:w="1234"/>
        <w:gridCol w:w="1234"/>
        <w:gridCol w:w="1234"/>
        <w:gridCol w:w="1234"/>
        <w:gridCol w:w="1234"/>
        <w:gridCol w:w="1234"/>
        <w:gridCol w:w="1234"/>
      </w:tblGrid>
      <w:tr>
        <w:tc>
          <w:tcPr>
            <w:tcW w:type="dxa" w:w="1234"/>
            <w:tcBorders>
              <w:bottom w:val="single" w:sz="6" w:space="0" w:color="000000"/>
            </w:tcBorders>
          </w:tcPr>
          <w:p>
            <w:pPr>
              <w:spacing w:before="40" w:after="40" w:line="240" w:lineRule="auto"/>
            </w:pPr>
            <w:r>
              <w:rPr>
                <w:rFonts w:ascii="Times New Roman" w:hAnsi="Times New Roman"/>
                <w:b/>
                <w:sz w:val="18"/>
              </w:rPr>
              <w:t>Arm / tier</w:t>
            </w:r>
          </w:p>
        </w:tc>
        <w:tc>
          <w:tcPr>
            <w:tcW w:type="dxa" w:w="1234"/>
            <w:tcBorders>
              <w:bottom w:val="single" w:sz="6" w:space="0" w:color="000000"/>
            </w:tcBorders>
          </w:tcPr>
          <w:p>
            <w:pPr>
              <w:spacing w:before="40" w:after="40" w:line="240" w:lineRule="auto"/>
            </w:pPr>
            <w:r>
              <w:rPr>
                <w:rFonts w:ascii="Times New Roman" w:hAnsi="Times New Roman"/>
                <w:b/>
                <w:sz w:val="18"/>
              </w:rPr>
              <w:t>Proposals</w:t>
            </w:r>
          </w:p>
        </w:tc>
        <w:tc>
          <w:tcPr>
            <w:tcW w:type="dxa" w:w="1234"/>
            <w:tcBorders>
              <w:bottom w:val="single" w:sz="6" w:space="0" w:color="000000"/>
            </w:tcBorders>
          </w:tcPr>
          <w:p>
            <w:pPr>
              <w:spacing w:before="40" w:after="40" w:line="240" w:lineRule="auto"/>
            </w:pPr>
            <w:r>
              <w:rPr>
                <w:rFonts w:ascii="Times New Roman" w:hAnsi="Times New Roman"/>
                <w:b/>
                <w:sz w:val="18"/>
              </w:rPr>
              <w:t>Parsed</w:t>
            </w:r>
          </w:p>
        </w:tc>
        <w:tc>
          <w:tcPr>
            <w:tcW w:type="dxa" w:w="1234"/>
            <w:tcBorders>
              <w:bottom w:val="single" w:sz="6" w:space="0" w:color="000000"/>
            </w:tcBorders>
          </w:tcPr>
          <w:p>
            <w:pPr>
              <w:spacing w:before="40" w:after="40" w:line="240" w:lineRule="auto"/>
            </w:pPr>
            <w:r>
              <w:rPr>
                <w:rFonts w:ascii="Times New Roman" w:hAnsi="Times New Roman"/>
                <w:b/>
                <w:sz w:val="18"/>
              </w:rPr>
              <w:t>Parse-failed</w:t>
            </w:r>
          </w:p>
        </w:tc>
        <w:tc>
          <w:tcPr>
            <w:tcW w:type="dxa" w:w="1234"/>
            <w:tcBorders>
              <w:bottom w:val="single" w:sz="6" w:space="0" w:color="000000"/>
            </w:tcBorders>
          </w:tcPr>
          <w:p>
            <w:pPr>
              <w:spacing w:before="40" w:after="40" w:line="240" w:lineRule="auto"/>
            </w:pPr>
            <w:r>
              <w:rPr>
                <w:rFonts w:ascii="Times New Roman" w:hAnsi="Times New Roman"/>
                <w:b/>
                <w:sz w:val="18"/>
              </w:rPr>
              <w:t>Accepted</w:t>
            </w:r>
          </w:p>
        </w:tc>
        <w:tc>
          <w:tcPr>
            <w:tcW w:type="dxa" w:w="1234"/>
            <w:tcBorders>
              <w:bottom w:val="single" w:sz="6" w:space="0" w:color="000000"/>
            </w:tcBorders>
          </w:tcPr>
          <w:p>
            <w:pPr>
              <w:spacing w:before="40" w:after="40" w:line="240" w:lineRule="auto"/>
            </w:pPr>
            <w:r>
              <w:rPr>
                <w:rFonts w:ascii="Times New Roman" w:hAnsi="Times New Roman"/>
                <w:b/>
                <w:sz w:val="18"/>
              </w:rPr>
              <w:t>Rejected</w:t>
            </w:r>
          </w:p>
        </w:tc>
        <w:tc>
          <w:tcPr>
            <w:tcW w:type="dxa" w:w="1234"/>
            <w:tcBorders>
              <w:bottom w:val="single" w:sz="6" w:space="0" w:color="000000"/>
            </w:tcBorders>
          </w:tcPr>
          <w:p>
            <w:pPr>
              <w:spacing w:before="40" w:after="40" w:line="240" w:lineRule="auto"/>
            </w:pPr>
            <w:r>
              <w:rPr>
                <w:rFonts w:ascii="Times New Roman" w:hAnsi="Times New Roman"/>
                <w:b/>
                <w:sz w:val="18"/>
              </w:rPr>
              <w:t>Mean validation change (accepted)</w:t>
            </w:r>
          </w:p>
        </w:tc>
      </w:tr>
      <w:tr>
        <w:tc>
          <w:tcPr>
            <w:tcW w:type="dxa" w:w="1234"/>
          </w:tcPr>
          <w:p>
            <w:pPr>
              <w:spacing w:before="40" w:after="40" w:line="240" w:lineRule="auto"/>
            </w:pPr>
            <w:r>
              <w:rPr>
                <w:rFonts w:ascii="Times New Roman" w:hAnsi="Times New Roman"/>
                <w:sz w:val="18"/>
              </w:rPr>
              <w:t>directed 14B</w:t>
            </w:r>
          </w:p>
        </w:tc>
        <w:tc>
          <w:tcPr>
            <w:tcW w:type="dxa" w:w="1234"/>
          </w:tcPr>
          <w:p>
            <w:pPr>
              <w:spacing w:before="40" w:after="40" w:line="240" w:lineRule="auto"/>
            </w:pPr>
            <w:r>
              <w:rPr>
                <w:rFonts w:ascii="Times New Roman" w:hAnsi="Times New Roman"/>
                <w:sz w:val="18"/>
              </w:rPr>
              <w:t>100</w:t>
            </w:r>
          </w:p>
        </w:tc>
        <w:tc>
          <w:tcPr>
            <w:tcW w:type="dxa" w:w="1234"/>
          </w:tcPr>
          <w:p>
            <w:pPr>
              <w:spacing w:before="40" w:after="40" w:line="240" w:lineRule="auto"/>
            </w:pPr>
            <w:r>
              <w:rPr>
                <w:rFonts w:ascii="Times New Roman" w:hAnsi="Times New Roman"/>
                <w:sz w:val="18"/>
              </w:rPr>
              <w:t>100</w:t>
            </w:r>
          </w:p>
        </w:tc>
        <w:tc>
          <w:tcPr>
            <w:tcW w:type="dxa" w:w="1234"/>
          </w:tcPr>
          <w:p>
            <w:pPr>
              <w:spacing w:before="40" w:after="40" w:line="240" w:lineRule="auto"/>
            </w:pPr>
            <w:r>
              <w:rPr>
                <w:rFonts w:ascii="Times New Roman" w:hAnsi="Times New Roman"/>
                <w:sz w:val="18"/>
              </w:rPr>
              <w:t>0</w:t>
            </w:r>
          </w:p>
        </w:tc>
        <w:tc>
          <w:tcPr>
            <w:tcW w:type="dxa" w:w="1234"/>
          </w:tcPr>
          <w:p>
            <w:pPr>
              <w:spacing w:before="40" w:after="40" w:line="240" w:lineRule="auto"/>
            </w:pPr>
            <w:r>
              <w:rPr>
                <w:rFonts w:ascii="Times New Roman" w:hAnsi="Times New Roman"/>
                <w:sz w:val="18"/>
              </w:rPr>
              <w:t>50</w:t>
            </w:r>
          </w:p>
        </w:tc>
        <w:tc>
          <w:tcPr>
            <w:tcW w:type="dxa" w:w="1234"/>
          </w:tcPr>
          <w:p>
            <w:pPr>
              <w:spacing w:before="40" w:after="40" w:line="240" w:lineRule="auto"/>
            </w:pPr>
            <w:r>
              <w:rPr>
                <w:rFonts w:ascii="Times New Roman" w:hAnsi="Times New Roman"/>
                <w:sz w:val="18"/>
              </w:rPr>
              <w:t>50</w:t>
            </w:r>
          </w:p>
        </w:tc>
        <w:tc>
          <w:tcPr>
            <w:tcW w:type="dxa" w:w="1234"/>
          </w:tcPr>
          <w:p>
            <w:pPr>
              <w:spacing w:before="40" w:after="40" w:line="240" w:lineRule="auto"/>
            </w:pPr>
            <w:r>
              <w:rPr>
                <w:rFonts w:ascii="Times New Roman" w:hAnsi="Times New Roman"/>
                <w:sz w:val="18"/>
              </w:rPr>
              <w:t>+0.44</w:t>
            </w:r>
          </w:p>
        </w:tc>
      </w:tr>
      <w:tr>
        <w:tc>
          <w:tcPr>
            <w:tcW w:type="dxa" w:w="1234"/>
          </w:tcPr>
          <w:p>
            <w:pPr>
              <w:spacing w:before="40" w:after="40" w:line="240" w:lineRule="auto"/>
            </w:pPr>
            <w:r>
              <w:rPr>
                <w:rFonts w:ascii="Times New Roman" w:hAnsi="Times New Roman"/>
                <w:sz w:val="18"/>
              </w:rPr>
              <w:t>naive 14B</w:t>
            </w:r>
          </w:p>
        </w:tc>
        <w:tc>
          <w:tcPr>
            <w:tcW w:type="dxa" w:w="1234"/>
          </w:tcPr>
          <w:p>
            <w:pPr>
              <w:spacing w:before="40" w:after="40" w:line="240" w:lineRule="auto"/>
            </w:pPr>
            <w:r>
              <w:rPr>
                <w:rFonts w:ascii="Times New Roman" w:hAnsi="Times New Roman"/>
                <w:sz w:val="18"/>
              </w:rPr>
              <w:t>100</w:t>
            </w:r>
          </w:p>
        </w:tc>
        <w:tc>
          <w:tcPr>
            <w:tcW w:type="dxa" w:w="1234"/>
          </w:tcPr>
          <w:p>
            <w:pPr>
              <w:spacing w:before="40" w:after="40" w:line="240" w:lineRule="auto"/>
            </w:pPr>
            <w:r>
              <w:rPr>
                <w:rFonts w:ascii="Times New Roman" w:hAnsi="Times New Roman"/>
                <w:sz w:val="18"/>
              </w:rPr>
              <w:t>100</w:t>
            </w:r>
          </w:p>
        </w:tc>
        <w:tc>
          <w:tcPr>
            <w:tcW w:type="dxa" w:w="1234"/>
          </w:tcPr>
          <w:p>
            <w:pPr>
              <w:spacing w:before="40" w:after="40" w:line="240" w:lineRule="auto"/>
            </w:pPr>
            <w:r>
              <w:rPr>
                <w:rFonts w:ascii="Times New Roman" w:hAnsi="Times New Roman"/>
                <w:sz w:val="18"/>
              </w:rPr>
              <w:t>0</w:t>
            </w:r>
          </w:p>
        </w:tc>
        <w:tc>
          <w:tcPr>
            <w:tcW w:type="dxa" w:w="1234"/>
          </w:tcPr>
          <w:p>
            <w:pPr>
              <w:spacing w:before="40" w:after="40" w:line="240" w:lineRule="auto"/>
            </w:pPr>
            <w:r>
              <w:rPr>
                <w:rFonts w:ascii="Times New Roman" w:hAnsi="Times New Roman"/>
                <w:sz w:val="18"/>
              </w:rPr>
              <w:t>92</w:t>
            </w:r>
          </w:p>
        </w:tc>
        <w:tc>
          <w:tcPr>
            <w:tcW w:type="dxa" w:w="1234"/>
          </w:tcPr>
          <w:p>
            <w:pPr>
              <w:spacing w:before="40" w:after="40" w:line="240" w:lineRule="auto"/>
            </w:pPr>
            <w:r>
              <w:rPr>
                <w:rFonts w:ascii="Times New Roman" w:hAnsi="Times New Roman"/>
                <w:sz w:val="18"/>
              </w:rPr>
              <w:t>8</w:t>
            </w:r>
          </w:p>
        </w:tc>
        <w:tc>
          <w:tcPr>
            <w:tcW w:type="dxa" w:w="1234"/>
          </w:tcPr>
          <w:p>
            <w:pPr>
              <w:spacing w:before="40" w:after="40" w:line="240" w:lineRule="auto"/>
            </w:pPr>
            <w:r>
              <w:rPr>
                <w:rFonts w:ascii="Times New Roman" w:hAnsi="Times New Roman"/>
                <w:sz w:val="18"/>
              </w:rPr>
              <w:t>+0.07</w:t>
            </w:r>
          </w:p>
        </w:tc>
      </w:tr>
      <w:tr>
        <w:tc>
          <w:tcPr>
            <w:tcW w:type="dxa" w:w="1234"/>
          </w:tcPr>
          <w:p>
            <w:pPr>
              <w:spacing w:before="40" w:after="40" w:line="240" w:lineRule="auto"/>
            </w:pPr>
            <w:r>
              <w:rPr>
                <w:rFonts w:ascii="Times New Roman" w:hAnsi="Times New Roman"/>
                <w:sz w:val="18"/>
              </w:rPr>
              <w:t>sham 14B</w:t>
            </w:r>
          </w:p>
        </w:tc>
        <w:tc>
          <w:tcPr>
            <w:tcW w:type="dxa" w:w="1234"/>
          </w:tcPr>
          <w:p>
            <w:pPr>
              <w:spacing w:before="40" w:after="40" w:line="240" w:lineRule="auto"/>
            </w:pPr>
            <w:r>
              <w:rPr>
                <w:rFonts w:ascii="Times New Roman" w:hAnsi="Times New Roman"/>
                <w:sz w:val="18"/>
              </w:rPr>
              <w:t>100</w:t>
            </w:r>
          </w:p>
        </w:tc>
        <w:tc>
          <w:tcPr>
            <w:tcW w:type="dxa" w:w="1234"/>
          </w:tcPr>
          <w:p>
            <w:pPr>
              <w:spacing w:before="40" w:after="40" w:line="240" w:lineRule="auto"/>
            </w:pPr>
            <w:r>
              <w:rPr>
                <w:rFonts w:ascii="Times New Roman" w:hAnsi="Times New Roman"/>
                <w:sz w:val="18"/>
              </w:rPr>
              <w:t>—</w:t>
            </w:r>
          </w:p>
        </w:tc>
        <w:tc>
          <w:tcPr>
            <w:tcW w:type="dxa" w:w="1234"/>
          </w:tcPr>
          <w:p>
            <w:pPr>
              <w:spacing w:before="40" w:after="40" w:line="240" w:lineRule="auto"/>
            </w:pPr>
            <w:r>
              <w:rPr>
                <w:rFonts w:ascii="Times New Roman" w:hAnsi="Times New Roman"/>
                <w:sz w:val="18"/>
              </w:rPr>
              <w:t>—</w:t>
            </w:r>
          </w:p>
        </w:tc>
        <w:tc>
          <w:tcPr>
            <w:tcW w:type="dxa" w:w="1234"/>
          </w:tcPr>
          <w:p>
            <w:pPr>
              <w:spacing w:before="40" w:after="40" w:line="240" w:lineRule="auto"/>
            </w:pPr>
            <w:r>
              <w:rPr>
                <w:rFonts w:ascii="Times New Roman" w:hAnsi="Times New Roman"/>
                <w:sz w:val="18"/>
              </w:rPr>
              <w:t>100</w:t>
            </w:r>
          </w:p>
        </w:tc>
        <w:tc>
          <w:tcPr>
            <w:tcW w:type="dxa" w:w="1234"/>
          </w:tcPr>
          <w:p>
            <w:pPr>
              <w:spacing w:before="40" w:after="40" w:line="240" w:lineRule="auto"/>
            </w:pPr>
            <w:r>
              <w:rPr>
                <w:rFonts w:ascii="Times New Roman" w:hAnsi="Times New Roman"/>
                <w:sz w:val="18"/>
              </w:rPr>
              <w:t>0</w:t>
            </w:r>
          </w:p>
        </w:tc>
        <w:tc>
          <w:tcPr>
            <w:tcW w:type="dxa" w:w="1234"/>
          </w:tcPr>
          <w:p>
            <w:pPr>
              <w:spacing w:before="40" w:after="40" w:line="240" w:lineRule="auto"/>
            </w:pPr>
            <w:r>
              <w:rPr>
                <w:rFonts w:ascii="Times New Roman" w:hAnsi="Times New Roman"/>
                <w:sz w:val="18"/>
              </w:rPr>
              <w:t>0.00 (all neutral)</w:t>
            </w:r>
          </w:p>
        </w:tc>
      </w:tr>
      <w:tr>
        <w:tc>
          <w:tcPr>
            <w:tcW w:type="dxa" w:w="1234"/>
          </w:tcPr>
          <w:p>
            <w:pPr>
              <w:spacing w:before="40" w:after="40" w:line="240" w:lineRule="auto"/>
            </w:pPr>
            <w:r>
              <w:rPr>
                <w:rFonts w:ascii="Times New Roman" w:hAnsi="Times New Roman"/>
                <w:sz w:val="18"/>
              </w:rPr>
              <w:t>directed 30B</w:t>
            </w:r>
          </w:p>
        </w:tc>
        <w:tc>
          <w:tcPr>
            <w:tcW w:type="dxa" w:w="1234"/>
          </w:tcPr>
          <w:p>
            <w:pPr>
              <w:spacing w:before="40" w:after="40" w:line="240" w:lineRule="auto"/>
            </w:pPr>
            <w:r>
              <w:rPr>
                <w:rFonts w:ascii="Times New Roman" w:hAnsi="Times New Roman"/>
                <w:sz w:val="18"/>
              </w:rPr>
              <w:t>100</w:t>
            </w:r>
          </w:p>
        </w:tc>
        <w:tc>
          <w:tcPr>
            <w:tcW w:type="dxa" w:w="1234"/>
          </w:tcPr>
          <w:p>
            <w:pPr>
              <w:spacing w:before="40" w:after="40" w:line="240" w:lineRule="auto"/>
            </w:pPr>
            <w:r>
              <w:rPr>
                <w:rFonts w:ascii="Times New Roman" w:hAnsi="Times New Roman"/>
                <w:sz w:val="18"/>
              </w:rPr>
              <w:t>58</w:t>
            </w:r>
          </w:p>
        </w:tc>
        <w:tc>
          <w:tcPr>
            <w:tcW w:type="dxa" w:w="1234"/>
          </w:tcPr>
          <w:p>
            <w:pPr>
              <w:spacing w:before="40" w:after="40" w:line="240" w:lineRule="auto"/>
            </w:pPr>
            <w:r>
              <w:rPr>
                <w:rFonts w:ascii="Times New Roman" w:hAnsi="Times New Roman"/>
                <w:sz w:val="18"/>
              </w:rPr>
              <w:t>42</w:t>
            </w:r>
          </w:p>
        </w:tc>
        <w:tc>
          <w:tcPr>
            <w:tcW w:type="dxa" w:w="1234"/>
          </w:tcPr>
          <w:p>
            <w:pPr>
              <w:spacing w:before="40" w:after="40" w:line="240" w:lineRule="auto"/>
            </w:pPr>
            <w:r>
              <w:rPr>
                <w:rFonts w:ascii="Times New Roman" w:hAnsi="Times New Roman"/>
                <w:sz w:val="18"/>
              </w:rPr>
              <w:t>35</w:t>
            </w:r>
          </w:p>
        </w:tc>
        <w:tc>
          <w:tcPr>
            <w:tcW w:type="dxa" w:w="1234"/>
          </w:tcPr>
          <w:p>
            <w:pPr>
              <w:spacing w:before="40" w:after="40" w:line="240" w:lineRule="auto"/>
            </w:pPr>
            <w:r>
              <w:rPr>
                <w:rFonts w:ascii="Times New Roman" w:hAnsi="Times New Roman"/>
                <w:sz w:val="18"/>
              </w:rPr>
              <w:t>65</w:t>
            </w:r>
          </w:p>
        </w:tc>
        <w:tc>
          <w:tcPr>
            <w:tcW w:type="dxa" w:w="1234"/>
          </w:tcPr>
          <w:p>
            <w:pPr>
              <w:spacing w:before="40" w:after="40" w:line="240" w:lineRule="auto"/>
            </w:pPr>
            <w:r>
              <w:rPr>
                <w:rFonts w:ascii="Times New Roman" w:hAnsi="Times New Roman"/>
                <w:sz w:val="18"/>
              </w:rPr>
              <w:t>+1.46</w:t>
            </w:r>
          </w:p>
        </w:tc>
      </w:tr>
      <w:tr>
        <w:tc>
          <w:tcPr>
            <w:tcW w:type="dxa" w:w="1234"/>
          </w:tcPr>
          <w:p>
            <w:pPr>
              <w:spacing w:before="40" w:after="40" w:line="240" w:lineRule="auto"/>
            </w:pPr>
            <w:r>
              <w:rPr>
                <w:rFonts w:ascii="Times New Roman" w:hAnsi="Times New Roman"/>
                <w:sz w:val="18"/>
              </w:rPr>
              <w:t>naive 30B</w:t>
            </w:r>
          </w:p>
        </w:tc>
        <w:tc>
          <w:tcPr>
            <w:tcW w:type="dxa" w:w="1234"/>
          </w:tcPr>
          <w:p>
            <w:pPr>
              <w:spacing w:before="40" w:after="40" w:line="240" w:lineRule="auto"/>
            </w:pPr>
            <w:r>
              <w:rPr>
                <w:rFonts w:ascii="Times New Roman" w:hAnsi="Times New Roman"/>
                <w:sz w:val="18"/>
              </w:rPr>
              <w:t>100</w:t>
            </w:r>
          </w:p>
        </w:tc>
        <w:tc>
          <w:tcPr>
            <w:tcW w:type="dxa" w:w="1234"/>
          </w:tcPr>
          <w:p>
            <w:pPr>
              <w:spacing w:before="40" w:after="40" w:line="240" w:lineRule="auto"/>
            </w:pPr>
            <w:r>
              <w:rPr>
                <w:rFonts w:ascii="Times New Roman" w:hAnsi="Times New Roman"/>
                <w:sz w:val="18"/>
              </w:rPr>
              <w:t>93</w:t>
            </w:r>
          </w:p>
        </w:tc>
        <w:tc>
          <w:tcPr>
            <w:tcW w:type="dxa" w:w="1234"/>
          </w:tcPr>
          <w:p>
            <w:pPr>
              <w:spacing w:before="40" w:after="40" w:line="240" w:lineRule="auto"/>
            </w:pPr>
            <w:r>
              <w:rPr>
                <w:rFonts w:ascii="Times New Roman" w:hAnsi="Times New Roman"/>
                <w:sz w:val="18"/>
              </w:rPr>
              <w:t>7</w:t>
            </w:r>
          </w:p>
        </w:tc>
        <w:tc>
          <w:tcPr>
            <w:tcW w:type="dxa" w:w="1234"/>
          </w:tcPr>
          <w:p>
            <w:pPr>
              <w:spacing w:before="40" w:after="40" w:line="240" w:lineRule="auto"/>
            </w:pPr>
            <w:r>
              <w:rPr>
                <w:rFonts w:ascii="Times New Roman" w:hAnsi="Times New Roman"/>
                <w:sz w:val="18"/>
              </w:rPr>
              <w:t>30</w:t>
            </w:r>
          </w:p>
        </w:tc>
        <w:tc>
          <w:tcPr>
            <w:tcW w:type="dxa" w:w="1234"/>
          </w:tcPr>
          <w:p>
            <w:pPr>
              <w:spacing w:before="40" w:after="40" w:line="240" w:lineRule="auto"/>
            </w:pPr>
            <w:r>
              <w:rPr>
                <w:rFonts w:ascii="Times New Roman" w:hAnsi="Times New Roman"/>
                <w:sz w:val="18"/>
              </w:rPr>
              <w:t>70</w:t>
            </w:r>
          </w:p>
        </w:tc>
        <w:tc>
          <w:tcPr>
            <w:tcW w:type="dxa" w:w="1234"/>
          </w:tcPr>
          <w:p>
            <w:pPr>
              <w:spacing w:before="40" w:after="40" w:line="240" w:lineRule="auto"/>
            </w:pPr>
            <w:r>
              <w:rPr>
                <w:rFonts w:ascii="Times New Roman" w:hAnsi="Times New Roman"/>
                <w:sz w:val="18"/>
              </w:rPr>
              <w:t>+0.37</w:t>
            </w:r>
          </w:p>
        </w:tc>
      </w:tr>
      <w:tr>
        <w:tc>
          <w:tcPr>
            <w:tcW w:type="dxa" w:w="1234"/>
          </w:tcPr>
          <w:p>
            <w:pPr>
              <w:spacing w:before="40" w:after="40" w:line="240" w:lineRule="auto"/>
            </w:pPr>
            <w:r>
              <w:rPr>
                <w:rFonts w:ascii="Times New Roman" w:hAnsi="Times New Roman"/>
                <w:sz w:val="18"/>
              </w:rPr>
              <w:t>sham 30B</w:t>
            </w:r>
          </w:p>
        </w:tc>
        <w:tc>
          <w:tcPr>
            <w:tcW w:type="dxa" w:w="1234"/>
          </w:tcPr>
          <w:p>
            <w:pPr>
              <w:spacing w:before="40" w:after="40" w:line="240" w:lineRule="auto"/>
            </w:pPr>
            <w:r>
              <w:rPr>
                <w:rFonts w:ascii="Times New Roman" w:hAnsi="Times New Roman"/>
                <w:sz w:val="18"/>
              </w:rPr>
              <w:t>100</w:t>
            </w:r>
          </w:p>
        </w:tc>
        <w:tc>
          <w:tcPr>
            <w:tcW w:type="dxa" w:w="1234"/>
          </w:tcPr>
          <w:p>
            <w:pPr>
              <w:spacing w:before="40" w:after="40" w:line="240" w:lineRule="auto"/>
            </w:pPr>
            <w:r>
              <w:rPr>
                <w:rFonts w:ascii="Times New Roman" w:hAnsi="Times New Roman"/>
                <w:sz w:val="18"/>
              </w:rPr>
              <w:t>—</w:t>
            </w:r>
          </w:p>
        </w:tc>
        <w:tc>
          <w:tcPr>
            <w:tcW w:type="dxa" w:w="1234"/>
          </w:tcPr>
          <w:p>
            <w:pPr>
              <w:spacing w:before="40" w:after="40" w:line="240" w:lineRule="auto"/>
            </w:pPr>
            <w:r>
              <w:rPr>
                <w:rFonts w:ascii="Times New Roman" w:hAnsi="Times New Roman"/>
                <w:sz w:val="18"/>
              </w:rPr>
              <w:t>—</w:t>
            </w:r>
          </w:p>
        </w:tc>
        <w:tc>
          <w:tcPr>
            <w:tcW w:type="dxa" w:w="1234"/>
          </w:tcPr>
          <w:p>
            <w:pPr>
              <w:spacing w:before="40" w:after="40" w:line="240" w:lineRule="auto"/>
            </w:pPr>
            <w:r>
              <w:rPr>
                <w:rFonts w:ascii="Times New Roman" w:hAnsi="Times New Roman"/>
                <w:sz w:val="18"/>
              </w:rPr>
              <w:t>40</w:t>
            </w:r>
          </w:p>
        </w:tc>
        <w:tc>
          <w:tcPr>
            <w:tcW w:type="dxa" w:w="1234"/>
          </w:tcPr>
          <w:p>
            <w:pPr>
              <w:spacing w:before="40" w:after="40" w:line="240" w:lineRule="auto"/>
            </w:pPr>
            <w:r>
              <w:rPr>
                <w:rFonts w:ascii="Times New Roman" w:hAnsi="Times New Roman"/>
                <w:sz w:val="18"/>
              </w:rPr>
              <w:t>60</w:t>
            </w:r>
          </w:p>
        </w:tc>
        <w:tc>
          <w:tcPr>
            <w:tcW w:type="dxa" w:w="1234"/>
          </w:tcPr>
          <w:p>
            <w:pPr>
              <w:spacing w:before="40" w:after="40" w:line="240" w:lineRule="auto"/>
            </w:pPr>
            <w:r>
              <w:rPr>
                <w:rFonts w:ascii="Times New Roman" w:hAnsi="Times New Roman"/>
                <w:sz w:val="18"/>
              </w:rPr>
              <w:t>0.00</w:t>
            </w:r>
          </w:p>
        </w:tc>
      </w:tr>
    </w:tbl>
    <w:p/>
    <w:p>
      <w:r>
        <w:rPr>
          <w:rFonts w:ascii="Times New Roman" w:hAnsi="Times New Roman"/>
        </w:rPr>
        <w:t>Note: accepted = validation score did not regress; the sham arm's mutations are programmatic (no self-reports; all architecture-type). At 30B the directed arm's 42 parse failures were executed as programmatic parameter-type fallback mutations and adjudicated as usual. At 14B, 92 naive acceptances comprise 20 architecture-type by programmatic classification (+0.10 mean gain) and 72 parameter-type (+0.06), while all self-reports claimed parameter-type (21 misclassifications); at 30B, 30 naive acceptances comprise 19 architecture-type (+0.26) and 11 parameter-type (+0.55). Directed 30B's 35 acceptances all book as parameter-type under self-reported classification: its single programmatically architecture-type acceptance was self-reported as parameter-type (a misclassification) and therefore books as parameter. The two tiers' sham profiles differ through validation-score sensitivity: no sham edit regressed the 14B validation score (hence 100/100 acceptance at exactly zero change), while 60 of 100 sham edits regressed the 30B validation score. The verdict file's architecture/parameter classification uses self-reported types (sham uses generator types), and accepted parse-failed events are excluded from that classification.</w:t>
      </w:r>
    </w:p>
    <w:p>
      <w:r>
        <w:rPr>
          <w:rFonts w:ascii="Times New Roman" w:hAnsi="Times New Roman"/>
        </w:rPr>
        <w:t>Two out-of-bound readouts are honestly recorded, with their semantics clarified: the frozen 0.2 cap constrains the self-report misclassification rate (§2.3), and as implemented it gates only the directed arm's validity — directed was valid at both tiers (14B 0/100; 30B 1/58). The naive arm's misclassification rate (0.21 at 14B, 0.645 (60/93) at 30B) also exceeded the cap, but it does not enter the directed − sham contrast (the sham arm has no self-reports); it bears only on the trustworthiness of naive self-reported metadata. In sum, the real-LLM substrate's verdict is tiered: the directed-channel advantage holds at the format-reliable 14B tier and is indeterminate at the format-failing 30B-A3B tier — "channel availability depends on the base model's format compliance" thereby enters the principle's boundary conditions.</w:t>
      </w:r>
    </w:p>
    <w:p>
      <w:r>
        <w:rPr>
          <w:rFonts w:ascii="Times New Roman" w:hAnsi="Times New Roman"/>
        </w:rPr>
        <w:t>Figure 4. The preregistered three-arm verdict batch at the 14B tier. (a) Accepted-score trajectories over the 10 generations (mean of 10 seeds; bands: min–max): generation 0 is the first measurement after loading the reference gene (cross-seed mean 1.7; the task set is shared across arms and seeds within the tier, and the modest cross-seed spread reflects serving-side quantization noise — cf. the 7↔8 swing reported in §3.5), and each generation records the incumbent score after adjudication: directed climbs from 1.7 to 3.9, naive crawls to 0.6 from its loaded gene (the naive gene scores 0 at 14B), and the sham arm never leaves zero. (b) Final test scores per seed (out of 20): directed spans 1–9 while naive and sham stay within 0–3. Figure source data and per-seed trajectories ship with the artifact package.</w:t>
      </w:r>
    </w:p>
    <w:p>
      <w:pPr>
        <w:pStyle w:val="Heading2"/>
      </w:pPr>
      <w:r>
        <w:rPr>
          <w:rFonts w:ascii="Times New Roman" w:hAnsi="Times New Roman"/>
        </w:rPr>
        <w:t>4 Discussion: five design principles</w:t>
      </w:r>
    </w:p>
    <w:p>
      <w:r>
        <w:rPr>
          <w:rFonts w:ascii="Times New Roman" w:hAnsi="Times New Roman"/>
        </w:rPr>
        <w:t>Merging this paper's results with its companion (Paper A [16]) yields five falsifiable, transferable design principles. (L1) Selection-visibility asymmetry: parametric changes are amplified 3× by selection, architectural changes ~0.8×, remaining unfavored even with the solution in hand, pressure maxed, and time ×4. (L2) Directed channel: complete architectural solutions do not enter through general selection; they enter through a directed channel, which leaves general selection acceptance and tuning only (in small spaces general search still extracts a partial architectural dividend — Table 4 — but that dividend decays rapidly with scale); on the discrete substrate directed beat general by +6.4 (4/5 full scores), the readout held across the four tested scales (a designed invariance), and on a real LLM it held at the 14B tier (+4.9, 9/10 seeds), while at the 30B-A3B tier the self-report channel was repaired by a grammar constraint (parse failures 42% → 0/100) and the advantage still did not appear (+0.2, 95% CI [−0.96, +1.36]) — channel availability is a repairable engineering parameter, and repair does not guarantee benefit. (L3) Sham audit: progress claims by self-modifying systems must pass a randomized-change control from the same operator distribution — drift fills up the architecture on its own (17.4 edges), three "no-control-misjudgment" incidents plus one in-experiment demonstration back it, now corroborated on a real LLM by the wholesale acceptance of neutral architecture-type edits (the sham arm's 100 random edits at 14B were all accepted at 0.0 mean gain). (L4) Quality-control metrology: validation-suite size and measurement stability are hard prerequisites for self-modifying systems; an 8-task suite plus quantization noise was enough to drown the board-best genome's advantage; and the directed channel’s availability further depends on the base model’s format compliance under the given self-report protocol and interface (a joint model–protocol property, §3.5) — once self-report parsing fails at scale, the channel itself fails, and that indeterminacy must not be read as absence of effect; the format-constrained extension batch (§3.5) verified this boundary in both directions: repairing the channel lifted the indeterminacy, and the readout returned to the measurement of the effect itself. (L5) Architectural visibility decays with search-space scale: general search's architectural discovery rate decayed monotonically with W across the four tested scales (1.000 → 0.167, 12 runs per cell, trend p &lt; 0.001), decoy contamination grew with W; cross-scale comparison must use the absolute-flip fairness lock.</w:t>
      </w:r>
    </w:p>
    <w:p>
      <w:r>
        <w:rPr>
          <w:rFonts w:ascii="Times New Roman" w:hAnsi="Times New Roman"/>
        </w:rPr>
        <w:t>For the scheduling design of self-modifying systems these principles give direct instructions: strip architecture-level changes out of general search and supply them through reviewed or verified high-confidence channels (directed), concentrating search budget on the parameter layer; make a sham control the publication gate for any "self-improvement" claim; expand the acceptance suite before expanding the architecture space. The evidence base of these instructions is two substrate classes — the discrete skill graph and a real LLM (significant at 14B; absent at 30B-A3B after the self-report channel was repaired by a grammar constraint) — plus one operational detail demonstrated end-to-end: before wiring a channel, run a format probe; if the parse-failure rate exceeds the cap, the finding indicts the channel, not the effect — repair the channel (grammar constraint, adequate generation budget), re-probe, and only then read the comparison. Compared with current practice in DGM and AlphaEvolve, this discipline is cheap (one parallel random stream per condition), while the cost of its absence is already quantified by industrial data (84% of genes bypassing validation, 98% of accumulated assets never reused [3]). An overview of the three-substrate summary is in Table 5.</w:t>
      </w:r>
    </w:p>
    <w:p>
      <w:pPr>
        <w:spacing w:after="160" w:line="240" w:lineRule="auto"/>
      </w:pPr>
      <w:r>
        <w:rPr>
          <w:rFonts w:ascii="Times New Roman" w:hAnsi="Times New Roman"/>
          <w:b/>
          <w:sz w:val="18"/>
        </w:rPr>
        <w:t>Table 5. Cross-substrate summary: general selection’s visibility of architectural changes.</w:t>
      </w:r>
    </w:p>
    <w:tbl>
      <w:tblPr>
        <w:tblStyle w:val="TableGrid"/>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Column="1" w:firstRow="1" w:lastColumn="0" w:lastRow="0" w:noHBand="0" w:noVBand="1" w:val="04A0"/>
      </w:tblPr>
      <w:tblGrid>
        <w:gridCol w:w="2160"/>
        <w:gridCol w:w="2160"/>
        <w:gridCol w:w="2160"/>
        <w:gridCol w:w="2160"/>
      </w:tblGrid>
      <w:tr>
        <w:tc>
          <w:tcPr>
            <w:tcW w:type="dxa" w:w="2160"/>
            <w:tcBorders>
              <w:bottom w:val="single" w:sz="6" w:space="0" w:color="000000"/>
            </w:tcBorders>
          </w:tcPr>
          <w:p>
            <w:pPr>
              <w:spacing w:before="40" w:after="40" w:line="240" w:lineRule="auto"/>
            </w:pPr>
            <w:r>
              <w:rPr>
                <w:rFonts w:ascii="Times New Roman" w:hAnsi="Times New Roman"/>
                <w:b/>
                <w:sz w:val="18"/>
              </w:rPr>
              <w:t>Substrate</w:t>
            </w:r>
          </w:p>
        </w:tc>
        <w:tc>
          <w:tcPr>
            <w:tcW w:type="dxa" w:w="2160"/>
            <w:tcBorders>
              <w:bottom w:val="single" w:sz="6" w:space="0" w:color="000000"/>
            </w:tcBorders>
          </w:tcPr>
          <w:p>
            <w:pPr>
              <w:spacing w:before="40" w:after="40" w:line="240" w:lineRule="auto"/>
            </w:pPr>
            <w:r>
              <w:rPr>
                <w:rFonts w:ascii="Times New Roman" w:hAnsi="Times New Roman"/>
                <w:b/>
                <w:sz w:val="18"/>
              </w:rPr>
              <w:t>Architecture search space</w:t>
            </w:r>
          </w:p>
        </w:tc>
        <w:tc>
          <w:tcPr>
            <w:tcW w:type="dxa" w:w="2160"/>
            <w:tcBorders>
              <w:bottom w:val="single" w:sz="6" w:space="0" w:color="000000"/>
            </w:tcBorders>
          </w:tcPr>
          <w:p>
            <w:pPr>
              <w:spacing w:before="40" w:after="40" w:line="240" w:lineRule="auto"/>
            </w:pPr>
            <w:r>
              <w:rPr>
                <w:rFonts w:ascii="Times New Roman" w:hAnsi="Times New Roman"/>
                <w:b/>
                <w:sz w:val="18"/>
              </w:rPr>
              <w:t>General selection on architecture</w:t>
            </w:r>
          </w:p>
        </w:tc>
        <w:tc>
          <w:tcPr>
            <w:tcW w:type="dxa" w:w="2160"/>
            <w:tcBorders>
              <w:bottom w:val="single" w:sz="6" w:space="0" w:color="000000"/>
            </w:tcBorders>
          </w:tcPr>
          <w:p>
            <w:pPr>
              <w:spacing w:before="40" w:after="40" w:line="240" w:lineRule="auto"/>
            </w:pPr>
            <w:r>
              <w:rPr>
                <w:rFonts w:ascii="Times New Roman" w:hAnsi="Times New Roman"/>
                <w:b/>
                <w:sz w:val="18"/>
              </w:rPr>
              <w:t>Directed channel</w:t>
            </w:r>
          </w:p>
        </w:tc>
      </w:tr>
      <w:tr>
        <w:tc>
          <w:tcPr>
            <w:tcW w:type="dxa" w:w="2160"/>
          </w:tcPr>
          <w:p>
            <w:pPr>
              <w:spacing w:before="40" w:after="40" w:line="240" w:lineRule="auto"/>
            </w:pPr>
            <w:r>
              <w:rPr>
                <w:rFonts w:ascii="Times New Roman" w:hAnsi="Times New Roman"/>
                <w:sz w:val="18"/>
              </w:rPr>
              <w:t>Fruit-fly connectome</w:t>
            </w:r>
          </w:p>
        </w:tc>
        <w:tc>
          <w:tcPr>
            <w:tcW w:type="dxa" w:w="2160"/>
          </w:tcPr>
          <w:p>
            <w:pPr>
              <w:spacing w:before="40" w:after="40" w:line="240" w:lineRule="auto"/>
            </w:pPr>
            <w:r>
              <w:rPr>
                <w:rFonts w:ascii="Times New Roman" w:hAnsi="Times New Roman"/>
                <w:sz w:val="18"/>
              </w:rPr>
              <w:t>33,527 edges</w:t>
            </w:r>
          </w:p>
        </w:tc>
        <w:tc>
          <w:tcPr>
            <w:tcW w:type="dxa" w:w="2160"/>
          </w:tcPr>
          <w:p>
            <w:pPr>
              <w:spacing w:before="40" w:after="40" w:line="240" w:lineRule="auto"/>
            </w:pPr>
            <w:r>
              <w:rPr>
                <w:rFonts w:ascii="Times New Roman" w:hAnsi="Times New Roman"/>
                <w:sz w:val="18"/>
              </w:rPr>
              <w:t>blind (0.81–1.18× drift; solution exists, hand-wired bypass foraging gain +2.0)</w:t>
            </w:r>
          </w:p>
        </w:tc>
        <w:tc>
          <w:tcPr>
            <w:tcW w:type="dxa" w:w="2160"/>
          </w:tcPr>
          <w:p>
            <w:pPr>
              <w:spacing w:before="40" w:after="40" w:line="240" w:lineRule="auto"/>
            </w:pPr>
            <w:r>
              <w:rPr>
                <w:rFonts w:ascii="Times New Roman" w:hAnsi="Times New Roman"/>
                <w:sz w:val="18"/>
              </w:rPr>
              <w:t>installs hand-wired bypass, foraging gain +2.0, in minutes</w:t>
            </w:r>
          </w:p>
        </w:tc>
      </w:tr>
      <w:tr>
        <w:tc>
          <w:tcPr>
            <w:tcW w:type="dxa" w:w="2160"/>
          </w:tcPr>
          <w:p>
            <w:pPr>
              <w:spacing w:before="40" w:after="40" w:line="240" w:lineRule="auto"/>
            </w:pPr>
            <w:r>
              <w:rPr>
                <w:rFonts w:ascii="Times New Roman" w:hAnsi="Times New Roman"/>
                <w:sz w:val="18"/>
              </w:rPr>
              <w:t>Skill graph (this paper)</w:t>
            </w:r>
          </w:p>
        </w:tc>
        <w:tc>
          <w:tcPr>
            <w:tcW w:type="dxa" w:w="2160"/>
          </w:tcPr>
          <w:p>
            <w:pPr>
              <w:spacing w:before="40" w:after="40" w:line="240" w:lineRule="auto"/>
            </w:pPr>
            <w:r>
              <w:rPr>
                <w:rFonts w:ascii="Times New Roman" w:hAnsi="Times New Roman"/>
                <w:sz w:val="18"/>
              </w:rPr>
              <w:t>35–2,331 edges (corner points)</w:t>
            </w:r>
          </w:p>
        </w:tc>
        <w:tc>
          <w:tcPr>
            <w:tcW w:type="dxa" w:w="2160"/>
          </w:tcPr>
          <w:p>
            <w:pPr>
              <w:spacing w:before="40" w:after="40" w:line="240" w:lineRule="auto"/>
            </w:pPr>
            <w:r>
              <w:rPr>
                <w:rFonts w:ascii="Times New Roman" w:hAnsi="Times New Roman"/>
                <w:sz w:val="18"/>
              </w:rPr>
              <w:t>dividend present (+3.0)</w:t>
            </w:r>
          </w:p>
        </w:tc>
        <w:tc>
          <w:tcPr>
            <w:tcW w:type="dxa" w:w="2160"/>
          </w:tcPr>
          <w:p>
            <w:pPr>
              <w:spacing w:before="40" w:after="40" w:line="240" w:lineRule="auto"/>
            </w:pPr>
            <w:r>
              <w:rPr>
                <w:rFonts w:ascii="Times New Roman" w:hAnsi="Times New Roman"/>
                <w:sz w:val="18"/>
              </w:rPr>
              <w:t>overwhelming (15.6 vs 9.2)</w:t>
            </w:r>
          </w:p>
        </w:tc>
      </w:tr>
      <w:tr>
        <w:tc>
          <w:tcPr>
            <w:tcW w:type="dxa" w:w="2160"/>
          </w:tcPr>
          <w:p>
            <w:pPr>
              <w:spacing w:before="40" w:after="40" w:line="240" w:lineRule="auto"/>
            </w:pPr>
            <w:r>
              <w:rPr>
                <w:rFonts w:ascii="Times New Roman" w:hAnsi="Times New Roman"/>
                <w:sz w:val="18"/>
              </w:rPr>
              <w:t>Real LLM</w:t>
            </w:r>
          </w:p>
        </w:tc>
        <w:tc>
          <w:tcPr>
            <w:tcW w:type="dxa" w:w="2160"/>
          </w:tcPr>
          <w:p>
            <w:pPr>
              <w:spacing w:before="40" w:after="40" w:line="240" w:lineRule="auto"/>
            </w:pPr>
            <w:r>
              <w:rPr>
                <w:rFonts w:ascii="Times New Roman" w:hAnsi="Times New Roman"/>
                <w:sz w:val="18"/>
              </w:rPr>
              <w:t>strategy-gene text</w:t>
            </w:r>
          </w:p>
        </w:tc>
        <w:tc>
          <w:tcPr>
            <w:tcW w:type="dxa" w:w="2160"/>
          </w:tcPr>
          <w:p>
            <w:pPr>
              <w:spacing w:before="40" w:after="40" w:line="240" w:lineRule="auto"/>
            </w:pPr>
            <w:r>
              <w:rPr>
                <w:rFonts w:ascii="Times New Roman" w:hAnsi="Times New Roman"/>
                <w:sz w:val="18"/>
              </w:rPr>
              <w:t>no signal (formal validation: zero climb in 4 generations; accepted architecture-type mutations average zero gain)</w:t>
            </w:r>
          </w:p>
        </w:tc>
        <w:tc>
          <w:tcPr>
            <w:tcW w:type="dxa" w:w="2160"/>
          </w:tcPr>
          <w:p>
            <w:pPr>
              <w:spacing w:before="40" w:after="40" w:line="240" w:lineRule="auto"/>
            </w:pPr>
            <w:r>
              <w:rPr>
                <w:rFonts w:ascii="Times New Roman" w:hAnsi="Times New Roman"/>
                <w:sz w:val="18"/>
              </w:rPr>
              <w:t>significant at 14B (+4.9, 9/10 seeds); absent at 30B after channel repair (+0.2, CI incl. 0); cargo value decays with stack</w:t>
            </w:r>
          </w:p>
        </w:tc>
      </w:tr>
    </w:tbl>
    <w:p/>
    <w:p>
      <w:r>
        <w:rPr>
          <w:rFonts w:ascii="Times New Roman" w:hAnsi="Times New Roman"/>
        </w:rPr>
        <w:t>Note: the first row is quoted from the companion paper (Paper A [16], real fruit-fly connectome experiments); architectural visibility decays with search-space scale while the directed channel's readout is unchanged across the four tested scales; row-1 values are subject to the companion paper's final published version.</w:t>
      </w:r>
    </w:p>
    <w:p>
      <w:r>
        <w:rPr>
          <w:rFonts w:ascii="Times New Roman" w:hAnsi="Times New Roman"/>
        </w:rPr>
        <w:t>The relation to existing theory needs explicit bounds. Genotype–phenotype mapping and mutational-accessibility theory have long noted that representation determines the reachable region of the fitness landscape, and that evolution itself imposes inductive biases and rewrites downstream learning dynamics [20]; the distinction of selection from drift rests on population genetics' neutral theory [21], and neutral code's effect on evolvability has empirical support in genetic programming [22]; Hinton and Nowlan's classic model showed learning can guide gene combinations invisible to selection [23]; neuroevolution from NEAT's topology augmentation [24] to deep neuroevolution's direct encodings [25] has long used architecture-level variation as its primary instrument; topology- and diversity-oriented searches such as novelty search [26] and MAP-Elites [27], together with the neural architecture search lineage (reinforcement-learning-based [28], evolutionary [29], differentiable [30]; survey [31]), have long faced the trade-off that larger changes are less likely to be accepted by selection, and the strength of random baselines in that field is well documented [32]; and the AI-generating-algorithms agenda [33], evolution through large models [34], and open-endedness position statements [35] cannot dodge the audit question of whether generated improvements are truly improvements. Statistical and benchmarking rigor deficits in evolutionary computation's own performance comparisons are likewise systematically documented [36,37], in the same direction as our fairness-lock design. Our contribution is not the claim "continuous parameters optimize more easily than discrete architecture" — largely a known search bias — but three things: quantifying that bias on a real neural connectome rather than artificial small graphs (Paper A [16]); separating "no solution" from "solution invisible" with solution-existence controls; and giving a transferable scheduling correction (directed channel + acceptance division) with two executable audit disciplines. Our results also bound that correction's applicability: when the cargo (the reference improvement itself) is not calibrated on the deployment stack, the directed channel is exactly as untrustworthy as general selection — this “cargo–stack relativity” is a new constraint beyond the original regularity, given by the formalized validation (the probes varied task set, token budget, and serving configuration jointly; the operative rule is re-calibration on the deployment configuration rather than stack-level extrapolation); and the three-arm batch and its format-constrained extension add one more: channel availability depends on the base model’s format compliance under the given self-report protocol and interface (42% directed-arm parse failure at 30B-A3B), and it is an engineering parameter — a grammar constraint repaired it to 0/100, after which the comparison became decidable and read as no advantage (+0.2, CI including zero). The source of cargo itself remains an open problem in this framework: candidate supplies include cross-stack transfer from stronger bases (to be recalibrated on the deployment stack), small amounts of high-quality human demonstration, and high-confidence automated channels with the acceptance guard as the final line of defense; whatever the source, the audit protocol of Eqs. (1)–(3) and the G0 gate apply before any channel is wired.</w:t>
      </w:r>
    </w:p>
    <w:p>
      <w:r>
        <w:rPr>
          <w:rFonts w:ascii="Times New Roman" w:hAnsi="Times New Roman"/>
        </w:rPr>
        <w:t>Limitations: the skill-graph substrate is small (at most 2,331 candidate edges) and the tasks are programmatic; the LLM-side multi-condition comparison was executed under preregistered criteria (two tiers × 10 seeds × 10 generations), but the verdict is limited to GEP-style programmatic task sets and two quantized tiers that differ in total parameters, active parameters, and architecture family (cross-tier differences must not be read as scale effects), and the 30B-A3B tier is indeterminate due to self-report parse failure — that tier is not evidence against a directed effect; the Gated condition is a simplified plateau gate, with no GEP six-stage version implemented; the "discovery vs repair" decoupling relies on single-edge-ablation calibration, and the reference edge set is not unique with highly heterogeneous edge criticality (the two deleted key edges each cost 15 points under single-edge ablation, while most reference edges cost only 1), so achievement rates must be reported jointly with the score threshold (Eq. 1).</w:t>
      </w:r>
    </w:p>
    <w:p>
      <w:pPr>
        <w:pStyle w:val="Heading2"/>
      </w:pPr>
      <w:r>
        <w:rPr>
          <w:rFonts w:ascii="Times New Roman" w:hAnsi="Times New Roman"/>
        </w:rPr>
        <w:t>5 Conclusions</w:t>
      </w:r>
    </w:p>
    <w:p>
      <w:r>
        <w:rPr>
          <w:rFonts w:ascii="Times New Roman" w:hAnsi="Times New Roman"/>
        </w:rPr>
        <w:t>On the skill-graph substrate, general selection's visibility of architectural improvements decayed monotonically with search-space scale across the four tested sizes, with the achievement rate falling to 0.167 at the largest tested scale; the division of labor — known architectural improvements supplied through a directed channel and accepted by general selection — held across all four tested scales; and self-modification progress claims without sham controls are untrustworthy. The division received a verdict-grade test on a real LLM: the directed advantage was significant at the 14B tier (+4.9, 9/10 seeds, robust to leave-one-out re-estimation) and absent at the 30B-A3B tier once the self-report channel was repaired by a grammar constraint (42% parse failure → 0/100; +0.2, 95% CI [−0.96, +1.36]; §3.5) — the channel’s availability is a repairable engineering parameter, and whether a repaired channel yields benefit is a separate question. These principles, quantified by controlled experiments, provide direct engineering guidance for the scheduling and auditing of recursively self-improving systems of the same class as the substrates studied here (discrete skill graphs / strategy-gene genotypes, programmatically verifiable tasks), and a portable audit protocol for self-evolving systems more generally; their cross-domain applicability remains to be tested on standard benchmarks.</w:t>
      </w:r>
    </w:p>
    <w:p>
      <w:r>
        <w:rPr>
          <w:rFonts w:ascii="Times New Roman" w:hAnsi="Times New Roman"/>
          <w:b/>
        </w:rPr>
        <w:t>Data and code availability.</w:t>
      </w:r>
      <w:r>
        <w:rPr>
          <w:rFonts w:ascii="Times New Roman" w:hAnsi="Times New Roman"/>
        </w:rPr>
        <w:t xml:space="preserve"> All experiments were produced by a checkpoint-and-resume automated pipeline on a real deployment stack (local llama-server; the three-arm verdict batch on Qwen3-30B-A3B-Instruct and Qwen3-14B). The skill-graph self-modification platform, scale-scan and three-factor scripts, per-run immutable event logs (mutation type, intent, pre/post validation scores, and acceptance decisions), all verdict JSONs, and the preregistered decision rules (including the post-hoc expansion batch exp_scale_curve_v2_seeds456) ship with the artifact package. The formalized validation's G0 cargo gate intercepted the original pipeline stack's multi-condition comparison under preregistered discipline; its probe readouts (g0_probe_v1tasks.json) and pipeline checkpoints (state.json) are released; the three-arm batch's verdict file (tj_b1_llm_verdict.json), the per-arm per-seed event files (events_{arm}_s{1–10}.json, 30 files per tier), and the model-selection and authorization records (TJ1-B1 execution authorization) are released, so that negative verdicts and indeterminacies are themselves auditable. The artifact-package snapshot (all scripts, per-run event logs, verdict JSONs, preregistration and authorization files, and figure source data) has been assembled with a SHA256 manifest (MANIFEST.sha256) and will be deposited on Zenodo with the DOI filled in at submission; the preprint will carry the same snapshot’s hash manifest for traceability.</w:t>
      </w:r>
    </w:p>
    <w:p>
      <w:pPr>
        <w:pStyle w:val="Heading2"/>
      </w:pPr>
      <w:r>
        <w:rPr>
          <w:rFonts w:ascii="Times New Roman" w:hAnsi="Times New Roman"/>
        </w:rPr>
        <w:t>Appendix A. Deviations and audit trail</w:t>
      </w:r>
    </w:p>
    <w:p>
      <w:r>
        <w:rPr>
          <w:rFonts w:ascii="Times New Roman" w:hAnsi="Times New Roman"/>
        </w:rPr>
        <w:t>The value of preregistration depends on whether deviations are rule-bound and whether they leave a trail. Table 6 summarizes all deviations from frozen text in this work and their disposition; apart from the listed items, the frozen criteria themselves (SHA256 b2b05c0d…72939) have not changed by one character since the freeze (2026-09-22), and their frozen status, unlocking authorization, and per-item trail files all ship with the artifact package; every entry is cross-checkable against timestamped files in the package (batch_console.log, TJ1_batch_progress.md).</w:t>
      </w:r>
    </w:p>
    <w:p>
      <w:pPr>
        <w:spacing w:after="160" w:line="240" w:lineRule="auto"/>
      </w:pPr>
      <w:r>
        <w:rPr>
          <w:rFonts w:ascii="Times New Roman" w:hAnsi="Times New Roman"/>
          <w:b/>
          <w:sz w:val="18"/>
        </w:rPr>
        <w:t>Table 6. Deviations and audit trail.</w:t>
      </w:r>
    </w:p>
    <w:tbl>
      <w:tblPr>
        <w:tblStyle w:val="TableGrid"/>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Column="1" w:firstRow="1" w:lastColumn="0" w:lastRow="0" w:noHBand="0" w:noVBand="1" w:val="04A0"/>
      </w:tblPr>
      <w:tblGrid>
        <w:gridCol w:w="2880"/>
        <w:gridCol w:w="2880"/>
        <w:gridCol w:w="2880"/>
      </w:tblGrid>
      <w:tr>
        <w:tc>
          <w:tcPr>
            <w:tcW w:type="dxa" w:w="2880"/>
            <w:tcBorders>
              <w:bottom w:val="single" w:sz="6" w:space="0" w:color="000000"/>
            </w:tcBorders>
          </w:tcPr>
          <w:p>
            <w:pPr>
              <w:spacing w:before="40" w:after="40" w:line="240" w:lineRule="auto"/>
            </w:pPr>
            <w:r>
              <w:rPr>
                <w:rFonts w:ascii="Times New Roman" w:hAnsi="Times New Roman"/>
                <w:b/>
                <w:sz w:val="18"/>
              </w:rPr>
              <w:t>Deviation</w:t>
            </w:r>
          </w:p>
        </w:tc>
        <w:tc>
          <w:tcPr>
            <w:tcW w:type="dxa" w:w="2880"/>
            <w:tcBorders>
              <w:bottom w:val="single" w:sz="6" w:space="0" w:color="000000"/>
            </w:tcBorders>
          </w:tcPr>
          <w:p>
            <w:pPr>
              <w:spacing w:before="40" w:after="40" w:line="240" w:lineRule="auto"/>
            </w:pPr>
            <w:r>
              <w:rPr>
                <w:rFonts w:ascii="Times New Roman" w:hAnsi="Times New Roman"/>
                <w:b/>
                <w:sz w:val="18"/>
              </w:rPr>
              <w:t>Frozen / preregistered text</w:t>
            </w:r>
          </w:p>
        </w:tc>
        <w:tc>
          <w:tcPr>
            <w:tcW w:type="dxa" w:w="2880"/>
            <w:tcBorders>
              <w:bottom w:val="single" w:sz="6" w:space="0" w:color="000000"/>
            </w:tcBorders>
          </w:tcPr>
          <w:p>
            <w:pPr>
              <w:spacing w:before="40" w:after="40" w:line="240" w:lineRule="auto"/>
            </w:pPr>
            <w:r>
              <w:rPr>
                <w:rFonts w:ascii="Times New Roman" w:hAnsi="Times New Roman"/>
                <w:b/>
                <w:sz w:val="18"/>
              </w:rPr>
              <w:t>Actual execution and trail</w:t>
            </w:r>
          </w:p>
        </w:tc>
      </w:tr>
      <w:tr>
        <w:tc>
          <w:tcPr>
            <w:tcW w:type="dxa" w:w="2880"/>
          </w:tcPr>
          <w:p>
            <w:pPr>
              <w:spacing w:before="40" w:after="40" w:line="240" w:lineRule="auto"/>
            </w:pPr>
            <w:r>
              <w:rPr>
                <w:rFonts w:ascii="Times New Roman" w:hAnsi="Times New Roman"/>
                <w:sz w:val="18"/>
              </w:rPr>
              <w:t>B1 model list</w:t>
            </w:r>
          </w:p>
        </w:tc>
        <w:tc>
          <w:tcPr>
            <w:tcW w:type="dxa" w:w="2880"/>
          </w:tcPr>
          <w:p>
            <w:pPr>
              <w:spacing w:before="40" w:after="40" w:line="240" w:lineRule="auto"/>
            </w:pPr>
            <w:r>
              <w:rPr>
                <w:rFonts w:ascii="Times New Roman" w:hAnsi="Times New Roman"/>
                <w:sz w:val="18"/>
              </w:rPr>
              <w:t>qwen3-8b / gpt-oss-20b / qwen3-30b-a3b (frozen JSON planned_design)</w:t>
            </w:r>
          </w:p>
        </w:tc>
        <w:tc>
          <w:tcPr>
            <w:tcW w:type="dxa" w:w="2880"/>
          </w:tcPr>
          <w:p>
            <w:pPr>
              <w:spacing w:before="40" w:after="40" w:line="240" w:lineRule="auto"/>
            </w:pPr>
            <w:r>
              <w:rPr>
                <w:rFonts w:ascii="Times New Roman" w:hAnsi="Times New Roman"/>
                <w:sz w:val="18"/>
              </w:rPr>
              <w:t>qwen3-30b-a3b + qwen3-14b. 8B does not exist on this machine; gpt-oss-20b conflicts with the "Qwen3 family" authorization; Qwen3.8-27B excluded for IQ3_S recompression stacked on a non-standard fine-tune. Full record in the execution authorization file</w:t>
            </w:r>
          </w:p>
        </w:tc>
      </w:tr>
      <w:tr>
        <w:tc>
          <w:tcPr>
            <w:tcW w:type="dxa" w:w="2880"/>
          </w:tcPr>
          <w:p>
            <w:pPr>
              <w:spacing w:before="40" w:after="40" w:line="240" w:lineRule="auto"/>
            </w:pPr>
            <w:r>
              <w:rPr>
                <w:rFonts w:ascii="Times New Roman" w:hAnsi="Times New Roman"/>
                <w:sz w:val="18"/>
              </w:rPr>
              <w:t>B1 frozen status</w:t>
            </w:r>
          </w:p>
        </w:tc>
        <w:tc>
          <w:tcPr>
            <w:tcW w:type="dxa" w:w="2880"/>
          </w:tcPr>
          <w:p>
            <w:pPr>
              <w:spacing w:before="40" w:after="40" w:line="240" w:lineRule="auto"/>
            </w:pPr>
            <w:r>
              <w:rPr>
                <w:rFonts w:ascii="Times New Roman" w:hAnsi="Times New Roman"/>
                <w:sz w:val="18"/>
              </w:rPr>
              <w:t>CONDITIONAL (llama-server not running; token budget and model list not fixed)</w:t>
            </w:r>
          </w:p>
        </w:tc>
        <w:tc>
          <w:tcPr>
            <w:tcW w:type="dxa" w:w="2880"/>
          </w:tcPr>
          <w:p>
            <w:pPr>
              <w:spacing w:before="40" w:after="40" w:line="240" w:lineRule="auto"/>
            </w:pPr>
            <w:r>
              <w:rPr>
                <w:rFonts w:ascii="Times New Roman" w:hAnsi="Times New Roman"/>
                <w:sz w:val="18"/>
              </w:rPr>
              <w:t>Unlocked by written authorization on 2026-09-22 (Qwen3 family, uncapped tokens); frozen criteria unchanged by one character</w:t>
            </w:r>
          </w:p>
        </w:tc>
      </w:tr>
      <w:tr>
        <w:tc>
          <w:tcPr>
            <w:tcW w:type="dxa" w:w="2880"/>
          </w:tcPr>
          <w:p>
            <w:pPr>
              <w:spacing w:before="40" w:after="40" w:line="240" w:lineRule="auto"/>
            </w:pPr>
            <w:r>
              <w:rPr>
                <w:rFonts w:ascii="Times New Roman" w:hAnsi="Times New Roman"/>
                <w:sz w:val="18"/>
              </w:rPr>
              <w:t>TOST margin and NOISE ratio</w:t>
            </w:r>
          </w:p>
        </w:tc>
        <w:tc>
          <w:tcPr>
            <w:tcW w:type="dxa" w:w="2880"/>
          </w:tcPr>
          <w:p>
            <w:pPr>
              <w:spacing w:before="40" w:after="40" w:line="240" w:lineRule="auto"/>
            </w:pPr>
            <w:r>
              <w:rPr>
                <w:rFonts w:ascii="Times New Roman" w:hAnsi="Times New Roman"/>
                <w:sz w:val="18"/>
              </w:rPr>
              <w:t>Frozen JSON fixed the criterion names but not the threshold values</w:t>
            </w:r>
          </w:p>
        </w:tc>
        <w:tc>
          <w:tcPr>
            <w:tcW w:type="dxa" w:w="2880"/>
          </w:tcPr>
          <w:p>
            <w:pPr>
              <w:spacing w:before="40" w:after="40" w:line="240" w:lineRule="auto"/>
            </w:pPr>
            <w:r>
              <w:rPr>
                <w:rFonts w:ascii="Times New Roman" w:hAnsi="Times New Roman"/>
                <w:sz w:val="18"/>
              </w:rPr>
              <w:t>Δ = 1 task (one of the 20-task test score), 10×; operationalization archived in the verdict JSON; the 30B-tier TOST power limitation is disclosed in §3.5</w:t>
            </w:r>
          </w:p>
        </w:tc>
      </w:tr>
      <w:tr>
        <w:tc>
          <w:tcPr>
            <w:tcW w:type="dxa" w:w="2880"/>
          </w:tcPr>
          <w:p>
            <w:pPr>
              <w:spacing w:before="40" w:after="40" w:line="240" w:lineRule="auto"/>
            </w:pPr>
            <w:r>
              <w:rPr>
                <w:rFonts w:ascii="Times New Roman" w:hAnsi="Times New Roman"/>
                <w:sz w:val="18"/>
              </w:rPr>
              <w:t>Task-generator clist-family defect</w:t>
            </w:r>
          </w:p>
        </w:tc>
        <w:tc>
          <w:tcPr>
            <w:tcW w:type="dxa" w:w="2880"/>
          </w:tcPr>
          <w:p>
            <w:pPr>
              <w:spacing w:before="40" w:after="40" w:line="240" w:lineRule="auto"/>
            </w:pPr>
            <w:r>
              <w:rPr>
                <w:rFonts w:ascii="Times New Roman" w:hAnsi="Times New Roman"/>
                <w:sz w:val="18"/>
              </w:rPr>
              <w:t>The formal pipeline script could not pass its own self-check as written (8 tasks drawn from 5 g-tiers, pigeonhole conflict)</w:t>
            </w:r>
          </w:p>
        </w:tc>
        <w:tc>
          <w:tcPr>
            <w:tcW w:type="dxa" w:w="2880"/>
          </w:tcPr>
          <w:p>
            <w:pPr>
              <w:spacing w:before="40" w:after="40" w:line="240" w:lineRule="auto"/>
            </w:pPr>
            <w:r>
              <w:rPr>
                <w:rFonts w:ascii="Times New Roman" w:hAnsi="Times New Roman"/>
                <w:sz w:val="18"/>
              </w:rPr>
              <w:t>Fixed pre-launch in tj_run_b1_llm.py (g changed to randint(12, 24)), regression-tested against the preregistered comment intent; the batch runner (tj_run_b1_llm.py) implements the corrected generation while the frozen formal pipeline script (exp_gep_llm_formal.py) was left unmodified as the design of record (authorization file §6)</w:t>
            </w:r>
          </w:p>
        </w:tc>
      </w:tr>
      <w:tr>
        <w:tc>
          <w:tcPr>
            <w:tcW w:type="dxa" w:w="2880"/>
          </w:tcPr>
          <w:p>
            <w:pPr>
              <w:spacing w:before="40" w:after="40" w:line="240" w:lineRule="auto"/>
            </w:pPr>
            <w:r>
              <w:rPr>
                <w:rFonts w:ascii="Times New Roman" w:hAnsi="Times New Roman"/>
                <w:sz w:val="18"/>
              </w:rPr>
              <w:t>Scale-scan seed expansion</w:t>
            </w:r>
          </w:p>
        </w:tc>
        <w:tc>
          <w:tcPr>
            <w:tcW w:type="dxa" w:w="2880"/>
          </w:tcPr>
          <w:p>
            <w:pPr>
              <w:spacing w:before="40" w:after="40" w:line="240" w:lineRule="auto"/>
            </w:pPr>
            <w:r>
              <w:rPr>
                <w:rFonts w:ascii="Times New Roman" w:hAnsi="Times New Roman"/>
                <w:sz w:val="18"/>
              </w:rPr>
              <w:t>Preregistered seeds 1–3</w:t>
            </w:r>
          </w:p>
        </w:tc>
        <w:tc>
          <w:tcPr>
            <w:tcW w:type="dxa" w:w="2880"/>
          </w:tcPr>
          <w:p>
            <w:pPr>
              <w:spacing w:before="40" w:after="40" w:line="240" w:lineRule="auto"/>
            </w:pPr>
            <w:r>
              <w:rPr>
                <w:rFonts w:ascii="Times New Roman" w:hAnsi="Times New Roman"/>
                <w:sz w:val="18"/>
              </w:rPr>
              <w:t>Post-hoc expansion seeds 4–6 triggered during review, criteria and protocol unchanged, separate batch archived (exp_scale_curve_v2_seeds456), merged and reported (§3.3 boundary statement)</w:t>
            </w:r>
          </w:p>
        </w:tc>
      </w:tr>
      <w:tr>
        <w:tc>
          <w:tcPr>
            <w:tcW w:type="dxa" w:w="2880"/>
          </w:tcPr>
          <w:p>
            <w:pPr>
              <w:spacing w:before="40" w:after="40" w:line="240" w:lineRule="auto"/>
            </w:pPr>
            <w:r>
              <w:rPr>
                <w:rFonts w:ascii="Times New Roman" w:hAnsi="Times New Roman"/>
                <w:sz w:val="18"/>
              </w:rPr>
              <w:t>Metric retirement</w:t>
            </w:r>
          </w:p>
        </w:tc>
        <w:tc>
          <w:tcPr>
            <w:tcW w:type="dxa" w:w="2880"/>
          </w:tcPr>
          <w:p>
            <w:pPr>
              <w:spacing w:before="40" w:after="40" w:line="240" w:lineRule="auto"/>
            </w:pPr>
            <w:r>
              <w:rPr>
                <w:rFonts w:ascii="Times New Roman" w:hAnsi="Times New Roman"/>
                <w:sz w:val="18"/>
              </w:rPr>
              <w:t>v1 scale-curve preregistered metric DECAY_NOT_OBSERVED</w:t>
            </w:r>
          </w:p>
        </w:tc>
        <w:tc>
          <w:tcPr>
            <w:tcW w:type="dxa" w:w="2880"/>
          </w:tcPr>
          <w:p>
            <w:pPr>
              <w:spacing w:before="40" w:after="40" w:line="240" w:lineRule="auto"/>
            </w:pPr>
            <w:r>
              <w:rPr>
                <w:rFonts w:ascii="Times New Roman" w:hAnsi="Times New Roman"/>
                <w:sz w:val="18"/>
              </w:rPr>
              <w:t>Retired with its record preserved, readouts no longer cited; decay conclusions re-based on the v2 protocol (§2.2)</w:t>
            </w:r>
          </w:p>
        </w:tc>
      </w:tr>
    </w:tbl>
    <w:p/>
    <w:p>
      <w:pPr>
        <w:pStyle w:val="Heading2"/>
      </w:pPr>
      <w:r>
        <w:rPr>
          <w:rFonts w:ascii="Times New Roman" w:hAnsi="Times New Roman"/>
        </w:rPr>
        <w:t>Appendix B. Glossary of terms and code names</w:t>
      </w:r>
    </w:p>
    <w:tbl>
      <w:tblPr>
        <w:tblStyle w:val="TableGrid"/>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Column="1" w:firstRow="1" w:lastColumn="0" w:lastRow="0" w:noHBand="0" w:noVBand="1" w:val="04A0"/>
      </w:tblPr>
      <w:tblGrid>
        <w:gridCol w:w="4320"/>
        <w:gridCol w:w="4320"/>
      </w:tblGrid>
      <w:tr>
        <w:tc>
          <w:tcPr>
            <w:tcW w:type="dxa" w:w="4320"/>
            <w:tcBorders>
              <w:bottom w:val="single" w:sz="6" w:space="0" w:color="000000"/>
            </w:tcBorders>
          </w:tcPr>
          <w:p>
            <w:pPr>
              <w:spacing w:before="40" w:after="40" w:line="240" w:lineRule="auto"/>
            </w:pPr>
            <w:r>
              <w:rPr>
                <w:rFonts w:ascii="Times New Roman" w:hAnsi="Times New Roman"/>
                <w:b/>
                <w:sz w:val="18"/>
              </w:rPr>
              <w:t>Term</w:t>
            </w:r>
          </w:p>
        </w:tc>
        <w:tc>
          <w:tcPr>
            <w:tcW w:type="dxa" w:w="4320"/>
            <w:tcBorders>
              <w:bottom w:val="single" w:sz="6" w:space="0" w:color="000000"/>
            </w:tcBorders>
          </w:tcPr>
          <w:p>
            <w:pPr>
              <w:spacing w:before="40" w:after="40" w:line="240" w:lineRule="auto"/>
            </w:pPr>
            <w:r>
              <w:rPr>
                <w:rFonts w:ascii="Times New Roman" w:hAnsi="Times New Roman"/>
                <w:b/>
                <w:sz w:val="18"/>
              </w:rPr>
              <w:t>Meaning</w:t>
            </w:r>
          </w:p>
        </w:tc>
      </w:tr>
      <w:tr>
        <w:tc>
          <w:tcPr>
            <w:tcW w:type="dxa" w:w="4320"/>
          </w:tcPr>
          <w:p>
            <w:pPr>
              <w:spacing w:before="40" w:after="40" w:line="240" w:lineRule="auto"/>
            </w:pPr>
            <w:r>
              <w:rPr>
                <w:rFonts w:ascii="Times New Roman" w:hAnsi="Times New Roman"/>
                <w:sz w:val="18"/>
              </w:rPr>
              <w:t>Strategy gene</w:t>
            </w:r>
          </w:p>
        </w:tc>
        <w:tc>
          <w:tcPr>
            <w:tcW w:type="dxa" w:w="4320"/>
          </w:tcPr>
          <w:p>
            <w:pPr>
              <w:spacing w:before="40" w:after="40" w:line="240" w:lineRule="auto"/>
            </w:pPr>
            <w:r>
              <w:rPr>
                <w:rFonts w:ascii="Times New Roman" w:hAnsi="Times New Roman"/>
                <w:sz w:val="18"/>
              </w:rPr>
              <w:t>the text genome a mutator edits (strategy / avoid / constraints sections)</w:t>
            </w:r>
          </w:p>
        </w:tc>
      </w:tr>
      <w:tr>
        <w:tc>
          <w:tcPr>
            <w:tcW w:type="dxa" w:w="4320"/>
          </w:tcPr>
          <w:p>
            <w:pPr>
              <w:spacing w:before="40" w:after="40" w:line="240" w:lineRule="auto"/>
            </w:pPr>
            <w:r>
              <w:rPr>
                <w:rFonts w:ascii="Times New Roman" w:hAnsi="Times New Roman"/>
                <w:sz w:val="18"/>
              </w:rPr>
              <w:t>Cargo</w:t>
            </w:r>
          </w:p>
        </w:tc>
        <w:tc>
          <w:tcPr>
            <w:tcW w:type="dxa" w:w="4320"/>
          </w:tcPr>
          <w:p>
            <w:pPr>
              <w:spacing w:before="40" w:after="40" w:line="240" w:lineRule="auto"/>
            </w:pPr>
            <w:r>
              <w:rPr>
                <w:rFonts w:ascii="Times New Roman" w:hAnsi="Times New Roman"/>
                <w:sz w:val="18"/>
              </w:rPr>
              <w:t>the reference improvement a channel supplies; here the hand-wired expert reference gene</w:t>
            </w:r>
          </w:p>
        </w:tc>
      </w:tr>
      <w:tr>
        <w:tc>
          <w:tcPr>
            <w:tcW w:type="dxa" w:w="4320"/>
          </w:tcPr>
          <w:p>
            <w:pPr>
              <w:spacing w:before="40" w:after="40" w:line="240" w:lineRule="auto"/>
            </w:pPr>
            <w:r>
              <w:rPr>
                <w:rFonts w:ascii="Times New Roman" w:hAnsi="Times New Roman"/>
                <w:sz w:val="18"/>
              </w:rPr>
              <w:t>Directed channel</w:t>
            </w:r>
          </w:p>
        </w:tc>
        <w:tc>
          <w:tcPr>
            <w:tcW w:type="dxa" w:w="4320"/>
          </w:tcPr>
          <w:p>
            <w:pPr>
              <w:spacing w:before="40" w:after="40" w:line="240" w:lineRule="auto"/>
            </w:pPr>
            <w:r>
              <w:rPr>
                <w:rFonts w:ascii="Times New Roman" w:hAnsi="Times New Roman"/>
                <w:sz w:val="18"/>
              </w:rPr>
              <w:t>installs a known solution (reference edge set / reference gene); general selection only accepts and tunes</w:t>
            </w:r>
          </w:p>
        </w:tc>
      </w:tr>
      <w:tr>
        <w:tc>
          <w:tcPr>
            <w:tcW w:type="dxa" w:w="4320"/>
          </w:tcPr>
          <w:p>
            <w:pPr>
              <w:spacing w:before="40" w:after="40" w:line="240" w:lineRule="auto"/>
            </w:pPr>
            <w:r>
              <w:rPr>
                <w:rFonts w:ascii="Times New Roman" w:hAnsi="Times New Roman"/>
                <w:sz w:val="18"/>
              </w:rPr>
              <w:t>Sham</w:t>
            </w:r>
          </w:p>
        </w:tc>
        <w:tc>
          <w:tcPr>
            <w:tcW w:type="dxa" w:w="4320"/>
          </w:tcPr>
          <w:p>
            <w:pPr>
              <w:spacing w:before="40" w:after="40" w:line="240" w:lineRule="auto"/>
            </w:pPr>
            <w:r>
              <w:rPr>
                <w:rFonts w:ascii="Times New Roman" w:hAnsi="Times New Roman"/>
                <w:sz w:val="18"/>
              </w:rPr>
              <w:t>programmatic random mutations from the same operator distribution; the drift control</w:t>
            </w:r>
          </w:p>
        </w:tc>
      </w:tr>
      <w:tr>
        <w:tc>
          <w:tcPr>
            <w:tcW w:type="dxa" w:w="4320"/>
          </w:tcPr>
          <w:p>
            <w:pPr>
              <w:spacing w:before="40" w:after="40" w:line="240" w:lineRule="auto"/>
            </w:pPr>
            <w:r>
              <w:rPr>
                <w:rFonts w:ascii="Times New Roman" w:hAnsi="Times New Roman"/>
                <w:sz w:val="18"/>
              </w:rPr>
              <w:t>G0 (cargo gate)</w:t>
            </w:r>
          </w:p>
        </w:tc>
        <w:tc>
          <w:tcPr>
            <w:tcW w:type="dxa" w:w="4320"/>
          </w:tcPr>
          <w:p>
            <w:pPr>
              <w:spacing w:before="40" w:after="40" w:line="240" w:lineRule="auto"/>
            </w:pPr>
            <w:r>
              <w:rPr>
                <w:rFonts w:ascii="Times New Roman" w:hAnsi="Times New Roman"/>
                <w:sz w:val="18"/>
              </w:rPr>
              <w:t>preflight check that the reference gene beats the naive gene on the 12 validation tasks; in the batch it is recorded and warns rather than blocks</w:t>
            </w:r>
          </w:p>
        </w:tc>
      </w:tr>
      <w:tr>
        <w:tc>
          <w:tcPr>
            <w:tcW w:type="dxa" w:w="4320"/>
          </w:tcPr>
          <w:p>
            <w:pPr>
              <w:spacing w:before="40" w:after="40" w:line="240" w:lineRule="auto"/>
            </w:pPr>
            <w:r>
              <w:rPr>
                <w:rFonts w:ascii="Times New Roman" w:hAnsi="Times New Roman"/>
                <w:sz w:val="18"/>
              </w:rPr>
              <w:t>W</w:t>
            </w:r>
          </w:p>
        </w:tc>
        <w:tc>
          <w:tcPr>
            <w:tcW w:type="dxa" w:w="4320"/>
          </w:tcPr>
          <w:p>
            <w:pPr>
              <w:spacing w:before="40" w:after="40" w:line="240" w:lineRule="auto"/>
            </w:pPr>
            <w:r>
              <w:rPr>
                <w:rFonts w:ascii="Times New Roman" w:hAnsi="Times New Roman"/>
                <w:sz w:val="18"/>
              </w:rPr>
              <w:t>number of candidate edges in the skill graph (35 to 2,331)</w:t>
            </w:r>
          </w:p>
        </w:tc>
      </w:tr>
      <w:tr>
        <w:tc>
          <w:tcPr>
            <w:tcW w:type="dxa" w:w="4320"/>
          </w:tcPr>
          <w:p>
            <w:pPr>
              <w:spacing w:before="40" w:after="40" w:line="240" w:lineRule="auto"/>
            </w:pPr>
            <w:r>
              <w:rPr>
                <w:rFonts w:ascii="Times New Roman" w:hAnsi="Times New Roman"/>
                <w:sz w:val="18"/>
              </w:rPr>
              <w:t>F, p_flip</w:t>
            </w:r>
          </w:p>
        </w:tc>
        <w:tc>
          <w:tcPr>
            <w:tcW w:type="dxa" w:w="4320"/>
          </w:tcPr>
          <w:p>
            <w:pPr>
              <w:spacing w:before="40" w:after="40" w:line="240" w:lineRule="auto"/>
            </w:pPr>
            <w:r>
              <w:rPr>
                <w:rFonts w:ascii="Times New Roman" w:hAnsi="Times New Roman"/>
                <w:sz w:val="18"/>
              </w:rPr>
              <w:t>absolute flips per genome and per-edge flip probability (Eq. 2)</w:t>
            </w:r>
          </w:p>
        </w:tc>
      </w:tr>
      <w:tr>
        <w:tc>
          <w:tcPr>
            <w:tcW w:type="dxa" w:w="4320"/>
          </w:tcPr>
          <w:p>
            <w:pPr>
              <w:spacing w:before="40" w:after="40" w:line="240" w:lineRule="auto"/>
            </w:pPr>
            <w:r>
              <w:rPr>
                <w:rFonts w:ascii="Times New Roman" w:hAnsi="Times New Roman"/>
                <w:sz w:val="18"/>
              </w:rPr>
              <w:t>Achievement rate</w:t>
            </w:r>
          </w:p>
        </w:tc>
        <w:tc>
          <w:tcPr>
            <w:tcW w:type="dxa" w:w="4320"/>
          </w:tcPr>
          <w:p>
            <w:pPr>
              <w:spacing w:before="40" w:after="40" w:line="240" w:lineRule="auto"/>
            </w:pPr>
            <w:r>
              <w:rPr>
                <w:rFonts w:ascii="Times New Roman" w:hAnsi="Times New Roman"/>
                <w:sz w:val="18"/>
              </w:rPr>
              <w:t>recovered = removed edge back ON and final score at the full solution (Eq. 1)</w:t>
            </w:r>
          </w:p>
        </w:tc>
      </w:tr>
      <w:tr>
        <w:tc>
          <w:tcPr>
            <w:tcW w:type="dxa" w:w="4320"/>
          </w:tcPr>
          <w:p>
            <w:pPr>
              <w:spacing w:before="40" w:after="40" w:line="240" w:lineRule="auto"/>
            </w:pPr>
            <w:r>
              <w:rPr>
                <w:rFonts w:ascii="Times New Roman" w:hAnsi="Times New Roman"/>
                <w:sz w:val="18"/>
              </w:rPr>
              <w:t>Retention rate</w:t>
            </w:r>
          </w:p>
        </w:tc>
        <w:tc>
          <w:tcPr>
            <w:tcW w:type="dxa" w:w="4320"/>
          </w:tcPr>
          <w:p>
            <w:pPr>
              <w:spacing w:before="40" w:after="40" w:line="240" w:lineRule="auto"/>
            </w:pPr>
            <w:r>
              <w:rPr>
                <w:rFonts w:ascii="Times New Roman" w:hAnsi="Times New Roman"/>
                <w:sz w:val="18"/>
              </w:rPr>
              <w:t>population fraction retaining the reference edge set</w:t>
            </w:r>
          </w:p>
        </w:tc>
      </w:tr>
      <w:tr>
        <w:tc>
          <w:tcPr>
            <w:tcW w:type="dxa" w:w="4320"/>
          </w:tcPr>
          <w:p>
            <w:pPr>
              <w:spacing w:before="40" w:after="40" w:line="240" w:lineRule="auto"/>
            </w:pPr>
            <w:r>
              <w:rPr>
                <w:rFonts w:ascii="Times New Roman" w:hAnsi="Times New Roman"/>
                <w:sz w:val="18"/>
              </w:rPr>
              <w:t>naive-arch / naive-joint / param-only</w:t>
            </w:r>
          </w:p>
        </w:tc>
        <w:tc>
          <w:tcPr>
            <w:tcW w:type="dxa" w:w="4320"/>
          </w:tcPr>
          <w:p>
            <w:pPr>
              <w:spacing w:before="40" w:after="40" w:line="240" w:lineRule="auto"/>
            </w:pPr>
            <w:r>
              <w:rPr>
                <w:rFonts w:ascii="Times New Roman" w:hAnsi="Times New Roman"/>
                <w:sz w:val="18"/>
              </w:rPr>
              <w:t>architecture free with parameters pinned / both layers free / architecture frozen</w:t>
            </w:r>
          </w:p>
        </w:tc>
      </w:tr>
      <w:tr>
        <w:tc>
          <w:tcPr>
            <w:tcW w:type="dxa" w:w="4320"/>
          </w:tcPr>
          <w:p>
            <w:pPr>
              <w:spacing w:before="40" w:after="40" w:line="240" w:lineRule="auto"/>
            </w:pPr>
            <w:r>
              <w:rPr>
                <w:rFonts w:ascii="Times New Roman" w:hAnsi="Times New Roman"/>
                <w:sz w:val="18"/>
              </w:rPr>
              <w:t>Arms</w:t>
            </w:r>
          </w:p>
        </w:tc>
        <w:tc>
          <w:tcPr>
            <w:tcW w:type="dxa" w:w="4320"/>
          </w:tcPr>
          <w:p>
            <w:pPr>
              <w:spacing w:before="40" w:after="40" w:line="240" w:lineRule="auto"/>
            </w:pPr>
            <w:r>
              <w:rPr>
                <w:rFonts w:ascii="Times New Roman" w:hAnsi="Times New Roman"/>
                <w:sz w:val="18"/>
              </w:rPr>
              <w:t>directed / sham / naive in the LLM batch</w:t>
            </w:r>
          </w:p>
        </w:tc>
      </w:tr>
      <w:tr>
        <w:tc>
          <w:tcPr>
            <w:tcW w:type="dxa" w:w="4320"/>
          </w:tcPr>
          <w:p>
            <w:pPr>
              <w:spacing w:before="40" w:after="40" w:line="240" w:lineRule="auto"/>
            </w:pPr>
            <w:r>
              <w:rPr>
                <w:rFonts w:ascii="Times New Roman" w:hAnsi="Times New Roman"/>
                <w:sz w:val="18"/>
              </w:rPr>
              <w:t>Tiers</w:t>
            </w:r>
          </w:p>
        </w:tc>
        <w:tc>
          <w:tcPr>
            <w:tcW w:type="dxa" w:w="4320"/>
          </w:tcPr>
          <w:p>
            <w:pPr>
              <w:spacing w:before="40" w:after="40" w:line="240" w:lineRule="auto"/>
            </w:pPr>
            <w:r>
              <w:rPr>
                <w:rFonts w:ascii="Times New Roman" w:hAnsi="Times New Roman"/>
                <w:sz w:val="18"/>
              </w:rPr>
              <w:t>qwen3-14b and qwen3-instruct-30b base-model tiers</w:t>
            </w:r>
          </w:p>
        </w:tc>
      </w:tr>
      <w:tr>
        <w:tc>
          <w:tcPr>
            <w:tcW w:type="dxa" w:w="4320"/>
          </w:tcPr>
          <w:p>
            <w:pPr>
              <w:spacing w:before="40" w:after="40" w:line="240" w:lineRule="auto"/>
            </w:pPr>
            <w:r>
              <w:rPr>
                <w:rFonts w:ascii="Times New Roman" w:hAnsi="Times New Roman"/>
                <w:sz w:val="18"/>
              </w:rPr>
              <w:t>S1–S4</w:t>
            </w:r>
          </w:p>
        </w:tc>
        <w:tc>
          <w:tcPr>
            <w:tcW w:type="dxa" w:w="4320"/>
          </w:tcPr>
          <w:p>
            <w:pPr>
              <w:spacing w:before="40" w:after="40" w:line="240" w:lineRule="auto"/>
            </w:pPr>
            <w:r>
              <w:rPr>
                <w:rFonts w:ascii="Times New Roman" w:hAnsi="Times New Roman"/>
                <w:sz w:val="18"/>
              </w:rPr>
              <w:t>pipeline-validation criteria: determinism, G0 cargo gate, climb authenticity, cost</w:t>
            </w:r>
          </w:p>
        </w:tc>
      </w:tr>
      <w:tr>
        <w:tc>
          <w:tcPr>
            <w:tcW w:type="dxa" w:w="4320"/>
          </w:tcPr>
          <w:p>
            <w:pPr>
              <w:spacing w:before="40" w:after="40" w:line="240" w:lineRule="auto"/>
            </w:pPr>
            <w:r>
              <w:rPr>
                <w:rFonts w:ascii="Times New Roman" w:hAnsi="Times New Roman"/>
                <w:sz w:val="18"/>
              </w:rPr>
              <w:t>B1_DIRECTED_WINS / B1_INCONCLUSIVE / B1_EQUIV / B1_NOISE</w:t>
            </w:r>
          </w:p>
        </w:tc>
        <w:tc>
          <w:tcPr>
            <w:tcW w:type="dxa" w:w="4320"/>
          </w:tcPr>
          <w:p>
            <w:pPr>
              <w:spacing w:before="40" w:after="40" w:line="240" w:lineRule="auto"/>
            </w:pPr>
            <w:r>
              <w:rPr>
                <w:rFonts w:ascii="Times New Roman" w:hAnsi="Times New Roman"/>
                <w:sz w:val="18"/>
              </w:rPr>
              <w:t>frozen verdict codes of the three-arm batch</w:t>
            </w:r>
          </w:p>
        </w:tc>
      </w:tr>
      <w:tr>
        <w:tc>
          <w:tcPr>
            <w:tcW w:type="dxa" w:w="4320"/>
          </w:tcPr>
          <w:p>
            <w:pPr>
              <w:spacing w:before="40" w:after="40" w:line="240" w:lineRule="auto"/>
            </w:pPr>
            <w:r>
              <w:rPr>
                <w:rFonts w:ascii="Times New Roman" w:hAnsi="Times New Roman"/>
                <w:sz w:val="18"/>
              </w:rPr>
              <w:t>DECAY_NOT_OBSERVED</w:t>
            </w:r>
          </w:p>
        </w:tc>
        <w:tc>
          <w:tcPr>
            <w:tcW w:type="dxa" w:w="4320"/>
          </w:tcPr>
          <w:p>
            <w:pPr>
              <w:spacing w:before="40" w:after="40" w:line="240" w:lineRule="auto"/>
            </w:pPr>
            <w:r>
              <w:rPr>
                <w:rFonts w:ascii="Times New Roman" w:hAnsi="Times New Roman"/>
                <w:sz w:val="18"/>
              </w:rPr>
              <w:t>retired v1 scale-curve metric (audit trail preserved)</w:t>
            </w:r>
          </w:p>
        </w:tc>
      </w:tr>
      <w:tr>
        <w:tc>
          <w:tcPr>
            <w:tcW w:type="dxa" w:w="4320"/>
          </w:tcPr>
          <w:p>
            <w:pPr>
              <w:spacing w:before="40" w:after="40" w:line="240" w:lineRule="auto"/>
            </w:pPr>
            <w:r>
              <w:rPr>
                <w:rFonts w:ascii="Times New Roman" w:hAnsi="Times New Roman"/>
                <w:sz w:val="18"/>
              </w:rPr>
              <w:t>ASYMMETRY_REPLICATED</w:t>
            </w:r>
          </w:p>
        </w:tc>
        <w:tc>
          <w:tcPr>
            <w:tcW w:type="dxa" w:w="4320"/>
          </w:tcPr>
          <w:p>
            <w:pPr>
              <w:spacing w:before="40" w:after="40" w:line="240" w:lineRule="auto"/>
            </w:pPr>
            <w:r>
              <w:rPr>
                <w:rFonts w:ascii="Times New Roman" w:hAnsi="Times New Roman"/>
                <w:sz w:val="18"/>
              </w:rPr>
              <w:t>Experiment G verdict; its three preregistered checks all passed</w:t>
            </w:r>
          </w:p>
        </w:tc>
      </w:tr>
    </w:tbl>
    <w:p/>
    <w:p>
      <w:pPr>
        <w:pStyle w:val="Heading2"/>
      </w:pPr>
      <w:r>
        <w:rPr>
          <w:rFonts w:ascii="Times New Roman" w:hAnsi="Times New Roman"/>
        </w:rPr>
        <w:t>References</w:t>
      </w:r>
    </w:p>
    <w:p>
      <w:r>
        <w:rPr>
          <w:rFonts w:ascii="Times New Roman" w:hAnsi="Times New Roman"/>
        </w:rPr>
        <w:t>[1] Zhang J, Hu S, Lu C, et al. Darwin Gödel Machine: Open-ended evolution of self-improving agents. arXiv:2505.22954, 2025.</w:t>
      </w:r>
    </w:p>
    <w:p>
      <w:r>
        <w:rPr>
          <w:rFonts w:ascii="Times New Roman" w:hAnsi="Times New Roman"/>
        </w:rPr>
        <w:t>[2] Novikov A, et al. AlphaEvolve: A coding agent for scientific and algorithmic discovery. arXiv:2506.13131, 2025.</w:t>
      </w:r>
    </w:p>
    <w:p>
      <w:r>
        <w:rPr>
          <w:rFonts w:ascii="Times New Roman" w:hAnsi="Times New Roman"/>
        </w:rPr>
        <w:t>[3] Ye Q, Zhang P, He Y, et al. Behind EvoMap: Characterizing a self-evolving agent-to-agent collaboration network. arXiv:2605.25815, 2026.</w:t>
      </w:r>
    </w:p>
    <w:p>
      <w:r>
        <w:rPr>
          <w:rFonts w:ascii="Times New Roman" w:hAnsi="Times New Roman"/>
        </w:rPr>
        <w:t>[4] Lipton Z C, Steinhardt J. Troubling trends in machine learning scholarship. Communications of the ACM, 2019, 62(6): 45-53.</w:t>
      </w:r>
    </w:p>
    <w:p>
      <w:r>
        <w:rPr>
          <w:rFonts w:ascii="Times New Roman" w:hAnsi="Times New Roman"/>
        </w:rPr>
        <w:t>[5] Henderson P, Islam R, Bachman P, et al. Deep reinforcement learning that matters. In: Proceedings of the AAAI Conference on Artificial Intelligence (AAAI). 2018.</w:t>
      </w:r>
    </w:p>
    <w:p>
      <w:r>
        <w:rPr>
          <w:rFonts w:ascii="Times New Roman" w:hAnsi="Times New Roman"/>
        </w:rPr>
        <w:t>[6] Wang G, Xie Y, Jiang Y, et al. Voyager: An open-ended embodied agent with large language models. arXiv:2305.16291, 2023.</w:t>
      </w:r>
    </w:p>
    <w:p>
      <w:r>
        <w:rPr>
          <w:rFonts w:ascii="Times New Roman" w:hAnsi="Times New Roman"/>
        </w:rPr>
        <w:t>[7] Shinn N, et al. Reflexion: Language agents with verbal reinforcement learning. In: Advances in Neural Information Processing Systems (NeurIPS). 2023.</w:t>
      </w:r>
    </w:p>
    <w:p>
      <w:r>
        <w:rPr>
          <w:rFonts w:ascii="Times New Roman" w:hAnsi="Times New Roman"/>
        </w:rPr>
        <w:t>[8] Madaan A, et al. Self-Refine: Iterative refinement with self-feedback. In: Advances in Neural Information Processing Systems (NeurIPS). 2023.</w:t>
      </w:r>
    </w:p>
    <w:p>
      <w:r>
        <w:rPr>
          <w:rFonts w:ascii="Times New Roman" w:hAnsi="Times New Roman"/>
        </w:rPr>
        <w:t>[9] Liu X, et al. AgentBench: Evaluating LLMs as agents. In: International Conference on Learning Representations (ICLR). 2024.</w:t>
      </w:r>
    </w:p>
    <w:p>
      <w:r>
        <w:rPr>
          <w:rFonts w:ascii="Times New Roman" w:hAnsi="Times New Roman"/>
        </w:rPr>
        <w:t>[10] Jimenez C E, et al. SWE-bench: Can language models resolve real-world GitHub issues? In: International Conference on Learning Representations (ICLR). 2024.</w:t>
      </w:r>
    </w:p>
    <w:p>
      <w:r>
        <w:rPr>
          <w:rFonts w:ascii="Times New Roman" w:hAnsi="Times New Roman"/>
        </w:rPr>
        <w:t>[11] Huang J, et al. Large language models cannot self-correct reasoning yet. In: International Conference on Learning Representations (ICLR). 2024.</w:t>
      </w:r>
    </w:p>
    <w:p>
      <w:r>
        <w:rPr>
          <w:rFonts w:ascii="Times New Roman" w:hAnsi="Times New Roman"/>
        </w:rPr>
        <w:t>[12] Ji Z, Lee N, Frieske R, et al. Survey of hallucination in natural language generation. ACM Computing Surveys, 2023, 55(12): 1-38.</w:t>
      </w:r>
    </w:p>
    <w:p>
      <w:r>
        <w:rPr>
          <w:rFonts w:ascii="Times New Roman" w:hAnsi="Times New Roman"/>
        </w:rPr>
        <w:t>[13] Romera-Paredes B, et al. Mathematical discoveries from program search with large language models. Nature, 2024, 625: 468-475.</w:t>
      </w:r>
    </w:p>
    <w:p>
      <w:r>
        <w:rPr>
          <w:rFonts w:ascii="Times New Roman" w:hAnsi="Times New Roman"/>
        </w:rPr>
        <w:t>[14] Portegys T E. Training sensory-motor behavior in the connectome of an artificial C. elegans. Neurocomputing, 2015, 168: 128-134.</w:t>
      </w:r>
    </w:p>
    <w:p>
      <w:r>
        <w:rPr>
          <w:rFonts w:ascii="Times New Roman" w:hAnsi="Times New Roman"/>
        </w:rPr>
        <w:t>[15] Dhiman N. Topological sensitivity in connectome-constrained neural networks. arXiv:2604.04033, 2026.</w:t>
      </w:r>
    </w:p>
    <w:p>
      <w:r>
        <w:rPr>
          <w:rFonts w:ascii="Times New Roman" w:hAnsi="Times New Roman"/>
        </w:rPr>
        <w:t>[16] Li Y. Selection-visibility asymmetry in a real Drosophila connectome: general selection sees weight changes but not architectural ones (companion paper, to be submitted in parallel). 2026.</w:t>
      </w:r>
    </w:p>
    <w:p>
      <w:r>
        <w:rPr>
          <w:rFonts w:ascii="Times New Roman" w:hAnsi="Times New Roman"/>
        </w:rPr>
        <w:t>[17] Wang J, Ren Y, Zhang H. From procedural skills to strategy genes: Towards experience-driven test-time evolution. arXiv:2604.15097, 2026.</w:t>
      </w:r>
    </w:p>
    <w:p>
      <w:r>
        <w:rPr>
          <w:rFonts w:ascii="Times New Roman" w:hAnsi="Times New Roman"/>
        </w:rPr>
        <w:t>[18] Gao H-A, Geng J, Hua W, et al. A survey of self-evolving agents: What, when, how, and where to evolve on the path to artificial super intelligence. arXiv:2507.21046, 2025.</w:t>
      </w:r>
    </w:p>
    <w:p>
      <w:r>
        <w:rPr>
          <w:rFonts w:ascii="Times New Roman" w:hAnsi="Times New Roman"/>
        </w:rPr>
        <w:t>[19] Agarwal R, et al. Deep reinforcement learning at the edge of the statistical precipice. In: Advances in Neural Information Processing Systems (NeurIPS). 2021.</w:t>
      </w:r>
    </w:p>
    <w:p>
      <w:r>
        <w:rPr>
          <w:rFonts w:ascii="Times New Roman" w:hAnsi="Times New Roman"/>
        </w:rPr>
        <w:t>[20] Midler B, Pan Vazquez A. Evolution imposes an inductive bias that alters and accelerates learning dynamics. eLife, 2026, RP111582 (Reviewed Preprint; arXiv:2505.10651).</w:t>
      </w:r>
    </w:p>
    <w:p>
      <w:r>
        <w:rPr>
          <w:rFonts w:ascii="Times New Roman" w:hAnsi="Times New Roman"/>
        </w:rPr>
        <w:t>[21] Kimura M. The Neutral Theory of Molecular Evolution. Cambridge: Cambridge University Press, 1983.</w:t>
      </w:r>
    </w:p>
    <w:p>
      <w:r>
        <w:rPr>
          <w:rFonts w:ascii="Times New Roman" w:hAnsi="Times New Roman"/>
        </w:rPr>
        <w:t>[22] Yu T, Miller J. Neutrality and the evolvability of Boolean function landscape. In: Proceedings of the Genetic and Evolutionary Computation Conference (GECCO). 2001.</w:t>
      </w:r>
    </w:p>
    <w:p>
      <w:r>
        <w:rPr>
          <w:rFonts w:ascii="Times New Roman" w:hAnsi="Times New Roman"/>
        </w:rPr>
        <w:t>[23] Hinton G E, Nowlan S J. How learning can guide evolution. Complex Systems, 1987, 1: 495-502.</w:t>
      </w:r>
    </w:p>
    <w:p>
      <w:r>
        <w:rPr>
          <w:rFonts w:ascii="Times New Roman" w:hAnsi="Times New Roman"/>
        </w:rPr>
        <w:t>[24] Stanley K O, Miikkulainen R. Evolving neural networks through augmenting topologies. Evolutionary Computation, 2002, 10(2): 99-127.</w:t>
      </w:r>
    </w:p>
    <w:p>
      <w:r>
        <w:rPr>
          <w:rFonts w:ascii="Times New Roman" w:hAnsi="Times New Roman"/>
        </w:rPr>
        <w:t>[25] Such F P, et al. Deep neuroevolution: Genetic algorithms are a competitive alternative for training deep neural networks for reinforcement learning. arXiv:1712.06567, 2017.</w:t>
      </w:r>
    </w:p>
    <w:p>
      <w:r>
        <w:rPr>
          <w:rFonts w:ascii="Times New Roman" w:hAnsi="Times New Roman"/>
        </w:rPr>
        <w:t>[26] Lehman J, Stanley K O. Abandoning objectives: Evolution through the search for novelty alone. Evolutionary Computation, 2011, 19(2): 189-223.</w:t>
      </w:r>
    </w:p>
    <w:p>
      <w:r>
        <w:rPr>
          <w:rFonts w:ascii="Times New Roman" w:hAnsi="Times New Roman"/>
        </w:rPr>
        <w:t>[27] Mouret J-B, Clune J. Illuminating search spaces by mapping elites. arXiv:1504.04909, 2015.</w:t>
      </w:r>
    </w:p>
    <w:p>
      <w:r>
        <w:rPr>
          <w:rFonts w:ascii="Times New Roman" w:hAnsi="Times New Roman"/>
        </w:rPr>
        <w:t>[28] Zoph B, Le Q V. Neural architecture search with reinforcement learning. arXiv:1611.01578, 2016.</w:t>
      </w:r>
    </w:p>
    <w:p>
      <w:r>
        <w:rPr>
          <w:rFonts w:ascii="Times New Roman" w:hAnsi="Times New Roman"/>
        </w:rPr>
        <w:t>[29] Real E, Aggarwal A, Huang Y, et al. Regularized evolution for image classifier architecture search. arXiv:1802.01548, 2018.</w:t>
      </w:r>
    </w:p>
    <w:p>
      <w:r>
        <w:rPr>
          <w:rFonts w:ascii="Times New Roman" w:hAnsi="Times New Roman"/>
        </w:rPr>
        <w:t>[30] Liu H, Simonyan K, Yang Y. DARTS: Differentiable architecture search. arXiv:1806.09055, 2018.</w:t>
      </w:r>
    </w:p>
    <w:p>
      <w:r>
        <w:rPr>
          <w:rFonts w:ascii="Times New Roman" w:hAnsi="Times New Roman"/>
        </w:rPr>
        <w:t>[31] Elsken T, Metzen J H, Hutter F. Neural architecture search: A survey. Journal of Machine Learning Research, 2019, 20(55): 1-21.</w:t>
      </w:r>
    </w:p>
    <w:p>
      <w:r>
        <w:rPr>
          <w:rFonts w:ascii="Times New Roman" w:hAnsi="Times New Roman"/>
        </w:rPr>
        <w:t>[32] Li L, Talwalkar A. Random search and reproducibility for neural architecture search. arXiv:1902.07638, 2019.</w:t>
      </w:r>
    </w:p>
    <w:p>
      <w:r>
        <w:rPr>
          <w:rFonts w:ascii="Times New Roman" w:hAnsi="Times New Roman"/>
        </w:rPr>
        <w:t>[33] Clune J. AI-GAs: AI-generating algorithms, an alternate paradigm for producing general artificial intelligence. In: Proceedings of the Genetic and Evolutionary Computation Conference (GECCO, Companion). 2019.</w:t>
      </w:r>
    </w:p>
    <w:p>
      <w:r>
        <w:rPr>
          <w:rFonts w:ascii="Times New Roman" w:hAnsi="Times New Roman"/>
        </w:rPr>
        <w:t>[34] Lehman J, et al. Evolution through large models. arXiv:2206.08896, 2022.</w:t>
      </w:r>
    </w:p>
    <w:p>
      <w:r>
        <w:rPr>
          <w:rFonts w:ascii="Times New Roman" w:hAnsi="Times New Roman"/>
        </w:rPr>
        <w:t>[35] Hughes E, et al. Open-endedness is essential for artificial superhuman intelligence. arXiv:2406.04268, 2024.</w:t>
      </w:r>
    </w:p>
    <w:p>
      <w:r>
        <w:rPr>
          <w:rFonts w:ascii="Times New Roman" w:hAnsi="Times New Roman"/>
        </w:rPr>
        <w:t>[36] Kudela J. A critical problem in benchmarking and analysis of evolutionary computation methods. Nature Machine Intelligence, 2022, 4: 1238-1245.</w:t>
      </w:r>
    </w:p>
    <w:p>
      <w:r>
        <w:rPr>
          <w:rFonts w:ascii="Times New Roman" w:hAnsi="Times New Roman"/>
        </w:rPr>
        <w:t>[37] Derrac J, García S, Molina D, et al. A practical tutorial on the use of nonparametric statistical tests as a methodology for comparing evolutionary and swarm intelligence algorithms. Swarm and Evolutionary Computation, 2011, 1(1): 3-18.</w:t>
      </w:r>
    </w:p>
    <w:sectPr w:rsidR="00FC693F" w:rsidRPr="0006063C" w:rsidSect="00034616">
      <w:footerReference w:type="default" r:id="rId12"/>
      <w:pgSz w:w="11906" w:h="16838"/>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