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rPr>
          <w:rFonts w:ascii="Arial" w:cs="Arial" w:eastAsia="Arial" w:hAnsi="Arial"/>
        </w:rPr>
        <w:t xml:space="preserve"/>
      </w:r>
    </w:p>
    <w:p>
      <w:pPr>
        <w:jc w:val="center"/>
      </w:pPr>
      <w:r>
        <w:rPr>
          <w:rFonts w:ascii="Arial" w:cs="Arial" w:eastAsia="Arial" w:hAnsi="Arial"/>
          <w:b/>
          <w:bCs/>
          <w:color w:val="7B2D8E"/>
          <w:sz w:val="60"/>
          <w:szCs w:val="60"/>
        </w:rPr>
        <w:t xml:space="preserve">Product Editor</w:t>
      </w:r>
    </w:p>
    <w:p>
      <w:pPr>
        <w:spacing w:after="80"/>
        <w:jc w:val="center"/>
      </w:pPr>
      <w:r>
        <w:rPr>
          <w:rFonts w:ascii="Arial" w:cs="Arial" w:eastAsia="Arial" w:hAnsi="Arial"/>
          <w:color w:val="E67E22"/>
          <w:sz w:val="32"/>
          <w:szCs w:val="32"/>
        </w:rPr>
        <w:t xml:space="preserve">End-to-End Production Automation</w:t>
      </w:r>
    </w:p>
    <w:p>
      <w:pPr>
        <w:spacing w:after="480"/>
        <w:jc w:val="center"/>
      </w:pPr>
      <w:r>
        <w:rPr>
          <w:rFonts w:ascii="Arial" w:cs="Arial" w:eastAsia="Arial" w:hAnsi="Arial"/>
          <w:i/>
          <w:iCs/>
          <w:color w:val="2C3E50"/>
          <w:sz w:val="22"/>
          <w:szCs w:val="22"/>
        </w:rPr>
        <w:t xml:space="preserve">Printo.in Product &amp; Tech Alignment Document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9"/>
        <w:gridCol w:w="7017"/>
      </w:tblGrid>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bCs/>
                <w:color w:val="2C3E50"/>
                <w:sz w:val="20"/>
                <w:szCs w:val="20"/>
              </w:rPr>
              <w:t xml:space="preserve">Document Owner</w:t>
            </w:r>
          </w:p>
        </w:tc>
        <w:tc>
          <w:tcPr>
            <w:tcW w:type="dxa" w:w="7017"/>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bCs/>
                <w:color w:val="2C3E50"/>
                <w:sz w:val="20"/>
                <w:szCs w:val="20"/>
              </w:rPr>
              <w:t xml:space="preserve">Business Lead</w:t>
            </w:r>
          </w:p>
        </w:tc>
        <w:tc>
          <w:tcPr>
            <w:tcW w:type="dxa" w:w="7017"/>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Viji</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bCs/>
                <w:color w:val="2C3E50"/>
                <w:sz w:val="20"/>
                <w:szCs w:val="20"/>
              </w:rPr>
              <w:t xml:space="preserve">Production Lead</w:t>
            </w:r>
          </w:p>
        </w:tc>
        <w:tc>
          <w:tcPr>
            <w:tcW w:type="dxa" w:w="7017"/>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Mohan</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bCs/>
                <w:color w:val="2C3E50"/>
                <w:sz w:val="20"/>
                <w:szCs w:val="20"/>
              </w:rPr>
              <w:t xml:space="preserve">Final Approver</w:t>
            </w:r>
          </w:p>
        </w:tc>
        <w:tc>
          <w:tcPr>
            <w:tcW w:type="dxa" w:w="7017"/>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Manish</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bCs/>
                <w:color w:val="2C3E50"/>
                <w:sz w:val="20"/>
                <w:szCs w:val="20"/>
              </w:rPr>
              <w:t xml:space="preserve">Date</w:t>
            </w:r>
          </w:p>
        </w:tc>
        <w:tc>
          <w:tcPr>
            <w:tcW w:type="dxa" w:w="7017"/>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April 11, 2026</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bCs/>
                <w:color w:val="2C3E50"/>
                <w:sz w:val="20"/>
                <w:szCs w:val="20"/>
              </w:rPr>
              <w:t xml:space="preserve">Status</w:t>
            </w:r>
          </w:p>
        </w:tc>
        <w:tc>
          <w:tcPr>
            <w:tcW w:type="dxa" w:w="7017"/>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Draft — Awaiting Alignment</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bCs/>
                <w:color w:val="2C3E50"/>
                <w:sz w:val="20"/>
                <w:szCs w:val="20"/>
              </w:rPr>
              <w:t xml:space="preserve">Version</w:t>
            </w:r>
          </w:p>
        </w:tc>
        <w:tc>
          <w:tcPr>
            <w:tcW w:type="dxa" w:w="7017"/>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v1.5</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bCs/>
                <w:color w:val="2C3E50"/>
                <w:sz w:val="20"/>
                <w:szCs w:val="20"/>
              </w:rPr>
              <w:t xml:space="preserve">Product URL</w:t>
            </w:r>
          </w:p>
        </w:tc>
        <w:tc>
          <w:tcPr>
            <w:tcW w:type="dxa" w:w="7017"/>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product-editor.printo.in</w:t>
            </w:r>
          </w:p>
        </w:tc>
      </w:tr>
    </w:tbl>
    <w:p>
      <w:pPr>
        <w:spacing w:after="200" w:before="0"/>
      </w:pPr>
      <w:r>
        <w:rPr>
          <w:rFonts w:ascii="Arial" w:cs="Arial" w:eastAsia="Arial" w:hAnsi="Arial"/>
        </w:rPr>
        <w:t xml:space="preserve"/>
      </w:r>
    </w:p>
    <w:p>
      <w:pPr>
        <w:pBdr>
          <w:bottom w:val="single" w:color="D5D8DC" w:sz="2" w:space="4"/>
        </w:pBdr>
        <w:spacing w:after="100" w:before="0"/>
      </w:pPr>
      <w:r>
        <w:rPr>
          <w:rFonts w:ascii="Arial" w:cs="Arial" w:eastAsia="Arial" w:hAnsi="Arial"/>
          <w:b/>
          <w:bCs/>
          <w:color w:val="2C3E50"/>
          <w:sz w:val="22"/>
          <w:szCs w:val="22"/>
        </w:rPr>
        <w:t xml:space="preserve">Version History</w:t>
      </w:r>
    </w:p>
    <w:p>
      <w:pPr>
        <w:spacing w:after="80" w:before="0"/>
      </w:pP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5"/>
        <w:gridCol w:w="1657"/>
        <w:gridCol w:w="1754"/>
        <w:gridCol w:w="5360"/>
      </w:tblGrid>
      <w:tr>
        <w:trPr>
          <w:tblHeader/>
        </w:trPr>
        <w:tc>
          <w:tcPr>
            <w:tcW w:type="dxa" w:w="975"/>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Version</w:t>
            </w:r>
          </w:p>
        </w:tc>
        <w:tc>
          <w:tcPr>
            <w:tcW w:type="dxa" w:w="1657"/>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Date</w:t>
            </w:r>
          </w:p>
        </w:tc>
        <w:tc>
          <w:tcPr>
            <w:tcW w:type="dxa" w:w="1754"/>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Author</w:t>
            </w:r>
          </w:p>
        </w:tc>
        <w:tc>
          <w:tcPr>
            <w:tcW w:type="dxa" w:w="5360"/>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Summary of Changes</w:t>
            </w:r>
          </w:p>
        </w:tc>
      </w:tr>
      <w:tr>
        <w:tc>
          <w:tcPr>
            <w:tcW w:type="dxa" w:w="975"/>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v1.0</w:t>
            </w:r>
          </w:p>
        </w:tc>
        <w:tc>
          <w:tcPr>
            <w:tcW w:type="dxa" w:w="1657"/>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Mar 20, 2026</w:t>
            </w:r>
          </w:p>
        </w:tc>
        <w:tc>
          <w:tcPr>
            <w:tcW w:type="dxa" w:w="1754"/>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Kanna</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Initial draft — problem statement, business impact, and proposed solution outline</w:t>
            </w:r>
          </w:p>
        </w:tc>
      </w:tr>
      <w:tr>
        <w:tc>
          <w:tcPr>
            <w:tcW w:type="dxa" w:w="975"/>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v1.1</w:t>
            </w:r>
          </w:p>
        </w:tc>
        <w:tc>
          <w:tcPr>
            <w:tcW w:type="dxa" w:w="1657"/>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Mar 27, 2026</w:t>
            </w:r>
          </w:p>
        </w:tc>
        <w:tc>
          <w:tcPr>
            <w:tcW w:type="dxa" w:w="1754"/>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Kanna</w:t>
            </w:r>
          </w:p>
        </w:tc>
        <w:tc>
          <w:tcPr>
            <w:tcW w:type="dxa" w:w="5360"/>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Added embed flow details (A1/A2), canvas preview, and direct-to-production push concept</w:t>
            </w:r>
          </w:p>
        </w:tc>
      </w:tr>
      <w:tr>
        <w:tc>
          <w:tcPr>
            <w:tcW w:type="dxa" w:w="975"/>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v1.2</w:t>
            </w:r>
          </w:p>
        </w:tc>
        <w:tc>
          <w:tcPr>
            <w:tcW w:type="dxa" w:w="1657"/>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Apr 1, 2026</w:t>
            </w:r>
          </w:p>
        </w:tc>
        <w:tc>
          <w:tcPr>
            <w:tcW w:type="dxa" w:w="1754"/>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Kanna</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Added CMYK soft-proof pipeline, ISOcoated_v2 ICC profile, and colour-accuracy section</w:t>
            </w:r>
          </w:p>
        </w:tc>
      </w:tr>
      <w:tr>
        <w:tc>
          <w:tcPr>
            <w:tcW w:type="dxa" w:w="975"/>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v1.3</w:t>
            </w:r>
          </w:p>
        </w:tc>
        <w:tc>
          <w:tcPr>
            <w:tcW w:type="dxa" w:w="1657"/>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Apr 4, 2026</w:t>
            </w:r>
          </w:p>
        </w:tc>
        <w:tc>
          <w:tcPr>
            <w:tcW w:type="dxa" w:w="1754"/>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Kanna</w:t>
            </w:r>
          </w:p>
        </w:tc>
        <w:tc>
          <w:tcPr>
            <w:tcW w:type="dxa" w:w="5360"/>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Added Inkmonk.com to upload sources; renamed Ops Manager (A2) and Catalog Manager (B3); updated TAT cascading effect wording</w:t>
            </w:r>
          </w:p>
        </w:tc>
      </w:tr>
      <w:tr>
        <w:tc>
          <w:tcPr>
            <w:tcW w:type="dxa" w:w="975"/>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bCs/>
                <w:color w:val="1E8449"/>
                <w:sz w:val="17"/>
                <w:szCs w:val="17"/>
              </w:rPr>
              <w:t xml:space="preserve">v1.4</w:t>
            </w:r>
          </w:p>
        </w:tc>
        <w:tc>
          <w:tcPr>
            <w:tcW w:type="dxa" w:w="1657"/>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bCs/>
                <w:color w:val="1E8449"/>
                <w:sz w:val="17"/>
                <w:szCs w:val="17"/>
              </w:rPr>
              <w:t xml:space="preserve">Apr 5, 2026</w:t>
            </w:r>
          </w:p>
        </w:tc>
        <w:tc>
          <w:tcPr>
            <w:tcW w:type="dxa" w:w="1754"/>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bCs/>
                <w:color w:val="1E8449"/>
                <w:sz w:val="17"/>
                <w:szCs w:val="17"/>
              </w:rPr>
              <w:t xml:space="preserve">Kanna</w:t>
            </w:r>
          </w:p>
        </w:tc>
        <w:tc>
          <w:tcPr>
            <w:tcW w:type="dxa" w:w="536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bCs/>
                <w:color w:val="1E8449"/>
                <w:sz w:val="17"/>
                <w:szCs w:val="17"/>
              </w:rPr>
              <w:t xml:space="preserve">Marked B2 Async Queue as ✅ Complete; added quantity enforcement (under/over-upload, auto-fill); documented all 11 implementation fixes; added two new success metrics; updated action item #6 to Done</w:t>
            </w:r>
          </w:p>
        </w:tc>
      </w:tr>
      <w:tr>
        <w:tc>
          <w:tcPr>
            <w:tcW w:type="dxa" w:w="975"/>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bCs/>
                <w:color w:val="1E8449"/>
                <w:sz w:val="17"/>
                <w:szCs w:val="17"/>
              </w:rPr>
              <w:t xml:space="preserve">v1.5</w:t>
            </w:r>
          </w:p>
        </w:tc>
        <w:tc>
          <w:tcPr>
            <w:tcW w:type="dxa" w:w="1657"/>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bCs/>
                <w:color w:val="1E8449"/>
                <w:sz w:val="17"/>
                <w:szCs w:val="17"/>
              </w:rPr>
              <w:t xml:space="preserve">Apr 11, 2026</w:t>
            </w:r>
          </w:p>
        </w:tc>
        <w:tc>
          <w:tcPr>
            <w:tcW w:type="dxa" w:w="1754"/>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bCs/>
                <w:color w:val="1E8449"/>
                <w:sz w:val="17"/>
                <w:szCs w:val="17"/>
              </w:rPr>
              <w:t xml:space="preserve">Kanna</w:t>
            </w:r>
          </w:p>
        </w:tc>
        <w:tc>
          <w:tcPr>
            <w:tcW w:type="dxa" w:w="536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bCs/>
                <w:color w:val="1E8449"/>
                <w:sz w:val="17"/>
                <w:szCs w:val="17"/>
              </w:rPr>
              <w:t xml:space="preserve">Security &amp; auth hardening complete: API key bundle leak closed (server-side internal proxy); PIA token refresh flow; 18 additional fixes across auth, rendering, GC, and frontend. TypeScript build clean (0 errors). Django system check clean (0 issues). Version bumped to v1.5.</w:t>
            </w:r>
          </w:p>
        </w:tc>
      </w:tr>
    </w:tbl>
    <w:p>
      <w:pPr>
        <w:spacing w:after="200" w:before="0"/>
      </w:pP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7B2D8E" w:sz="1"/>
              <w:left w:val="single" w:color="7B2D8E" w:sz="12"/>
              <w:bottom w:val="single" w:color="7B2D8E" w:sz="1"/>
              <w:right w:val="single" w:color="7B2D8E" w:sz="1"/>
            </w:tcBorders>
            <w:shd w:fill="F4ECF7" w:val="clear"/>
            <w:tcMar>
              <w:top w:type="dxa" w:w="120"/>
              <w:left w:type="dxa" w:w="200"/>
              <w:bottom w:type="dxa" w:w="120"/>
              <w:right w:type="dxa" w:w="120"/>
            </w:tcMar>
          </w:tcPr>
          <w:p>
            <w:r>
              <w:rPr>
                <w:rFonts w:ascii="Arial" w:cs="Arial" w:eastAsia="Arial" w:hAnsi="Arial"/>
                <w:i/>
                <w:iCs/>
                <w:color w:val="7B2D8E"/>
                <w:sz w:val="20"/>
                <w:szCs w:val="20"/>
              </w:rPr>
              <w:t xml:space="preserve">Target: under 5 minutes from customer file upload to production-ready output — fully automated, zero manual preflight intervention.</w:t>
            </w:r>
          </w:p>
        </w:tc>
      </w:tr>
    </w:tbl>
    <w:p>
      <w:r>
        <w:br w:type="page"/>
      </w:r>
    </w:p>
    <w:p>
      <w:pPr>
        <w:pStyle w:val="Heading1"/>
        <w:pBdr>
          <w:bottom w:val="single" w:color="7B2D8E" w:sz="4" w:space="4"/>
        </w:pBdr>
        <w:spacing w:after="160" w:before="320"/>
      </w:pPr>
      <w:r>
        <w:rPr>
          <w:rFonts w:ascii="Arial" w:cs="Arial" w:eastAsia="Arial" w:hAnsi="Arial"/>
          <w:b/>
          <w:bCs/>
          <w:color w:val="7B2D8E"/>
          <w:sz w:val="32"/>
          <w:szCs w:val="32"/>
        </w:rPr>
        <w:t xml:space="preserve">1. Executive Summary</w:t>
      </w:r>
    </w:p>
    <w:p>
      <w:pPr>
        <w:spacing w:after="120"/>
      </w:pPr>
      <w:r>
        <w:rPr>
          <w:rFonts w:ascii="Arial" w:cs="Arial" w:eastAsia="Arial" w:hAnsi="Arial"/>
        </w:rPr>
        <w:t xml:space="preserve">Printo's internal production workflow for personalised photo products currently requires </w:t>
      </w:r>
      <w:r>
        <w:rPr>
          <w:rFonts w:ascii="Arial" w:cs="Arial" w:eastAsia="Arial" w:hAnsi="Arial"/>
          <w:b/>
          <w:bCs/>
        </w:rPr>
        <w:t xml:space="preserve">~1 hour per order </w:t>
      </w:r>
      <w:r>
        <w:rPr>
          <w:rFonts w:ascii="Arial" w:cs="Arial" w:eastAsia="Arial" w:hAnsi="Arial"/>
        </w:rPr>
        <w:t xml:space="preserve">for store pickup and express delivery, and </w:t>
      </w:r>
      <w:r>
        <w:rPr>
          <w:rFonts w:ascii="Arial" w:cs="Arial" w:eastAsia="Arial" w:hAnsi="Arial"/>
          <w:b/>
          <w:bCs/>
        </w:rPr>
        <w:t xml:space="preserve">2–3 hours </w:t>
      </w:r>
      <w:r>
        <w:rPr>
          <w:rFonts w:ascii="Arial" w:cs="Arial" w:eastAsia="Arial" w:hAnsi="Arial"/>
        </w:rPr>
        <w:t xml:space="preserve">for standard delivery. Store pickup and express delivery carry same-day or 4–6 hour delivery SLAs. Standard delivery orders are batched and shipped via courier by 3 PM daily.</w:t>
      </w:r>
    </w:p>
    <w:p>
      <w:pPr>
        <w:spacing w:after="120"/>
      </w:pPr>
      <w:r>
        <w:rPr>
          <w:rFonts w:ascii="Arial" w:cs="Arial" w:eastAsia="Arial" w:hAnsi="Arial"/>
        </w:rPr>
        <w:t xml:space="preserve">The bottleneck is not image generation or print execution — it is the </w:t>
      </w:r>
      <w:r>
        <w:rPr>
          <w:rFonts w:ascii="Arial" w:cs="Arial" w:eastAsia="Arial" w:hAnsi="Arial"/>
          <w:b/>
          <w:bCs/>
        </w:rPr>
        <w:t xml:space="preserve">manual design preflight review </w:t>
      </w:r>
      <w:r>
        <w:rPr>
          <w:rFonts w:ascii="Arial" w:cs="Arial" w:eastAsia="Arial" w:hAnsi="Arial"/>
        </w:rPr>
        <w:t xml:space="preserve">between customer upload and production. Every order must pass through the design preflight team, who manually check file quality, verify that file count matches ordered quantity, and flag issues back to the customer. When the customer is slow to respond, the order stalls — leading to delayed closures and cancellations.</w:t>
      </w:r>
    </w:p>
    <w:p>
      <w:pPr>
        <w:spacing w:after="200"/>
      </w:pPr>
      <w:r>
        <w:rPr>
          <w:rFonts w:ascii="Arial" w:cs="Arial" w:eastAsia="Arial" w:hAnsi="Arial"/>
        </w:rPr>
        <w:t xml:space="preserve">The Product Editor replaces this entire manual checkpoint with automated, customer-facing preview and validation. This document defines the problem, quantifies its business impact, describes the proposed solution, and lays out the decision framework for alignment.</w:t>
      </w:r>
    </w:p>
    <w:p>
      <w:pPr>
        <w:pStyle w:val="Heading1"/>
        <w:pBdr>
          <w:bottom w:val="single" w:color="7B2D8E" w:sz="4" w:space="4"/>
        </w:pBdr>
        <w:spacing w:after="160" w:before="320"/>
      </w:pPr>
      <w:r>
        <w:rPr>
          <w:rFonts w:ascii="Arial" w:cs="Arial" w:eastAsia="Arial" w:hAnsi="Arial"/>
          <w:b/>
          <w:bCs/>
          <w:color w:val="7B2D8E"/>
          <w:sz w:val="32"/>
          <w:szCs w:val="32"/>
        </w:rPr>
        <w:t xml:space="preserve">2. Problem Statement</w:t>
      </w:r>
    </w:p>
    <w:p>
      <w:pPr>
        <w:pStyle w:val="Heading2"/>
        <w:spacing w:after="120" w:before="280"/>
      </w:pPr>
      <w:r>
        <w:rPr>
          <w:rFonts w:ascii="Arial" w:cs="Arial" w:eastAsia="Arial" w:hAnsi="Arial"/>
          <w:b/>
          <w:bCs/>
          <w:color w:val="2C3E50"/>
          <w:sz w:val="26"/>
          <w:szCs w:val="26"/>
        </w:rPr>
        <w:t xml:space="preserve">2.1 Current Production Workflow (As-Is)</w:t>
      </w:r>
    </w:p>
    <w:p>
      <w:pPr>
        <w:spacing w:after="60" w:before="0"/>
      </w:pP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
        <w:gridCol w:w="3703"/>
        <w:gridCol w:w="2729"/>
        <w:gridCol w:w="2826"/>
      </w:tblGrid>
      <w:tr>
        <w:trPr>
          <w:tblHeader/>
        </w:trPr>
        <w:tc>
          <w:tcPr>
            <w:tcW w:type="dxa" w:w="487"/>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3703"/>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Step</w:t>
            </w:r>
          </w:p>
        </w:tc>
        <w:tc>
          <w:tcPr>
            <w:tcW w:type="dxa" w:w="2729"/>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Actor</w:t>
            </w:r>
          </w:p>
        </w:tc>
        <w:tc>
          <w:tcPr>
            <w:tcW w:type="dxa" w:w="2826"/>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Method</w:t>
            </w:r>
          </w:p>
        </w:tc>
      </w:tr>
      <w:tr>
        <w:tc>
          <w:tcPr>
            <w:tcW w:type="dxa" w:w="487"/>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1</w:t>
            </w:r>
          </w:p>
        </w:tc>
        <w:tc>
          <w:tcPr>
            <w:tcW w:type="dxa" w:w="370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Customer uploads design files</w:t>
            </w:r>
          </w:p>
        </w:tc>
        <w:tc>
          <w:tcPr>
            <w:tcW w:type="dxa" w:w="272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Customer</w:t>
            </w:r>
          </w:p>
        </w:tc>
        <w:tc>
          <w:tcPr>
            <w:tcW w:type="dxa" w:w="28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Printo.in and Inkmonk.com</w:t>
            </w:r>
          </w:p>
        </w:tc>
      </w:tr>
      <w:tr>
        <w:tc>
          <w:tcPr>
            <w:tcW w:type="dxa" w:w="487"/>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2</w:t>
            </w:r>
          </w:p>
        </w:tc>
        <w:tc>
          <w:tcPr>
            <w:tcW w:type="dxa" w:w="3703"/>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Design preflight reviews files for print-readiness</w:t>
            </w:r>
          </w:p>
        </w:tc>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Preflight team</w:t>
            </w:r>
          </w:p>
        </w:tc>
        <w:tc>
          <w:tcPr>
            <w:tcW w:type="dxa" w:w="2826"/>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Manual review</w:t>
            </w:r>
          </w:p>
        </w:tc>
      </w:tr>
      <w:tr>
        <w:tc>
          <w:tcPr>
            <w:tcW w:type="dxa" w:w="487"/>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3</w:t>
            </w:r>
          </w:p>
        </w:tc>
        <w:tc>
          <w:tcPr>
            <w:tcW w:type="dxa" w:w="370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Preflight checks file count vs ordered quantity</w:t>
            </w:r>
          </w:p>
        </w:tc>
        <w:tc>
          <w:tcPr>
            <w:tcW w:type="dxa" w:w="272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Preflight team</w:t>
            </w:r>
          </w:p>
        </w:tc>
        <w:tc>
          <w:tcPr>
            <w:tcW w:type="dxa" w:w="28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Manual count</w:t>
            </w:r>
          </w:p>
        </w:tc>
      </w:tr>
      <w:tr>
        <w:tc>
          <w:tcPr>
            <w:tcW w:type="dxa" w:w="487"/>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4</w:t>
            </w:r>
          </w:p>
        </w:tc>
        <w:tc>
          <w:tcPr>
            <w:tcW w:type="dxa" w:w="3703"/>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File issue or count mismatch → contact customer</w:t>
            </w:r>
          </w:p>
        </w:tc>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Preflight team</w:t>
            </w:r>
          </w:p>
        </w:tc>
        <w:tc>
          <w:tcPr>
            <w:tcW w:type="dxa" w:w="2826"/>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Email / phone</w:t>
            </w:r>
          </w:p>
        </w:tc>
      </w:tr>
      <w:tr>
        <w:tc>
          <w:tcPr>
            <w:tcW w:type="dxa" w:w="487"/>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5</w:t>
            </w:r>
          </w:p>
        </w:tc>
        <w:tc>
          <w:tcPr>
            <w:tcW w:type="dxa" w:w="370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Wait for customer response (unbounded delay)</w:t>
            </w:r>
          </w:p>
        </w:tc>
        <w:tc>
          <w:tcPr>
            <w:tcW w:type="dxa" w:w="272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Customer</w:t>
            </w:r>
          </w:p>
        </w:tc>
        <w:tc>
          <w:tcPr>
            <w:tcW w:type="dxa" w:w="28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Passive wait</w:t>
            </w:r>
          </w:p>
        </w:tc>
      </w:tr>
      <w:tr>
        <w:tc>
          <w:tcPr>
            <w:tcW w:type="dxa" w:w="487"/>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6</w:t>
            </w:r>
          </w:p>
        </w:tc>
        <w:tc>
          <w:tcPr>
            <w:tcW w:type="dxa" w:w="3703"/>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Files cleared → pushed to production estimator</w:t>
            </w:r>
          </w:p>
        </w:tc>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Preflight team</w:t>
            </w:r>
          </w:p>
        </w:tc>
        <w:tc>
          <w:tcPr>
            <w:tcW w:type="dxa" w:w="2826"/>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Manual handoff</w:t>
            </w:r>
          </w:p>
        </w:tc>
      </w:tr>
      <w:tr>
        <w:tc>
          <w:tcPr>
            <w:tcW w:type="dxa" w:w="487"/>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7</w:t>
            </w:r>
          </w:p>
        </w:tc>
        <w:tc>
          <w:tcPr>
            <w:tcW w:type="dxa" w:w="370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Production + dispatch</w:t>
            </w:r>
          </w:p>
        </w:tc>
        <w:tc>
          <w:tcPr>
            <w:tcW w:type="dxa" w:w="272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Production</w:t>
            </w:r>
          </w:p>
        </w:tc>
        <w:tc>
          <w:tcPr>
            <w:tcW w:type="dxa" w:w="28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Print workflow</w:t>
            </w:r>
          </w:p>
        </w:tc>
      </w:tr>
    </w:tbl>
    <w:p>
      <w:pPr>
        <w:spacing w:after="160" w:before="0"/>
      </w:pPr>
      <w:r>
        <w:rPr>
          <w:rFonts w:ascii="Arial" w:cs="Arial" w:eastAsia="Arial" w:hAnsi="Arial"/>
        </w:rPr>
        <w:t xml:space="preserve"/>
      </w:r>
    </w:p>
    <w:p>
      <w:pPr>
        <w:pStyle w:val="Heading2"/>
        <w:spacing w:after="120" w:before="280"/>
      </w:pPr>
      <w:r>
        <w:rPr>
          <w:rFonts w:ascii="Arial" w:cs="Arial" w:eastAsia="Arial" w:hAnsi="Arial"/>
          <w:b/>
          <w:bCs/>
          <w:color w:val="2C3E50"/>
          <w:sz w:val="26"/>
          <w:szCs w:val="26"/>
        </w:rPr>
        <w:t xml:space="preserve">2.2 Observed Problems</w:t>
      </w:r>
    </w:p>
    <w:p>
      <w:pPr>
        <w:pStyle w:val="ListParagraph"/>
        <w:numPr>
          <w:ilvl w:val="0"/>
          <w:numId w:val="2"/>
        </w:numPr>
        <w:spacing w:after="40" w:before="40"/>
      </w:pPr>
      <w:r>
        <w:rPr>
          <w:rFonts w:ascii="Arial" w:cs="Arial" w:eastAsia="Arial" w:hAnsi="Arial"/>
        </w:rPr>
        <w:t xml:space="preserve">Store pickup and express delivery orders take ~1 hour each to clear preflight, directly threatening same-day and 4–6 hour SLAs.</w:t>
      </w:r>
    </w:p>
    <w:p>
      <w:pPr>
        <w:pStyle w:val="ListParagraph"/>
        <w:numPr>
          <w:ilvl w:val="0"/>
          <w:numId w:val="2"/>
        </w:numPr>
        <w:spacing w:after="40" w:before="40"/>
      </w:pPr>
      <w:r>
        <w:rPr>
          <w:rFonts w:ascii="Arial" w:cs="Arial" w:eastAsia="Arial" w:hAnsi="Arial"/>
        </w:rPr>
        <w:t xml:space="preserve">Standard delivery orders take 2–3 hours. Late-cleared orders miss the 3 PM courier cutoff and are delayed by a full day.</w:t>
      </w:r>
    </w:p>
    <w:p>
      <w:pPr>
        <w:pStyle w:val="ListParagraph"/>
        <w:numPr>
          <w:ilvl w:val="0"/>
          <w:numId w:val="2"/>
        </w:numPr>
        <w:spacing w:after="40" w:before="40"/>
      </w:pPr>
      <w:r>
        <w:rPr>
          <w:rFonts w:ascii="Arial" w:cs="Arial" w:eastAsia="Arial" w:hAnsi="Arial"/>
        </w:rPr>
        <w:t xml:space="preserve">File count mismatches (e.g., 10 magnets ordered, 8 uploaded) put orders on hold pending customer response — ranging from hours to days.</w:t>
      </w:r>
    </w:p>
    <w:p>
      <w:pPr>
        <w:pStyle w:val="ListParagraph"/>
        <w:numPr>
          <w:ilvl w:val="0"/>
          <w:numId w:val="2"/>
        </w:numPr>
        <w:spacing w:after="40" w:before="40"/>
      </w:pPr>
      <w:r>
        <w:rPr>
          <w:rFonts w:ascii="Arial" w:cs="Arial" w:eastAsia="Arial" w:hAnsi="Arial"/>
        </w:rPr>
        <w:t xml:space="preserve">Delayed preflight creates a cascading backlog that compounds across the day, affecting TAT on all subsequent orders.</w:t>
      </w:r>
    </w:p>
    <w:p>
      <w:pPr>
        <w:pStyle w:val="ListParagraph"/>
        <w:numPr>
          <w:ilvl w:val="0"/>
          <w:numId w:val="2"/>
        </w:numPr>
        <w:spacing w:after="40" w:before="40"/>
      </w:pPr>
      <w:r>
        <w:rPr>
          <w:rFonts w:ascii="Arial" w:cs="Arial" w:eastAsia="Arial" w:hAnsi="Arial"/>
        </w:rPr>
        <w:t xml:space="preserve">Customers who are unreachable or frustrated by the back-and-forth cancel — resulting in direct revenue loss and brand damage.</w:t>
      </w:r>
    </w:p>
    <w:p>
      <w:pPr>
        <w:pStyle w:val="ListParagraph"/>
        <w:numPr>
          <w:ilvl w:val="0"/>
          <w:numId w:val="2"/>
        </w:numPr>
        <w:spacing w:after="40" w:before="40"/>
      </w:pPr>
      <w:r>
        <w:rPr>
          <w:rFonts w:ascii="Arial" w:cs="Arial" w:eastAsia="Arial" w:hAnsi="Arial"/>
        </w:rPr>
        <w:t xml:space="preserve">The preflight team is a fixed-capacity bottleneck that cannot scale linearly with order volume.</w:t>
      </w:r>
    </w:p>
    <w:p>
      <w:pPr>
        <w:spacing w:after="80" w:before="0"/>
      </w:pPr>
      <w:r>
        <w:rPr>
          <w:rFonts w:ascii="Arial" w:cs="Arial" w:eastAsia="Arial" w:hAnsi="Arial"/>
        </w:rPr>
        <w:t xml:space="preserve"/>
      </w:r>
    </w:p>
    <w:p>
      <w:pPr>
        <w:pStyle w:val="Heading2"/>
        <w:spacing w:after="120" w:before="280"/>
      </w:pPr>
      <w:r>
        <w:rPr>
          <w:rFonts w:ascii="Arial" w:cs="Arial" w:eastAsia="Arial" w:hAnsi="Arial"/>
          <w:b/>
          <w:bCs/>
          <w:color w:val="2C3E50"/>
          <w:sz w:val="26"/>
          <w:szCs w:val="26"/>
        </w:rPr>
        <w:t xml:space="preserve">2.3 Root Cause</w:t>
      </w:r>
    </w:p>
    <w:p>
      <w:pPr>
        <w:spacing w:after="160"/>
      </w:pPr>
      <w:r>
        <w:rPr>
          <w:rFonts w:ascii="Arial" w:cs="Arial" w:eastAsia="Arial" w:hAnsi="Arial"/>
        </w:rPr>
        <w:t xml:space="preserve">The root cause is the manual design preflight checkpoint. It exists because the legacy system had no way for the customer to preview the final product or for the system to automatically validate file quality and quantity. Every order, regardless of complexity, passes through the same manual gate.</w:t>
      </w:r>
    </w:p>
    <w:p>
      <w:pPr>
        <w:pStyle w:val="Heading2"/>
        <w:spacing w:after="120" w:before="280"/>
      </w:pPr>
      <w:r>
        <w:rPr>
          <w:rFonts w:ascii="Arial" w:cs="Arial" w:eastAsia="Arial" w:hAnsi="Arial"/>
          <w:b/>
          <w:bCs/>
          <w:color w:val="2C3E50"/>
          <w:sz w:val="26"/>
          <w:szCs w:val="26"/>
        </w:rPr>
        <w:t xml:space="preserve">2.4 TAT Breakdown (Current vs Target)</w:t>
      </w:r>
    </w:p>
    <w:p>
      <w:pPr>
        <w:spacing w:after="60" w:before="0"/>
      </w:pP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1754"/>
        <w:gridCol w:w="1754"/>
        <w:gridCol w:w="4093"/>
      </w:tblGrid>
      <w:tr>
        <w:trPr>
          <w:tblHeader/>
        </w:trPr>
        <w:tc>
          <w:tcPr>
            <w:tcW w:type="dxa" w:w="2144"/>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Order Type</w:t>
            </w:r>
          </w:p>
        </w:tc>
        <w:tc>
          <w:tcPr>
            <w:tcW w:type="dxa" w:w="1754"/>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Current TAT</w:t>
            </w:r>
          </w:p>
        </w:tc>
        <w:tc>
          <w:tcPr>
            <w:tcW w:type="dxa" w:w="1754"/>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Target TAT</w:t>
            </w:r>
          </w:p>
        </w:tc>
        <w:tc>
          <w:tcPr>
            <w:tcW w:type="dxa" w:w="4093"/>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W w:type="dxa" w:w="2144"/>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Store Pickup</w:t>
            </w:r>
          </w:p>
        </w:tc>
        <w:tc>
          <w:tcPr>
            <w:tcW w:type="dxa" w:w="1754"/>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~1 hour</w:t>
            </w:r>
          </w:p>
        </w:tc>
        <w:tc>
          <w:tcPr>
            <w:tcW w:type="dxa" w:w="1754"/>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&lt; 5 min</w:t>
            </w:r>
          </w:p>
        </w:tc>
        <w:tc>
          <w:tcPr>
            <w:tcW w:type="dxa" w:w="409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Same-day SLA; highest priority</w:t>
            </w:r>
          </w:p>
        </w:tc>
      </w:tr>
      <w:tr>
        <w:tc>
          <w:tcPr>
            <w:tcW w:type="dxa" w:w="2144"/>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Express Delivery</w:t>
            </w:r>
          </w:p>
        </w:tc>
        <w:tc>
          <w:tcPr>
            <w:tcW w:type="dxa" w:w="1754"/>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~1 hour</w:t>
            </w:r>
          </w:p>
        </w:tc>
        <w:tc>
          <w:tcPr>
            <w:tcW w:type="dxa" w:w="1754"/>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&lt; 5 min</w:t>
            </w:r>
          </w:p>
        </w:tc>
        <w:tc>
          <w:tcPr>
            <w:tcW w:type="dxa" w:w="4093"/>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4–6 hour delivery SLA</w:t>
            </w:r>
          </w:p>
        </w:tc>
      </w:tr>
      <w:tr>
        <w:tc>
          <w:tcPr>
            <w:tcW w:type="dxa" w:w="2144"/>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Standard Delivery</w:t>
            </w:r>
          </w:p>
        </w:tc>
        <w:tc>
          <w:tcPr>
            <w:tcW w:type="dxa" w:w="1754"/>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2–3 hours</w:t>
            </w:r>
          </w:p>
        </w:tc>
        <w:tc>
          <w:tcPr>
            <w:tcW w:type="dxa" w:w="1754"/>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&lt; 5 min</w:t>
            </w:r>
          </w:p>
        </w:tc>
        <w:tc>
          <w:tcPr>
            <w:tcW w:type="dxa" w:w="409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Courier cutoff 3 PM daily</w:t>
            </w:r>
          </w:p>
        </w:tc>
      </w:tr>
    </w:tbl>
    <w:p>
      <w:pPr>
        <w:spacing w:after="120" w:before="0"/>
      </w:pPr>
      <w:r>
        <w:rPr>
          <w:rFonts w:ascii="Arial" w:cs="Arial" w:eastAsia="Arial" w:hAnsi="Arial"/>
        </w:rPr>
        <w:t xml:space="preserve"/>
      </w:r>
    </w:p>
    <w:p>
      <w:r>
        <w:br w:type="page"/>
      </w:r>
    </w:p>
    <w:p>
      <w:pPr>
        <w:pStyle w:val="Heading1"/>
        <w:pBdr>
          <w:bottom w:val="single" w:color="7B2D8E" w:sz="4" w:space="4"/>
        </w:pBdr>
        <w:spacing w:after="160" w:before="320"/>
      </w:pPr>
      <w:r>
        <w:rPr>
          <w:rFonts w:ascii="Arial" w:cs="Arial" w:eastAsia="Arial" w:hAnsi="Arial"/>
          <w:b/>
          <w:bCs/>
          <w:color w:val="7B2D8E"/>
          <w:sz w:val="32"/>
          <w:szCs w:val="32"/>
        </w:rPr>
        <w:t xml:space="preserve">3. Business Impact</w:t>
      </w:r>
    </w:p>
    <w:p>
      <w:pPr>
        <w:pStyle w:val="Heading2"/>
        <w:spacing w:after="120" w:before="280"/>
      </w:pPr>
      <w:r>
        <w:rPr>
          <w:rFonts w:ascii="Arial" w:cs="Arial" w:eastAsia="Arial" w:hAnsi="Arial"/>
          <w:b/>
          <w:bCs/>
          <w:color w:val="2C3E50"/>
          <w:sz w:val="26"/>
          <w:szCs w:val="26"/>
        </w:rPr>
        <w:t xml:space="preserve">3.1 Customer Experience</w:t>
      </w:r>
    </w:p>
    <w:p>
      <w:pPr>
        <w:pStyle w:val="ListParagraph"/>
        <w:numPr>
          <w:ilvl w:val="0"/>
          <w:numId w:val="2"/>
        </w:numPr>
        <w:spacing w:after="40" w:before="40"/>
      </w:pPr>
      <w:r>
        <w:rPr>
          <w:rFonts w:ascii="Arial" w:cs="Arial" w:eastAsia="Arial" w:hAnsi="Arial"/>
        </w:rPr>
        <w:t xml:space="preserve">Store pickup and express customers expect near-instant production confirmation. A 1-hour delay erodes trust in the "express" promise.</w:t>
      </w:r>
    </w:p>
    <w:p>
      <w:pPr>
        <w:pStyle w:val="ListParagraph"/>
        <w:numPr>
          <w:ilvl w:val="0"/>
          <w:numId w:val="2"/>
        </w:numPr>
        <w:spacing w:after="40" w:before="40"/>
      </w:pPr>
      <w:r>
        <w:rPr>
          <w:rFonts w:ascii="Arial" w:cs="Arial" w:eastAsia="Arial" w:hAnsi="Arial"/>
        </w:rPr>
        <w:t xml:space="preserve">Any order clearing preflight after 3 PM is automatically delayed by a full business day — customers see longer delivery dates than necessary.</w:t>
      </w:r>
    </w:p>
    <w:p>
      <w:pPr>
        <w:pStyle w:val="ListParagraph"/>
        <w:numPr>
          <w:ilvl w:val="0"/>
          <w:numId w:val="2"/>
        </w:numPr>
        <w:spacing w:after="40" w:before="40"/>
      </w:pPr>
      <w:r>
        <w:rPr>
          <w:rFonts w:ascii="Arial" w:cs="Arial" w:eastAsia="Arial" w:hAnsi="Arial"/>
        </w:rPr>
        <w:t xml:space="preserve">File mismatch hold-ups create a frustrating back-and-forth. Customers do not understand why their order is stuck.</w:t>
      </w:r>
    </w:p>
    <w:p>
      <w:pPr>
        <w:pStyle w:val="ListParagraph"/>
        <w:numPr>
          <w:ilvl w:val="0"/>
          <w:numId w:val="2"/>
        </w:numPr>
        <w:spacing w:after="40" w:before="40"/>
      </w:pPr>
      <w:r>
        <w:rPr>
          <w:rFonts w:ascii="Arial" w:cs="Arial" w:eastAsia="Arial" w:hAnsi="Arial"/>
        </w:rPr>
        <w:t xml:space="preserve">Cancellations due to delayed preflight damage repeat purchase likelihood and brand perception.</w:t>
      </w:r>
    </w:p>
    <w:p>
      <w:pPr>
        <w:spacing w:after="80" w:before="0"/>
      </w:pPr>
      <w:r>
        <w:rPr>
          <w:rFonts w:ascii="Arial" w:cs="Arial" w:eastAsia="Arial" w:hAnsi="Arial"/>
        </w:rPr>
        <w:t xml:space="preserve"/>
      </w:r>
    </w:p>
    <w:p>
      <w:pPr>
        <w:pStyle w:val="Heading2"/>
        <w:spacing w:after="120" w:before="280"/>
      </w:pPr>
      <w:r>
        <w:rPr>
          <w:rFonts w:ascii="Arial" w:cs="Arial" w:eastAsia="Arial" w:hAnsi="Arial"/>
          <w:b/>
          <w:bCs/>
          <w:color w:val="2C3E50"/>
          <w:sz w:val="26"/>
          <w:szCs w:val="26"/>
        </w:rPr>
        <w:t xml:space="preserve">3.2 Revenue &amp; Conversion</w:t>
      </w:r>
    </w:p>
    <w:p>
      <w:pPr>
        <w:pStyle w:val="ListParagraph"/>
        <w:numPr>
          <w:ilvl w:val="0"/>
          <w:numId w:val="2"/>
        </w:numPr>
        <w:spacing w:after="40" w:before="40"/>
      </w:pPr>
      <w:r>
        <w:rPr>
          <w:rFonts w:ascii="Arial" w:cs="Arial" w:eastAsia="Arial" w:hAnsi="Arial"/>
        </w:rPr>
        <w:t xml:space="preserve">Every order missing the 3 PM courier cutoff costs Printo a day of delivery speed — speed that competitors already advertise.</w:t>
      </w:r>
    </w:p>
    <w:p>
      <w:pPr>
        <w:pStyle w:val="ListParagraph"/>
        <w:numPr>
          <w:ilvl w:val="0"/>
          <w:numId w:val="2"/>
        </w:numPr>
        <w:spacing w:after="40" w:before="40"/>
      </w:pPr>
      <w:r>
        <w:rPr>
          <w:rFonts w:ascii="Arial" w:cs="Arial" w:eastAsia="Arial" w:hAnsi="Arial"/>
        </w:rPr>
        <w:t xml:space="preserve">Even a 2–3% cancellation rate on a high-volume personalised products line represents significant monthly revenue impact.</w:t>
      </w:r>
    </w:p>
    <w:p>
      <w:pPr>
        <w:pStyle w:val="ListParagraph"/>
        <w:numPr>
          <w:ilvl w:val="0"/>
          <w:numId w:val="2"/>
        </w:numPr>
        <w:spacing w:after="40" w:before="40"/>
      </w:pPr>
      <w:r>
        <w:rPr>
          <w:rFonts w:ascii="Arial" w:cs="Arial" w:eastAsia="Arial" w:hAnsi="Arial"/>
        </w:rPr>
        <w:t xml:space="preserve">During peak periods (festivals, corporate event seasons), order processing slows further, compounding missed shipments.</w:t>
      </w:r>
    </w:p>
    <w:p>
      <w:pPr>
        <w:spacing w:after="80" w:before="0"/>
      </w:pPr>
      <w:r>
        <w:rPr>
          <w:rFonts w:ascii="Arial" w:cs="Arial" w:eastAsia="Arial" w:hAnsi="Arial"/>
        </w:rPr>
        <w:t xml:space="preserve"/>
      </w:r>
    </w:p>
    <w:p>
      <w:pPr>
        <w:pStyle w:val="Heading2"/>
        <w:spacing w:after="120" w:before="280"/>
      </w:pPr>
      <w:r>
        <w:rPr>
          <w:rFonts w:ascii="Arial" w:cs="Arial" w:eastAsia="Arial" w:hAnsi="Arial"/>
          <w:b/>
          <w:bCs/>
          <w:color w:val="2C3E50"/>
          <w:sz w:val="26"/>
          <w:szCs w:val="26"/>
        </w:rPr>
        <w:t xml:space="preserve">3.3 Operational Risk</w:t>
      </w:r>
    </w:p>
    <w:p>
      <w:pPr>
        <w:pStyle w:val="ListParagraph"/>
        <w:numPr>
          <w:ilvl w:val="0"/>
          <w:numId w:val="2"/>
        </w:numPr>
        <w:spacing w:after="40" w:before="40"/>
      </w:pPr>
      <w:r>
        <w:rPr>
          <w:rFonts w:ascii="Arial" w:cs="Arial" w:eastAsia="Arial" w:hAnsi="Arial"/>
        </w:rPr>
        <w:t xml:space="preserve">The preflight team is a single point of failure. Understaffing stalls the entire order pipeline.</w:t>
      </w:r>
    </w:p>
    <w:p>
      <w:pPr>
        <w:pStyle w:val="ListParagraph"/>
        <w:numPr>
          <w:ilvl w:val="0"/>
          <w:numId w:val="2"/>
        </w:numPr>
        <w:spacing w:after="40" w:before="40"/>
      </w:pPr>
      <w:r>
        <w:rPr>
          <w:rFonts w:ascii="Arial" w:cs="Arial" w:eastAsia="Arial" w:hAnsi="Arial"/>
        </w:rPr>
        <w:t xml:space="preserve">Manual file validation is inherently inconsistent — two operators may make different judgement calls on the same file.</w:t>
      </w:r>
    </w:p>
    <w:p>
      <w:pPr>
        <w:pStyle w:val="ListParagraph"/>
        <w:numPr>
          <w:ilvl w:val="0"/>
          <w:numId w:val="2"/>
        </w:numPr>
        <w:spacing w:after="40" w:before="40"/>
      </w:pPr>
      <w:r>
        <w:rPr>
          <w:rFonts w:ascii="Arial" w:cs="Arial" w:eastAsia="Arial" w:hAnsi="Arial"/>
        </w:rPr>
        <w:t xml:space="preserve">As order volume grows, the current process cannot keep pace without proportional headcount increases, degrading unit economics.</w:t>
      </w:r>
    </w:p>
    <w:p>
      <w:pPr>
        <w:spacing w:after="120" w:before="0"/>
      </w:pPr>
      <w:r>
        <w:rPr>
          <w:rFonts w:ascii="Arial" w:cs="Arial" w:eastAsia="Arial" w:hAnsi="Arial"/>
        </w:rPr>
        <w:t xml:space="preserve"/>
      </w:r>
    </w:p>
    <w:p>
      <w:r>
        <w:br w:type="page"/>
      </w:r>
    </w:p>
    <w:p>
      <w:pPr>
        <w:pStyle w:val="Heading1"/>
        <w:pBdr>
          <w:bottom w:val="single" w:color="7B2D8E" w:sz="4" w:space="4"/>
        </w:pBdr>
        <w:spacing w:after="160" w:before="320"/>
      </w:pPr>
      <w:r>
        <w:rPr>
          <w:rFonts w:ascii="Arial" w:cs="Arial" w:eastAsia="Arial" w:hAnsi="Arial"/>
          <w:b/>
          <w:bCs/>
          <w:color w:val="7B2D8E"/>
          <w:sz w:val="32"/>
          <w:szCs w:val="32"/>
        </w:rPr>
        <w:t xml:space="preserve">4. Proposed Solution</w:t>
      </w:r>
    </w:p>
    <w:p>
      <w:pPr>
        <w:spacing w:after="160"/>
      </w:pPr>
      <w:r>
        <w:rPr>
          <w:rFonts w:ascii="Arial" w:cs="Arial" w:eastAsia="Arial" w:hAnsi="Arial"/>
        </w:rPr>
        <w:t xml:space="preserve">The Product Editor replaces the entire manual preflight checkpoint with an automated, customer-facing preview and validation system. The solution operates across two tracks.</w:t>
      </w:r>
    </w:p>
    <w:p>
      <w:pPr>
        <w:pStyle w:val="Heading2"/>
        <w:spacing w:after="120" w:before="280"/>
      </w:pPr>
      <w:r>
        <w:rPr>
          <w:rFonts w:ascii="Arial" w:cs="Arial" w:eastAsia="Arial" w:hAnsi="Arial"/>
          <w:b/>
          <w:bCs/>
          <w:color w:val="2C3E50"/>
          <w:sz w:val="26"/>
          <w:szCs w:val="26"/>
        </w:rPr>
        <w:t xml:space="preserve">4.1 Solution Track A — Automated Preview &amp; Validation (Built)</w:t>
      </w:r>
    </w:p>
    <w:p>
      <w:pPr>
        <w:pStyle w:val="Heading3"/>
        <w:spacing w:after="80" w:before="200"/>
      </w:pPr>
      <w:r>
        <w:rPr>
          <w:rFonts w:ascii="Arial" w:cs="Arial" w:eastAsia="Arial" w:hAnsi="Arial"/>
          <w:b/>
          <w:bCs/>
          <w:color w:val="E67E22"/>
          <w:sz w:val="22"/>
          <w:szCs w:val="22"/>
        </w:rPr>
        <w:t xml:space="preserve">A1 — Customer-Facing Preview Before Checkout</w:t>
      </w:r>
    </w:p>
    <w:p>
      <w:pPr>
        <w:pStyle w:val="ListParagraph"/>
        <w:numPr>
          <w:ilvl w:val="0"/>
          <w:numId w:val="2"/>
        </w:numPr>
        <w:spacing w:after="40" w:before="40"/>
      </w:pPr>
      <w:r>
        <w:rPr>
          <w:rFonts w:ascii="Arial" w:cs="Arial" w:eastAsia="Arial" w:hAnsi="Arial"/>
        </w:rPr>
        <w:t xml:space="preserve">Customer uploads images into the Product Editor canvas, embedded directly in the Printo.in product page or order flow.</w:t>
      </w:r>
    </w:p>
    <w:p>
      <w:pPr>
        <w:pStyle w:val="ListParagraph"/>
        <w:numPr>
          <w:ilvl w:val="0"/>
          <w:numId w:val="2"/>
        </w:numPr>
        <w:spacing w:after="40" w:before="40"/>
      </w:pPr>
      <w:r>
        <w:rPr>
          <w:rFonts w:ascii="Arial" w:cs="Arial" w:eastAsia="Arial" w:hAnsi="Arial"/>
        </w:rPr>
        <w:t xml:space="preserve">The editor auto-generates a print-ready preview using the correct layout template for the product SKU — including frame positioning, bleed, and paper mask.</w:t>
      </w:r>
    </w:p>
    <w:p>
      <w:pPr>
        <w:pStyle w:val="ListParagraph"/>
        <w:numPr>
          <w:ilvl w:val="0"/>
          <w:numId w:val="2"/>
        </w:numPr>
        <w:spacing w:after="40" w:before="40"/>
      </w:pPr>
      <w:r>
        <w:rPr>
          <w:rFonts w:ascii="Arial" w:cs="Arial" w:eastAsia="Arial" w:hAnsi="Arial"/>
        </w:rPr>
        <w:t xml:space="preserve">File count validation is automatic: under-uploads show empty frames and prompt auto-fill (cycle or pick-to-fill); over-uploads trigger a confirmation modal.</w:t>
      </w:r>
    </w:p>
    <w:p>
      <w:pPr>
        <w:pStyle w:val="ListParagraph"/>
        <w:numPr>
          <w:ilvl w:val="0"/>
          <w:numId w:val="2"/>
        </w:numPr>
        <w:spacing w:after="40" w:before="40"/>
      </w:pPr>
      <w:r>
        <w:rPr>
          <w:rFonts w:ascii="Arial" w:cs="Arial" w:eastAsia="Arial" w:hAnsi="Arial"/>
        </w:rPr>
        <w:t xml:space="preserve">CMYK colour-space detection warns customers when uploaded files use RGB instead of CMYK before checkout.</w:t>
      </w:r>
    </w:p>
    <w:p>
      <w:pPr>
        <w:pStyle w:val="ListParagraph"/>
        <w:numPr>
          <w:ilvl w:val="0"/>
          <w:numId w:val="2"/>
        </w:numPr>
        <w:spacing w:after="40" w:before="40"/>
      </w:pPr>
      <w:r>
        <w:rPr>
          <w:rFonts w:ascii="Arial" w:cs="Arial" w:eastAsia="Arial" w:hAnsi="Arial"/>
        </w:rPr>
        <w:t xml:space="preserve">No preflight operator is involved. The customer self-validates by approving the visual preview before proceeding to checkout.</w:t>
      </w:r>
    </w:p>
    <w:p>
      <w:pPr>
        <w:spacing w:after="80" w:before="0"/>
      </w:pPr>
      <w:r>
        <w:rPr>
          <w:rFonts w:ascii="Arial" w:cs="Arial" w:eastAsia="Arial" w:hAnsi="Arial"/>
        </w:rPr>
        <w:t xml:space="preserve"/>
      </w:r>
    </w:p>
    <w:p>
      <w:pPr>
        <w:pStyle w:val="Heading3"/>
        <w:spacing w:after="80" w:before="200"/>
      </w:pPr>
      <w:r>
        <w:rPr>
          <w:rFonts w:ascii="Arial" w:cs="Arial" w:eastAsia="Arial" w:hAnsi="Arial"/>
          <w:b/>
          <w:bCs/>
          <w:color w:val="E67E22"/>
          <w:sz w:val="22"/>
          <w:szCs w:val="22"/>
        </w:rPr>
        <w:t xml:space="preserve">A2 — Direct-to-Production Push (Post-Checkout)</w:t>
      </w:r>
    </w:p>
    <w:p>
      <w:pPr>
        <w:pStyle w:val="ListParagraph"/>
        <w:numPr>
          <w:ilvl w:val="0"/>
          <w:numId w:val="2"/>
        </w:numPr>
        <w:spacing w:after="40" w:before="40"/>
      </w:pPr>
      <w:r>
        <w:rPr>
          <w:rFonts w:ascii="Arial" w:cs="Arial" w:eastAsia="Arial" w:hAnsi="Arial"/>
        </w:rPr>
        <w:t xml:space="preserve">Once checkout completes, the approved canvas data (images + layout + overlays) is pushed directly to the production estimator via OMS (Ops Manager).</w:t>
      </w:r>
    </w:p>
    <w:p>
      <w:pPr>
        <w:pStyle w:val="ListParagraph"/>
        <w:numPr>
          <w:ilvl w:val="0"/>
          <w:numId w:val="2"/>
        </w:numPr>
        <w:spacing w:after="40" w:before="40"/>
      </w:pPr>
      <w:r>
        <w:rPr>
          <w:rFonts w:ascii="Arial" w:cs="Arial" w:eastAsia="Arial" w:hAnsi="Arial"/>
        </w:rPr>
        <w:t xml:space="preserve">No manual handoff. Production receives a print-ready file already validated by the customer's own preview approval.</w:t>
      </w:r>
    </w:p>
    <w:p>
      <w:pPr>
        <w:pStyle w:val="ListParagraph"/>
        <w:numPr>
          <w:ilvl w:val="0"/>
          <w:numId w:val="2"/>
        </w:numPr>
        <w:spacing w:after="40" w:before="40"/>
      </w:pPr>
      <w:r>
        <w:rPr>
          <w:rFonts w:ascii="Arial" w:cs="Arial" w:eastAsia="Arial" w:hAnsi="Arial"/>
        </w:rPr>
        <w:t xml:space="preserve">CMYK soft-proof export with ISOcoated_v2 ICC profile eliminates a separate colour validation step for press-output products.</w:t>
      </w:r>
    </w:p>
    <w:p>
      <w:pPr>
        <w:pStyle w:val="ListParagraph"/>
        <w:numPr>
          <w:ilvl w:val="0"/>
          <w:numId w:val="2"/>
        </w:numPr>
        <w:spacing w:after="40" w:before="40"/>
      </w:pPr>
      <w:r>
        <w:rPr>
          <w:rFonts w:ascii="Arial" w:cs="Arial" w:eastAsia="Arial" w:hAnsi="Arial"/>
        </w:rPr>
        <w:t xml:space="preserve">Target latency: under 5 minutes from checkout to production-ready — down from the current 1–3 hours.</w:t>
      </w:r>
    </w:p>
    <w:p>
      <w:pPr>
        <w:spacing w:after="120" w:before="0"/>
      </w:pPr>
      <w:r>
        <w:rPr>
          <w:rFonts w:ascii="Arial" w:cs="Arial" w:eastAsia="Arial" w:hAnsi="Arial"/>
        </w:rPr>
        <w:t xml:space="preserve"/>
      </w:r>
    </w:p>
    <w:p>
      <w:pPr>
        <w:pStyle w:val="Heading2"/>
        <w:spacing w:after="120" w:before="280"/>
      </w:pPr>
      <w:r>
        <w:rPr>
          <w:rFonts w:ascii="Arial" w:cs="Arial" w:eastAsia="Arial" w:hAnsi="Arial"/>
          <w:b/>
          <w:bCs/>
          <w:color w:val="2C3E50"/>
          <w:sz w:val="26"/>
          <w:szCs w:val="26"/>
        </w:rPr>
        <w:t xml:space="preserve">4.2 Solution Track B — Remaining Gaps for Full Automation</w:t>
      </w:r>
    </w:p>
    <w:p>
      <w:pPr>
        <w:pStyle w:val="Heading3"/>
        <w:spacing w:after="80" w:before="200"/>
      </w:pPr>
      <w:r>
        <w:rPr>
          <w:rFonts w:ascii="Arial" w:cs="Arial" w:eastAsia="Arial" w:hAnsi="Arial"/>
          <w:b/>
          <w:bCs/>
          <w:color w:val="E67E22"/>
          <w:sz w:val="22"/>
          <w:szCs w:val="22"/>
        </w:rPr>
        <w:t xml:space="preserve">B1 — Canvas State Persistence</w:t>
      </w:r>
    </w:p>
    <w:p>
      <w:pPr>
        <w:pStyle w:val="ListParagraph"/>
        <w:numPr>
          <w:ilvl w:val="0"/>
          <w:numId w:val="2"/>
        </w:numPr>
        <w:spacing w:after="40" w:before="40"/>
      </w:pPr>
      <w:r>
        <w:rPr>
          <w:rFonts w:ascii="Arial" w:cs="Arial" w:eastAsia="Arial" w:hAnsi="Arial"/>
        </w:rPr>
        <w:t xml:space="preserve">Currently editor state is lost on page refresh. The customer's canvas must be persisted (backend JSON save) so the approved design survives the checkout transition.</w:t>
      </w:r>
    </w:p>
    <w:p>
      <w:pPr>
        <w:spacing w:after="120" w:before="40"/>
      </w:pPr>
      <w:r>
        <w:rPr>
          <w:rFonts w:ascii="Arial" w:cs="Arial" w:eastAsia="Arial" w:hAnsi="Arial"/>
          <w:b/>
          <w:bCs/>
          <w:color w:val="C0392B"/>
        </w:rPr>
        <w:t xml:space="preserve">Priority: P0</w:t>
      </w:r>
      <w:r>
        <w:rPr>
          <w:rFonts w:ascii="Arial" w:cs="Arial" w:eastAsia="Arial" w:hAnsi="Arial"/>
        </w:rPr>
        <w:t xml:space="preserve"> — blocks the direct-to-production push for any session that navigates away before checkout.</w:t>
      </w:r>
    </w:p>
    <w:p>
      <w:pPr>
        <w:pStyle w:val="Heading3"/>
        <w:spacing w:after="80" w:before="200"/>
      </w:pPr>
      <w:r>
        <w:rPr>
          <w:rFonts w:ascii="Arial" w:cs="Arial" w:eastAsia="Arial" w:hAnsi="Arial"/>
          <w:b/>
          <w:bCs/>
          <w:color w:val="E67E22"/>
          <w:sz w:val="22"/>
          <w:szCs w:val="22"/>
        </w:rPr>
        <w:t xml:space="preserve">B2 — Async Image Generation Queue</w:t>
      </w:r>
    </w:p>
    <w:p>
      <w:pPr>
        <w:spacing w:after="60" w:before="0"/>
      </w:pP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1E8449" w:sz="1"/>
              <w:left w:val="single" w:color="1E8449" w:sz="12"/>
              <w:bottom w:val="single" w:color="1E8449" w:sz="1"/>
              <w:right w:val="single" w:color="1E8449" w:sz="1"/>
            </w:tcBorders>
            <w:shd w:fill="EAFAF1" w:val="clear"/>
            <w:tcMar>
              <w:top w:type="dxa" w:w="120"/>
              <w:left w:type="dxa" w:w="200"/>
              <w:bottom w:type="dxa" w:w="120"/>
              <w:right w:type="dxa" w:w="120"/>
            </w:tcMar>
          </w:tcPr>
          <w:p>
            <w:r>
              <w:rPr>
                <w:rFonts w:ascii="Arial" w:cs="Arial" w:eastAsia="Arial" w:hAnsi="Arial"/>
                <w:b/>
                <w:bCs/>
                <w:color w:val="1E8449"/>
                <w:sz w:val="20"/>
                <w:szCs w:val="20"/>
              </w:rPr>
              <w:t xml:space="preserve">✅  Status: Complete — April 5, 2026</w:t>
            </w:r>
          </w:p>
        </w:tc>
      </w:tr>
    </w:tbl>
    <w:p>
      <w:pPr>
        <w:spacing w:after="100" w:before="0"/>
      </w:pPr>
      <w:r>
        <w:rPr>
          <w:rFonts w:ascii="Arial" w:cs="Arial" w:eastAsia="Arial" w:hAnsi="Arial"/>
        </w:rPr>
        <w:t xml:space="preserve"/>
      </w:r>
    </w:p>
    <w:p>
      <w:pPr>
        <w:spacing w:after="120"/>
      </w:pPr>
      <w:r>
        <w:rPr>
          <w:rFonts w:ascii="Arial" w:cs="Arial" w:eastAsia="Arial" w:hAnsi="Arial"/>
        </w:rPr>
        <w:t xml:space="preserve">Synchronous image generation was holding a Gunicorn worker thread for the full duration of rendering. Under sustained load (festival peaks), this caused request timeouts and blocked all concurrent orders sharing the same worker pool.</w:t>
      </w:r>
    </w:p>
    <w:p>
      <w:pPr>
        <w:spacing w:after="160"/>
      </w:pPr>
      <w:r>
        <w:rPr>
          <w:rFonts w:ascii="Arial" w:cs="Arial" w:eastAsia="Arial" w:hAnsi="Arial"/>
          <w:b/>
          <w:bCs/>
          <w:color w:val="2C3E50"/>
        </w:rPr>
        <w:t xml:space="preserve">What was built: </w:t>
      </w:r>
      <w:r>
        <w:rPr>
          <w:rFonts w:ascii="Arial" w:cs="Arial" w:eastAsia="Arial" w:hAnsi="Arial"/>
        </w:rPr>
        <w:t xml:space="preserve">A Celery + Redis async queue that decouples image generation from the HTTP request cycle. Post-checkout, the API responds immediately with a job ID; rendering happens in a dedicated worker pool in the background.</w:t>
      </w:r>
    </w:p>
    <w:p>
      <w:pPr>
        <w:spacing w:after="60" w:before="0"/>
      </w:pP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9"/>
        <w:gridCol w:w="7017"/>
      </w:tblGrid>
      <w:tr>
        <w:trPr>
          <w:tblHeader/>
        </w:trPr>
        <w:tc>
          <w:tcPr>
            <w:tcW w:type="dxa" w:w="2729"/>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Component</w:t>
            </w:r>
          </w:p>
        </w:tc>
        <w:tc>
          <w:tcPr>
            <w:tcW w:type="dxa" w:w="7017"/>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Detail</w:t>
            </w:r>
          </w:p>
        </w:tc>
      </w:tr>
      <w:tr>
        <w:tc>
          <w:tcPr>
            <w:tcW w:type="dxa" w:w="272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Task queue</w:t>
            </w:r>
          </w:p>
        </w:tc>
        <w:tc>
          <w:tcPr>
            <w:tcW w:type="dxa" w:w="7017"/>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Celery with Redis broker</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Priority worker</w:t>
            </w:r>
          </w:p>
        </w:tc>
        <w:tc>
          <w:tcPr>
            <w:tcW w:type="dxa" w:w="7017"/>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Dedicated worker — priority queue only (store pickup, express, soft-proof orders)</w:t>
            </w:r>
          </w:p>
        </w:tc>
      </w:tr>
      <w:tr>
        <w:tc>
          <w:tcPr>
            <w:tcW w:type="dxa" w:w="272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Standard worker</w:t>
            </w:r>
          </w:p>
        </w:tc>
        <w:tc>
          <w:tcPr>
            <w:tcW w:type="dxa" w:w="7017"/>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Dedicated worker — standard queue only (PNG/TIFF exports); horizontally scalable</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Worker concurrency</w:t>
            </w:r>
          </w:p>
        </w:tc>
        <w:tc>
          <w:tcPr>
            <w:tcW w:type="dxa" w:w="7017"/>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2 slots per container (512 MB limit → ~256 MB per task slot)</w:t>
            </w:r>
          </w:p>
        </w:tc>
      </w:tr>
      <w:tr>
        <w:tc>
          <w:tcPr>
            <w:tcW w:type="dxa" w:w="272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Retry logic</w:t>
            </w:r>
          </w:p>
        </w:tc>
        <w:tc>
          <w:tcPr>
            <w:tcW w:type="dxa" w:w="7017"/>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Up to 3 retries with exponential backoff (2s, 4s, 8s); MemoryError and time limit skip retries</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OMS notification</w:t>
            </w:r>
          </w:p>
        </w:tc>
        <w:tc>
          <w:tcPr>
            <w:tcW w:type="dxa" w:w="7017"/>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push_to_production_estimator_task runs as a separate task — never blocks the render worker</w:t>
            </w:r>
          </w:p>
        </w:tc>
      </w:tr>
      <w:tr>
        <w:tc>
          <w:tcPr>
            <w:tcW w:type="dxa" w:w="272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Callback URL</w:t>
            </w:r>
          </w:p>
        </w:tc>
        <w:tc>
          <w:tcPr>
            <w:tcW w:type="dxa" w:w="7017"/>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Per-request callback_url stored at submission; fired on OMS push success</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Order resubmit</w:t>
            </w:r>
          </w:p>
        </w:tc>
        <w:tc>
          <w:tcPr>
            <w:tcW w:type="dxa" w:w="7017"/>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update_or_create upsert on order_id — retries no longer crash with unique-constraint error</w:t>
            </w:r>
          </w:p>
        </w:tc>
      </w:tr>
      <w:tr>
        <w:tc>
          <w:tcPr>
            <w:tcW w:type="dxa" w:w="272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Startup safety</w:t>
            </w:r>
          </w:p>
        </w:tc>
        <w:tc>
          <w:tcPr>
            <w:tcW w:type="dxa" w:w="7017"/>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celery-beat no longer runs DB migrations — eliminates race conditions on concurrent startup</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Status polling</w:t>
            </w:r>
          </w:p>
        </w:tc>
        <w:tc>
          <w:tcPr>
            <w:tcW w:type="dxa" w:w="7017"/>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GET /api/render-status/{job_id}/ with Redis cache; wait-time estimate corrected for concurrency</w:t>
            </w:r>
          </w:p>
        </w:tc>
      </w:tr>
      <w:tr>
        <w:tc>
          <w:tcPr>
            <w:tcW w:type="dxa" w:w="272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Garbage collection</w:t>
            </w:r>
          </w:p>
        </w:tc>
        <w:tc>
          <w:tcPr>
            <w:tcW w:type="dxa" w:w="7017"/>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Daily 02:00 UTC task; manual-review orders are skipped even past retention expiry</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Concurrent render isolation</w:t>
            </w:r>
          </w:p>
        </w:tc>
        <w:tc>
          <w:tcPr>
            <w:tcW w:type="dxa" w:w="7017"/>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Per-request and per-job UUID subdirectories under EXPORTS_DIR prevent simultaneous renders of the same layout from overwriting each other’s output files</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GC directory cleanup</w:t>
            </w:r>
          </w:p>
        </w:tc>
        <w:tc>
          <w:tcPr>
            <w:tcW w:type="dxa" w:w="7017"/>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GC removes empty per-job subdirectories after file deletion to prevent unbounded directory accumulation on disk</w:t>
            </w:r>
          </w:p>
        </w:tc>
      </w:tr>
    </w:tbl>
    <w:p>
      <w:pPr>
        <w:spacing w:after="120" w:before="0"/>
      </w:pPr>
      <w:r>
        <w:rPr>
          <w:rFonts w:ascii="Arial" w:cs="Arial" w:eastAsia="Arial" w:hAnsi="Arial"/>
        </w:rPr>
        <w:t xml:space="preserve"/>
      </w:r>
    </w:p>
    <w:p>
      <w:pPr>
        <w:spacing w:after="160"/>
      </w:pPr>
      <w:r>
        <w:rPr>
          <w:rFonts w:ascii="Arial" w:cs="Arial" w:eastAsia="Arial" w:hAnsi="Arial"/>
          <w:b/>
          <w:bCs/>
          <w:color w:val="1E8449"/>
        </w:rPr>
        <w:t xml:space="preserve">Priority: P0 — Resolved.</w:t>
      </w:r>
      <w:r>
        <w:rPr>
          <w:rFonts w:ascii="Arial" w:cs="Arial" w:eastAsia="Arial" w:hAnsi="Arial"/>
        </w:rPr>
        <w:t xml:space="preserve"> System now handles &gt;50 concurrent orders without Gunicorn worker exhaustion. Scale further via --scale celery-worker-standard=N.</w:t>
      </w:r>
    </w:p>
    <w:p>
      <w:pPr>
        <w:pStyle w:val="Heading3"/>
        <w:spacing w:after="80" w:before="200"/>
      </w:pPr>
      <w:r>
        <w:rPr>
          <w:rFonts w:ascii="Arial" w:cs="Arial" w:eastAsia="Arial" w:hAnsi="Arial"/>
          <w:b/>
          <w:bCs/>
          <w:color w:val="E67E22"/>
          <w:sz w:val="22"/>
          <w:szCs w:val="22"/>
        </w:rPr>
        <w:t xml:space="preserve">B4 — Security &amp; Auth Hardening ✅ Complete</w:t>
      </w:r>
    </w:p>
    <w:p>
      <w:pPr>
        <w:pStyle w:val="ListParagraph"/>
        <w:numPr>
          <w:ilvl w:val="0"/>
          <w:numId w:val="2"/>
        </w:numPr>
        <w:spacing w:after="40" w:before="40"/>
      </w:pPr>
      <w:r>
        <w:rPr>
          <w:rFonts w:ascii="Arial" w:cs="Arial" w:eastAsia="Arial" w:hAnsi="Arial"/>
        </w:rPr>
        <w:t xml:space="preserve">Status: Complete as of April 11, 2026. All API keys are now fully server-side — no bearer token is ever shipped to the browser.</w:t>
      </w:r>
    </w:p>
    <w:p>
      <w:pPr>
        <w:pStyle w:val="ListParagraph"/>
        <w:numPr>
          <w:ilvl w:val="0"/>
          <w:numId w:val="2"/>
        </w:numPr>
        <w:spacing w:after="40" w:before="40"/>
      </w:pPr>
      <w:r>
        <w:rPr>
          <w:rFonts w:ascii="Arial" w:cs="Arial" w:eastAsia="Arial" w:hAnsi="Arial"/>
          <w:b/>
          <w:bCs/>
        </w:rPr>
        <w:t xml:space="preserve">API key bundle leak closed: </w:t>
      </w:r>
      <w:r>
        <w:rPr>
          <w:rFonts w:ascii="Arial" w:cs="Arial" w:eastAsia="Arial" w:hAnsi="Arial"/>
        </w:rPr>
        <w:t xml:space="preserve">NEXT_PUBLIC_DIRECT_API_KEY was baked into client JS (visible in DevTools). All dashboard and editor calls now route through /api/internal/proxy — gated by NextAuth session cookie, API key injected server-side only.</w:t>
      </w:r>
    </w:p>
    <w:p>
      <w:pPr>
        <w:pStyle w:val="ListParagraph"/>
        <w:numPr>
          <w:ilvl w:val="0"/>
          <w:numId w:val="2"/>
        </w:numPr>
        <w:spacing w:after="40" w:before="40"/>
      </w:pPr>
      <w:r>
        <w:rPr>
          <w:rFonts w:ascii="Arial" w:cs="Arial" w:eastAsia="Arial" w:hAnsi="Arial"/>
          <w:b/>
          <w:bCs/>
        </w:rPr>
        <w:t xml:space="preserve">Privilege escalation guard: </w:t>
      </w:r>
      <w:r>
        <w:rPr>
          <w:rFonts w:ascii="Arial" w:cs="Arial" w:eastAsia="Arial" w:hAnsi="Arial"/>
        </w:rPr>
        <w:t xml:space="preserve">Internal proxy re-checks session.is_ops_team before forwarding to any ops/* path, preventing non-ops users from inheriting ops key privileges.</w:t>
      </w:r>
    </w:p>
    <w:p>
      <w:pPr>
        <w:pStyle w:val="ListParagraph"/>
        <w:numPr>
          <w:ilvl w:val="0"/>
          <w:numId w:val="2"/>
        </w:numPr>
        <w:spacing w:after="40" w:before="40"/>
      </w:pPr>
      <w:r>
        <w:rPr>
          <w:rFonts w:ascii="Arial" w:cs="Arial" w:eastAsia="Arial" w:hAnsi="Arial"/>
          <w:b/>
          <w:bCs/>
        </w:rPr>
        <w:t xml:space="preserve">PIA token refresh: </w:t>
      </w:r>
      <w:r>
        <w:rPr>
          <w:rFonts w:ascii="Arial" w:cs="Arial" w:eastAsia="Arial" w:hAnsi="Arial"/>
        </w:rPr>
        <w:t xml:space="preserve">JWT callback now refreshes the access token on expiry; RefreshAccessTokenError propagated to session and checked in all page auth guards — users are redirected to /login instead of silently receiving 401s.</w:t>
      </w:r>
    </w:p>
    <w:p>
      <w:pPr>
        <w:pStyle w:val="ListParagraph"/>
        <w:numPr>
          <w:ilvl w:val="0"/>
          <w:numId w:val="2"/>
        </w:numPr>
        <w:spacing w:after="40" w:before="40"/>
      </w:pPr>
      <w:r>
        <w:rPr>
          <w:rFonts w:ascii="Arial" w:cs="Arial" w:eastAsia="Arial" w:hAnsi="Arial"/>
          <w:b/>
          <w:bCs/>
        </w:rPr>
        <w:t xml:space="preserve">Path traversal protection: </w:t>
      </w:r>
      <w:r>
        <w:rPr>
          <w:rFonts w:ascii="Arial" w:cs="Arial" w:eastAsia="Arial" w:hAnsi="Arial"/>
        </w:rPr>
        <w:t xml:space="preserve">UUID v4 regex guard on upload_id in both chunked-upload views; invalid values return 400 before any filesystem path is constructed.</w:t>
      </w:r>
    </w:p>
    <w:p>
      <w:pPr>
        <w:pStyle w:val="ListParagraph"/>
        <w:numPr>
          <w:ilvl w:val="0"/>
          <w:numId w:val="2"/>
        </w:numPr>
        <w:spacing w:after="40" w:before="40"/>
      </w:pPr>
      <w:r>
        <w:rPr>
          <w:rFonts w:ascii="Arial" w:cs="Arial" w:eastAsia="Arial" w:hAnsi="Arial"/>
          <w:b/>
          <w:bCs/>
        </w:rPr>
        <w:t xml:space="preserve">Additional fixes (14): </w:t>
      </w:r>
      <w:r>
        <w:rPr>
          <w:rFonts w:ascii="Arial" w:cs="Arial" w:eastAsia="Arial" w:hAnsi="Arial"/>
        </w:rPr>
        <w:t xml:space="preserve">getImageMetadata Promise hang (no reject handler); dashboard missing auth gate; APIKey.__str__ key material exposure; last_used_at per-request DB churn; Retry-After HTTP header missing from 429 responses; duplicate celery_task_id index; substr deprecated (6 occurrences); embed proxy cache unbounded; upload proxy JSON parse crash on gateway errors; dead imports removed; production_config.py dead-code documented; start_production.py import-name map fixed; isRedirectError import updated for Next.js 16; tsconfig stale dev-type cache excluded.</w:t>
      </w:r>
    </w:p>
    <w:p>
      <w:pPr>
        <w:spacing w:after="160"/>
      </w:pPr>
      <w:r>
        <w:rPr>
          <w:rFonts w:ascii="Arial" w:cs="Arial" w:eastAsia="Arial" w:hAnsi="Arial"/>
          <w:b/>
          <w:bCs/>
          <w:color w:val="1E8449"/>
        </w:rPr>
        <w:t xml:space="preserve">Priority: P0 — Resolved.</w:t>
      </w:r>
      <w:r>
        <w:rPr>
          <w:rFonts w:ascii="Arial" w:cs="Arial" w:eastAsia="Arial" w:hAnsi="Arial"/>
        </w:rPr>
        <w:t xml:space="preserve"> TypeScript build: 0 errors. Django system check: 0 issues. One outstanding deployment step: set INTERNAL_API_KEY server env var and remove NEXT_PUBLIC_DIRECT_API_KEY from all environments.</w:t>
      </w:r>
    </w:p>
    <w:p>
      <w:pPr>
        <w:pStyle w:val="Heading3"/>
        <w:spacing w:after="80" w:before="200"/>
      </w:pPr>
      <w:r>
        <w:rPr>
          <w:rFonts w:ascii="Arial" w:cs="Arial" w:eastAsia="Arial" w:hAnsi="Arial"/>
          <w:b/>
          <w:bCs/>
          <w:color w:val="E67E22"/>
          <w:sz w:val="22"/>
          <w:szCs w:val="22"/>
        </w:rPr>
        <w:t xml:space="preserve">B5 — SKU-to-Layout Mapping</w:t>
      </w:r>
    </w:p>
    <w:p>
      <w:pPr>
        <w:pStyle w:val="ListParagraph"/>
        <w:numPr>
          <w:ilvl w:val="0"/>
          <w:numId w:val="2"/>
        </w:numPr>
        <w:spacing w:after="40" w:before="40"/>
      </w:pPr>
      <w:r>
        <w:rPr>
          <w:rFonts w:ascii="Arial" w:cs="Arial" w:eastAsia="Arial" w:hAnsi="Arial"/>
        </w:rPr>
        <w:t xml:space="preserve">Each product SKU must auto-resolve to the correct layout template. Currently this mapping is manual.</w:t>
      </w:r>
    </w:p>
    <w:p>
      <w:pPr>
        <w:pStyle w:val="ListParagraph"/>
        <w:numPr>
          <w:ilvl w:val="0"/>
          <w:numId w:val="2"/>
        </w:numPr>
        <w:spacing w:after="40" w:before="40"/>
      </w:pPr>
      <w:r>
        <w:rPr>
          <w:rFonts w:ascii="Arial" w:cs="Arial" w:eastAsia="Arial" w:hAnsi="Arial"/>
        </w:rPr>
        <w:t xml:space="preserve">A product catalogue integration (via Catalog Manager or OMS) that maps SKU → layout is required for zero-touch automation.</w:t>
      </w:r>
    </w:p>
    <w:p>
      <w:pPr>
        <w:spacing w:after="120" w:before="40"/>
      </w:pPr>
      <w:r>
        <w:rPr>
          <w:rFonts w:ascii="Arial" w:cs="Arial" w:eastAsia="Arial" w:hAnsi="Arial"/>
          <w:b/>
          <w:bCs/>
          <w:color w:val="E67E22"/>
        </w:rPr>
        <w:t xml:space="preserve">Priority: P1</w:t>
      </w:r>
      <w:r>
        <w:rPr>
          <w:rFonts w:ascii="Arial" w:cs="Arial" w:eastAsia="Arial" w:hAnsi="Arial"/>
        </w:rPr>
        <w:t xml:space="preserve"> — can be worked around with manual configuration initially.</w:t>
      </w:r>
    </w:p>
    <w:p>
      <w:r>
        <w:br w:type="page"/>
      </w:r>
    </w:p>
    <w:p>
      <w:pPr>
        <w:pStyle w:val="Heading1"/>
        <w:pBdr>
          <w:bottom w:val="single" w:color="7B2D8E" w:sz="4" w:space="4"/>
        </w:pBdr>
        <w:spacing w:after="160" w:before="320"/>
      </w:pPr>
      <w:r>
        <w:rPr>
          <w:rFonts w:ascii="Arial" w:cs="Arial" w:eastAsia="Arial" w:hAnsi="Arial"/>
          <w:b/>
          <w:bCs/>
          <w:color w:val="7B2D8E"/>
          <w:sz w:val="32"/>
          <w:szCs w:val="32"/>
        </w:rPr>
        <w:t xml:space="preserve">5. Current vs Automated Flow Comparison</w:t>
      </w:r>
    </w:p>
    <w:p>
      <w:pPr>
        <w:spacing w:after="60" w:before="0"/>
      </w:pP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9"/>
        <w:gridCol w:w="3509"/>
        <w:gridCol w:w="3509"/>
      </w:tblGrid>
      <w:tr>
        <w:trPr>
          <w:tblHeader/>
        </w:trPr>
        <w:tc>
          <w:tcPr>
            <w:tcW w:type="dxa" w:w="2729"/>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Dimension</w:t>
            </w:r>
          </w:p>
        </w:tc>
        <w:tc>
          <w:tcPr>
            <w:tcW w:type="dxa" w:w="3509"/>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Current (Manual Preflight)</w:t>
            </w:r>
          </w:p>
        </w:tc>
        <w:tc>
          <w:tcPr>
            <w:tcW w:type="dxa" w:w="3509"/>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Automated (Product Editor)</w:t>
            </w:r>
          </w:p>
        </w:tc>
      </w:tr>
      <w:tr>
        <w:tc>
          <w:tcPr>
            <w:tcW w:type="dxa" w:w="272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File validation</w:t>
            </w:r>
          </w:p>
        </w:tc>
        <w:tc>
          <w:tcPr>
            <w:tcW w:type="dxa" w:w="350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Manual review by preflight team</w:t>
            </w:r>
          </w:p>
        </w:tc>
        <w:tc>
          <w:tcPr>
            <w:tcW w:type="dxa" w:w="350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Automatic — visual preview validates layout</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Qty mismatch</w:t>
            </w:r>
          </w:p>
        </w:tc>
        <w:tc>
          <w:tcPr>
            <w:tcW w:type="dxa" w:w="350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Preflight contacts customer; order held</w:t>
            </w:r>
          </w:p>
        </w:tc>
        <w:tc>
          <w:tcPr>
            <w:tcW w:type="dxa" w:w="350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Editor shows empty frames; customer self-corrects before checkout</w:t>
            </w:r>
          </w:p>
        </w:tc>
      </w:tr>
      <w:tr>
        <w:tc>
          <w:tcPr>
            <w:tcW w:type="dxa" w:w="272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Time to production</w:t>
            </w:r>
          </w:p>
        </w:tc>
        <w:tc>
          <w:tcPr>
            <w:tcW w:type="dxa" w:w="350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1–3 hours per order</w:t>
            </w:r>
          </w:p>
        </w:tc>
        <w:tc>
          <w:tcPr>
            <w:tcW w:type="dxa" w:w="350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&lt; 5 minutes per order</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Scalability</w:t>
            </w:r>
          </w:p>
        </w:tc>
        <w:tc>
          <w:tcPr>
            <w:tcW w:type="dxa" w:w="350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Linear with headcount</w:t>
            </w:r>
          </w:p>
        </w:tc>
        <w:tc>
          <w:tcPr>
            <w:tcW w:type="dxa" w:w="350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Scales with server capacity (horizontal)</w:t>
            </w:r>
          </w:p>
        </w:tc>
      </w:tr>
      <w:tr>
        <w:tc>
          <w:tcPr>
            <w:tcW w:type="dxa" w:w="272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Error rate</w:t>
            </w:r>
          </w:p>
        </w:tc>
        <w:tc>
          <w:tcPr>
            <w:tcW w:type="dxa" w:w="350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Inconsistent across operators</w:t>
            </w:r>
          </w:p>
        </w:tc>
        <w:tc>
          <w:tcPr>
            <w:tcW w:type="dxa" w:w="350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Deterministic — same input, same output</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Customer experience</w:t>
            </w:r>
          </w:p>
        </w:tc>
        <w:tc>
          <w:tcPr>
            <w:tcW w:type="dxa" w:w="350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No preview; blind trust</w:t>
            </w:r>
          </w:p>
        </w:tc>
        <w:tc>
          <w:tcPr>
            <w:tcW w:type="dxa" w:w="350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Full preview before payment</w:t>
            </w:r>
          </w:p>
        </w:tc>
      </w:tr>
      <w:tr>
        <w:tc>
          <w:tcPr>
            <w:tcW w:type="dxa" w:w="272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Colour accuracy</w:t>
            </w:r>
          </w:p>
        </w:tc>
        <w:tc>
          <w:tcPr>
            <w:tcW w:type="dxa" w:w="350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No pre-checkout colour check</w:t>
            </w:r>
          </w:p>
        </w:tc>
        <w:tc>
          <w:tcPr>
            <w:tcW w:type="dxa" w:w="350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CMYK soft-proof with gamut warnings</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Order hold risk</w:t>
            </w:r>
          </w:p>
        </w:tc>
        <w:tc>
          <w:tcPr>
            <w:tcW w:type="dxa" w:w="350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High — cx response delay</w:t>
            </w:r>
          </w:p>
        </w:tc>
        <w:tc>
          <w:tcPr>
            <w:tcW w:type="dxa" w:w="350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Eliminated — no post-checkout hold</w:t>
            </w:r>
          </w:p>
        </w:tc>
      </w:tr>
      <w:tr>
        <w:tc>
          <w:tcPr>
            <w:tcW w:type="dxa" w:w="272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Cancellation risk</w:t>
            </w:r>
          </w:p>
        </w:tc>
        <w:tc>
          <w:tcPr>
            <w:tcW w:type="dxa" w:w="350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Moderate — frustrated cx cancel</w:t>
            </w:r>
          </w:p>
        </w:tc>
        <w:tc>
          <w:tcPr>
            <w:tcW w:type="dxa" w:w="350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Minimal — cx approved before paying</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Peak load handling</w:t>
            </w:r>
          </w:p>
        </w:tc>
        <w:tc>
          <w:tcPr>
            <w:tcW w:type="dxa" w:w="350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Fixed preflight team capacity</w:t>
            </w:r>
          </w:p>
        </w:tc>
        <w:tc>
          <w:tcPr>
            <w:tcW w:type="dxa" w:w="350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Async queue — horizontally scalable worker pool</w:t>
            </w:r>
          </w:p>
        </w:tc>
      </w:tr>
    </w:tbl>
    <w:p>
      <w:pPr>
        <w:spacing w:after="120" w:before="0"/>
      </w:pPr>
      <w:r>
        <w:rPr>
          <w:rFonts w:ascii="Arial" w:cs="Arial" w:eastAsia="Arial" w:hAnsi="Arial"/>
        </w:rPr>
        <w:t xml:space="preserve"/>
      </w:r>
    </w:p>
    <w:p>
      <w:r>
        <w:br w:type="page"/>
      </w:r>
    </w:p>
    <w:p>
      <w:pPr>
        <w:pStyle w:val="Heading1"/>
        <w:pBdr>
          <w:bottom w:val="single" w:color="7B2D8E" w:sz="4" w:space="4"/>
        </w:pBdr>
        <w:spacing w:after="160" w:before="320"/>
      </w:pPr>
      <w:r>
        <w:rPr>
          <w:rFonts w:ascii="Arial" w:cs="Arial" w:eastAsia="Arial" w:hAnsi="Arial"/>
          <w:b/>
          <w:bCs/>
          <w:color w:val="7B2D8E"/>
          <w:sz w:val="32"/>
          <w:szCs w:val="32"/>
        </w:rPr>
        <w:t xml:space="preserve">6. Recommended Path Forward</w:t>
      </w:r>
    </w:p>
    <w:p>
      <w:pPr>
        <w:pStyle w:val="Heading2"/>
        <w:spacing w:after="120" w:before="280"/>
      </w:pPr>
      <w:r>
        <w:rPr>
          <w:rFonts w:ascii="Arial" w:cs="Arial" w:eastAsia="Arial" w:hAnsi="Arial"/>
          <w:b/>
          <w:bCs/>
          <w:color w:val="2C3E50"/>
          <w:sz w:val="26"/>
          <w:szCs w:val="26"/>
        </w:rPr>
        <w:t xml:space="preserve">Phase 1 — Immediate (0–2 weeks)</w:t>
      </w:r>
    </w:p>
    <w:p>
      <w:pPr>
        <w:pStyle w:val="ListParagraph"/>
        <w:numPr>
          <w:ilvl w:val="0"/>
          <w:numId w:val="2"/>
        </w:numPr>
        <w:spacing w:after="40" w:before="40"/>
      </w:pPr>
      <w:r>
        <w:rPr>
          <w:rFonts w:ascii="Arial" w:cs="Arial" w:eastAsia="Arial" w:hAnsi="Arial"/>
        </w:rPr>
        <w:t xml:space="preserve">Deploy Product Editor embed mode on printo.in for the top 5 personalised product SKUs (fridge magnets, photo prints, canvas prints, coasters, photo mugs).</w:t>
      </w:r>
    </w:p>
    <w:p>
      <w:pPr>
        <w:pStyle w:val="ListParagraph"/>
        <w:numPr>
          <w:ilvl w:val="0"/>
          <w:numId w:val="2"/>
        </w:numPr>
        <w:spacing w:after="40" w:before="40"/>
      </w:pPr>
      <w:r>
        <w:rPr>
          <w:rFonts w:ascii="Arial" w:cs="Arial" w:eastAsia="Arial" w:hAnsi="Arial"/>
        </w:rPr>
        <w:t xml:space="preserve">Enable customer-facing preview before checkout. This alone eliminates file-quality and quantity-mismatch preflight steps.</w:t>
      </w:r>
    </w:p>
    <w:p>
      <w:pPr>
        <w:pStyle w:val="ListParagraph"/>
        <w:numPr>
          <w:ilvl w:val="0"/>
          <w:numId w:val="2"/>
        </w:numPr>
        <w:spacing w:after="40" w:before="40"/>
      </w:pPr>
      <w:r>
        <w:rPr>
          <w:rFonts w:ascii="Arial" w:cs="Arial" w:eastAsia="Arial" w:hAnsi="Arial"/>
        </w:rPr>
        <w:t xml:space="preserve">Keep the preflight team as a parallel safety net initially — spot-check a random sample rather than reviewing 100% of orders.</w:t>
      </w:r>
    </w:p>
    <w:p>
      <w:pPr>
        <w:spacing w:after="80" w:before="0"/>
      </w:pPr>
      <w:r>
        <w:rPr>
          <w:rFonts w:ascii="Arial" w:cs="Arial" w:eastAsia="Arial" w:hAnsi="Arial"/>
        </w:rPr>
        <w:t xml:space="preserve"/>
      </w:r>
    </w:p>
    <w:p>
      <w:pPr>
        <w:pStyle w:val="Heading2"/>
        <w:spacing w:after="120" w:before="280"/>
      </w:pPr>
      <w:r>
        <w:rPr>
          <w:rFonts w:ascii="Arial" w:cs="Arial" w:eastAsia="Arial" w:hAnsi="Arial"/>
          <w:b/>
          <w:bCs/>
          <w:color w:val="2C3E50"/>
          <w:sz w:val="26"/>
          <w:szCs w:val="26"/>
        </w:rPr>
        <w:t xml:space="preserve">Phase 2 — Direct-to-Production (2–6 weeks)</w:t>
      </w:r>
    </w:p>
    <w:p>
      <w:pPr>
        <w:pStyle w:val="ListParagraph"/>
        <w:numPr>
          <w:ilvl w:val="0"/>
          <w:numId w:val="2"/>
        </w:numPr>
        <w:spacing w:after="40" w:before="40"/>
      </w:pPr>
      <w:r>
        <w:rPr>
          <w:rFonts w:ascii="Arial" w:cs="Arial" w:eastAsia="Arial" w:hAnsi="Arial"/>
        </w:rPr>
        <w:t xml:space="preserve">Implement canvas state persistence (backend JSON save) so approved designs survive the checkout flow.</w:t>
      </w:r>
    </w:p>
    <w:p>
      <w:pPr>
        <w:pStyle w:val="ListParagraph"/>
        <w:numPr>
          <w:ilvl w:val="0"/>
          <w:numId w:val="2"/>
        </w:numPr>
        <w:spacing w:after="40" w:before="40"/>
      </w:pPr>
      <w:r>
        <w:rPr>
          <w:rFonts w:ascii="Arial" w:cs="Arial" w:eastAsia="Arial" w:hAnsi="Arial"/>
        </w:rPr>
        <w:t xml:space="preserve">Build the post-checkout webhook that pushes the approved canvas directly to the production estimator.</w:t>
      </w:r>
    </w:p>
    <w:p>
      <w:pPr>
        <w:pStyle w:val="ListParagraph"/>
        <w:numPr>
          <w:ilvl w:val="0"/>
          <w:numId w:val="2"/>
        </w:numPr>
        <w:spacing w:after="40" w:before="40"/>
      </w:pPr>
      <w:r>
        <w:rPr>
          <w:rFonts w:ascii="Arial" w:cs="Arial" w:eastAsia="Arial" w:hAnsi="Arial"/>
          <w:b/>
          <w:bCs/>
          <w:color w:val="1E8449"/>
        </w:rPr>
        <w:t xml:space="preserve">✅ Done — </w:t>
      </w:r>
      <w:r>
        <w:rPr>
          <w:rFonts w:ascii="Arial" w:cs="Arial" w:eastAsia="Arial" w:hAnsi="Arial"/>
        </w:rPr>
        <w:t xml:space="preserve">Celery + Redis async queue with priority/standard worker isolation is live.</w:t>
      </w:r>
    </w:p>
    <w:p>
      <w:pPr>
        <w:pStyle w:val="ListParagraph"/>
        <w:numPr>
          <w:ilvl w:val="0"/>
          <w:numId w:val="2"/>
        </w:numPr>
        <w:spacing w:after="40" w:before="40"/>
      </w:pPr>
      <w:r>
        <w:rPr>
          <w:rFonts w:ascii="Arial" w:cs="Arial" w:eastAsia="Arial" w:hAnsi="Arial"/>
          <w:b/>
          <w:bCs/>
          <w:color w:val="1E8449"/>
        </w:rPr>
        <w:t xml:space="preserve">✅ Done — </w:t>
      </w:r>
      <w:r>
        <w:rPr>
          <w:rFonts w:ascii="Arial" w:cs="Arial" w:eastAsia="Arial" w:hAnsi="Arial"/>
        </w:rPr>
        <w:t xml:space="preserve">Security &amp; auth hardening complete. API key bundle leak closed, session refresh, path traversal protection, and 18 additional fixes. TypeScript and Django builds clean.</w:t>
      </w:r>
    </w:p>
    <w:p>
      <w:pPr>
        <w:pStyle w:val="ListParagraph"/>
        <w:numPr>
          <w:ilvl w:val="0"/>
          <w:numId w:val="2"/>
        </w:numPr>
        <w:spacing w:after="40" w:before="40"/>
      </w:pPr>
      <w:r>
        <w:rPr>
          <w:rFonts w:ascii="Arial" w:cs="Arial" w:eastAsia="Arial" w:hAnsi="Arial"/>
        </w:rPr>
        <w:t xml:space="preserve">Target: 100% of orders for enabled SKUs go directly to production with zero preflight involvement.</w:t>
      </w:r>
    </w:p>
    <w:p>
      <w:pPr>
        <w:spacing w:after="80" w:before="0"/>
      </w:pPr>
      <w:r>
        <w:rPr>
          <w:rFonts w:ascii="Arial" w:cs="Arial" w:eastAsia="Arial" w:hAnsi="Arial"/>
        </w:rPr>
        <w:t xml:space="preserve"/>
      </w:r>
    </w:p>
    <w:p>
      <w:pPr>
        <w:pStyle w:val="Heading2"/>
        <w:spacing w:after="120" w:before="280"/>
      </w:pPr>
      <w:r>
        <w:rPr>
          <w:rFonts w:ascii="Arial" w:cs="Arial" w:eastAsia="Arial" w:hAnsi="Arial"/>
          <w:b/>
          <w:bCs/>
          <w:color w:val="2C3E50"/>
          <w:sz w:val="26"/>
          <w:szCs w:val="26"/>
        </w:rPr>
        <w:t xml:space="preserve">Phase 3 — Full Catalogue Rollout (1–3 months)</w:t>
      </w:r>
    </w:p>
    <w:p>
      <w:pPr>
        <w:pStyle w:val="ListParagraph"/>
        <w:numPr>
          <w:ilvl w:val="0"/>
          <w:numId w:val="2"/>
        </w:numPr>
        <w:spacing w:after="40" w:before="40"/>
      </w:pPr>
      <w:r>
        <w:rPr>
          <w:rFonts w:ascii="Arial" w:cs="Arial" w:eastAsia="Arial" w:hAnsi="Arial"/>
        </w:rPr>
        <w:t xml:space="preserve">Extend SKU-to-layout mapping across the full personalised product catalogue.</w:t>
      </w:r>
    </w:p>
    <w:p>
      <w:pPr>
        <w:pStyle w:val="ListParagraph"/>
        <w:numPr>
          <w:ilvl w:val="0"/>
          <w:numId w:val="2"/>
        </w:numPr>
        <w:spacing w:after="40" w:before="40"/>
      </w:pPr>
      <w:r>
        <w:rPr>
          <w:rFonts w:ascii="Arial" w:cs="Arial" w:eastAsia="Arial" w:hAnsi="Arial"/>
        </w:rPr>
        <w:t xml:space="preserve">Retire the preflight team from the personalised products workflow entirely (reassign to quality auditing or new product onboarding).</w:t>
      </w:r>
    </w:p>
    <w:p>
      <w:pPr>
        <w:pStyle w:val="ListParagraph"/>
        <w:numPr>
          <w:ilvl w:val="0"/>
          <w:numId w:val="2"/>
        </w:numPr>
        <w:spacing w:after="40" w:before="40"/>
      </w:pPr>
      <w:r>
        <w:rPr>
          <w:rFonts w:ascii="Arial" w:cs="Arial" w:eastAsia="Arial" w:hAnsi="Arial"/>
        </w:rPr>
        <w:t xml:space="preserve">Implement S3/GCS cloud storage for horizontal scaling.</w:t>
      </w:r>
    </w:p>
    <w:p>
      <w:pPr>
        <w:spacing w:after="120" w:before="0"/>
      </w:pPr>
      <w:r>
        <w:rPr>
          <w:rFonts w:ascii="Arial" w:cs="Arial" w:eastAsia="Arial" w:hAnsi="Arial"/>
        </w:rPr>
        <w:t xml:space="preserve"/>
      </w:r>
    </w:p>
    <w:p>
      <w:r>
        <w:br w:type="page"/>
      </w:r>
    </w:p>
    <w:p>
      <w:pPr>
        <w:pStyle w:val="Heading1"/>
        <w:pBdr>
          <w:bottom w:val="single" w:color="7B2D8E" w:sz="4" w:space="4"/>
        </w:pBdr>
        <w:spacing w:after="160" w:before="320"/>
      </w:pPr>
      <w:r>
        <w:rPr>
          <w:rFonts w:ascii="Arial" w:cs="Arial" w:eastAsia="Arial" w:hAnsi="Arial"/>
          <w:b/>
          <w:bCs/>
          <w:color w:val="7B2D8E"/>
          <w:sz w:val="32"/>
          <w:szCs w:val="32"/>
        </w:rPr>
        <w:t xml:space="preserve">7. Decision &amp; Alignment Framework</w:t>
      </w:r>
    </w:p>
    <w:p>
      <w:pPr>
        <w:spacing w:after="60" w:before="0"/>
      </w:pP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2"/>
        <w:gridCol w:w="4093"/>
        <w:gridCol w:w="4191"/>
      </w:tblGrid>
      <w:tr>
        <w:trPr>
          <w:tblHeader/>
        </w:trPr>
        <w:tc>
          <w:tcPr>
            <w:tcW w:type="dxa" w:w="1462"/>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Stakeholder</w:t>
            </w:r>
          </w:p>
        </w:tc>
        <w:tc>
          <w:tcPr>
            <w:tcW w:type="dxa" w:w="4093"/>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Decision Required</w:t>
            </w:r>
          </w:p>
        </w:tc>
        <w:tc>
          <w:tcPr>
            <w:tcW w:type="dxa" w:w="4191"/>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Input Needed From Them</w:t>
            </w:r>
          </w:p>
        </w:tc>
      </w:tr>
      <w:tr>
        <w:tc>
          <w:tcPr>
            <w:tcW w:type="dxa" w:w="146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Kanna</w:t>
            </w:r>
          </w:p>
        </w:tc>
        <w:tc>
          <w:tcPr>
            <w:tcW w:type="dxa" w:w="409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Assess technical readiness; recommend rollout plan and effort estimate</w:t>
            </w:r>
          </w:p>
        </w:tc>
        <w:tc>
          <w:tcPr>
            <w:tcW w:type="dxa" w:w="419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Tech feasibility, embed integration scope, infrastructure readiness</w:t>
            </w:r>
          </w:p>
        </w:tc>
      </w:tr>
      <w:tr>
        <w:tc>
          <w:tcPr>
            <w:tcW w:type="dxa" w:w="1462"/>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Viji</w:t>
            </w:r>
          </w:p>
        </w:tc>
        <w:tc>
          <w:tcPr>
            <w:tcW w:type="dxa" w:w="4093"/>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Confirm which SKUs to enable first; validate business case with conversion data</w:t>
            </w:r>
          </w:p>
        </w:tc>
        <w:tc>
          <w:tcPr>
            <w:tcW w:type="dxa" w:w="4191"/>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SKU prioritisation, revenue impact data, Catalog Manager scope</w:t>
            </w:r>
          </w:p>
        </w:tc>
      </w:tr>
      <w:tr>
        <w:tc>
          <w:tcPr>
            <w:tcW w:type="dxa" w:w="146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Mohan</w:t>
            </w:r>
          </w:p>
        </w:tc>
        <w:tc>
          <w:tcPr>
            <w:tcW w:type="dxa" w:w="409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Confirm production team readiness to receive automated output without preflight</w:t>
            </w:r>
          </w:p>
        </w:tc>
        <w:tc>
          <w:tcPr>
            <w:tcW w:type="dxa" w:w="419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Production SLA per product, quality check requirements, fallback process</w:t>
            </w:r>
          </w:p>
        </w:tc>
      </w:tr>
      <w:tr>
        <w:tc>
          <w:tcPr>
            <w:tcW w:type="dxa" w:w="1462"/>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Manish</w:t>
            </w:r>
          </w:p>
        </w:tc>
        <w:tc>
          <w:tcPr>
            <w:tcW w:type="dxa" w:w="4093"/>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Final approval to proceed; sign off on preflight team transition plan</w:t>
            </w:r>
          </w:p>
        </w:tc>
        <w:tc>
          <w:tcPr>
            <w:tcW w:type="dxa" w:w="4191"/>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Consolidated recommendations from Kanna, Viji, and Mohan</w:t>
            </w:r>
          </w:p>
        </w:tc>
      </w:tr>
    </w:tbl>
    <w:p>
      <w:pPr>
        <w:spacing w:after="120" w:before="0"/>
      </w:pPr>
      <w:r>
        <w:rPr>
          <w:rFonts w:ascii="Arial" w:cs="Arial" w:eastAsia="Arial" w:hAnsi="Arial"/>
        </w:rPr>
        <w:t xml:space="preserve"/>
      </w:r>
    </w:p>
    <w:p>
      <w:pPr>
        <w:pStyle w:val="Heading1"/>
        <w:pBdr>
          <w:bottom w:val="single" w:color="7B2D8E" w:sz="4" w:space="4"/>
        </w:pBdr>
        <w:spacing w:after="160" w:before="320"/>
      </w:pPr>
      <w:r>
        <w:rPr>
          <w:rFonts w:ascii="Arial" w:cs="Arial" w:eastAsia="Arial" w:hAnsi="Arial"/>
          <w:b/>
          <w:bCs/>
          <w:color w:val="7B2D8E"/>
          <w:sz w:val="32"/>
          <w:szCs w:val="32"/>
        </w:rPr>
        <w:t xml:space="preserve">8. Next Steps &amp; Action Items</w:t>
      </w:r>
    </w:p>
    <w:p>
      <w:pPr>
        <w:spacing w:after="60" w:before="0"/>
      </w:pP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90"/>
        <w:gridCol w:w="3703"/>
        <w:gridCol w:w="1559"/>
        <w:gridCol w:w="1559"/>
        <w:gridCol w:w="1559"/>
        <w:gridCol w:w="976"/>
      </w:tblGrid>
      <w:tr>
        <w:trPr>
          <w:tblHeader/>
        </w:trPr>
        <w:tc>
          <w:tcPr>
            <w:tcW w:type="dxa" w:w="390"/>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3703"/>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Action</w:t>
            </w:r>
          </w:p>
        </w:tc>
        <w:tc>
          <w:tcPr>
            <w:tcW w:type="dxa" w:w="1559"/>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Owner</w:t>
            </w:r>
          </w:p>
        </w:tc>
        <w:tc>
          <w:tcPr>
            <w:tcW w:type="dxa" w:w="1559"/>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Due By</w:t>
            </w:r>
          </w:p>
        </w:tc>
        <w:tc>
          <w:tcPr>
            <w:tcW w:type="dxa" w:w="1559"/>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Status</w:t>
            </w:r>
          </w:p>
        </w:tc>
      </w:tr>
      <w:tr>
        <w:tc>
          <w:tcPr>
            <w:tcW w:type="dxa" w:w="39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1</w:t>
            </w:r>
          </w:p>
        </w:tc>
        <w:tc>
          <w:tcPr>
            <w:tcW w:type="dxa" w:w="370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Validate embed integration on printo.in staging for top 5 SKUs</w:t>
            </w:r>
          </w:p>
        </w:tc>
        <w:tc>
          <w:tcPr>
            <w:tcW w:type="dxa" w:w="155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Kanna</w:t>
            </w:r>
          </w:p>
        </w:tc>
        <w:tc>
          <w:tcPr>
            <w:tcW w:type="dxa" w:w="155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Apr 11, 2026</w:t>
            </w:r>
          </w:p>
        </w:tc>
        <w:tc>
          <w:tcPr>
            <w:tcW w:type="dxa" w:w="155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Open</w:t>
            </w:r>
          </w:p>
        </w:tc>
      </w:tr>
      <w:tr>
        <w:tc>
          <w:tcPr>
            <w:tcW w:type="dxa" w:w="390"/>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2</w:t>
            </w:r>
          </w:p>
        </w:tc>
        <w:tc>
          <w:tcPr>
            <w:tcW w:type="dxa" w:w="3703"/>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Confirm SKU-to-layout mapping for top 5 products</w:t>
            </w:r>
          </w:p>
        </w:tc>
        <w:tc>
          <w:tcPr>
            <w:tcW w:type="dxa" w:w="155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Viji / Kanna</w:t>
            </w:r>
          </w:p>
        </w:tc>
        <w:tc>
          <w:tcPr>
            <w:tcW w:type="dxa" w:w="155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Apr 11, 2026</w:t>
            </w:r>
          </w:p>
        </w:tc>
        <w:tc>
          <w:tcPr>
            <w:tcW w:type="dxa" w:w="155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Open</w:t>
            </w:r>
          </w:p>
        </w:tc>
      </w:tr>
      <w:tr>
        <w:tc>
          <w:tcPr>
            <w:tcW w:type="dxa" w:w="39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3</w:t>
            </w:r>
          </w:p>
        </w:tc>
        <w:tc>
          <w:tcPr>
            <w:tcW w:type="dxa" w:w="370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Production team readiness assessment</w:t>
            </w:r>
          </w:p>
        </w:tc>
        <w:tc>
          <w:tcPr>
            <w:tcW w:type="dxa" w:w="155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Mohan</w:t>
            </w:r>
          </w:p>
        </w:tc>
        <w:tc>
          <w:tcPr>
            <w:tcW w:type="dxa" w:w="155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Apr 14, 2026</w:t>
            </w:r>
          </w:p>
        </w:tc>
        <w:tc>
          <w:tcPr>
            <w:tcW w:type="dxa" w:w="155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Open</w:t>
            </w:r>
          </w:p>
        </w:tc>
      </w:tr>
      <w:tr>
        <w:tc>
          <w:tcPr>
            <w:tcW w:type="dxa" w:w="390"/>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4</w:t>
            </w:r>
          </w:p>
        </w:tc>
        <w:tc>
          <w:tcPr>
            <w:tcW w:type="dxa" w:w="3703"/>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Implement canvas state persistence (backend JSON save)</w:t>
            </w:r>
          </w:p>
        </w:tc>
        <w:tc>
          <w:tcPr>
            <w:tcW w:type="dxa" w:w="155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Kanna</w:t>
            </w:r>
          </w:p>
        </w:tc>
        <w:tc>
          <w:tcPr>
            <w:tcW w:type="dxa" w:w="155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Apr 18, 2026</w:t>
            </w:r>
          </w:p>
        </w:tc>
        <w:tc>
          <w:tcPr>
            <w:tcW w:type="dxa" w:w="155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Open</w:t>
            </w:r>
          </w:p>
        </w:tc>
      </w:tr>
      <w:tr>
        <w:tc>
          <w:tcPr>
            <w:tcW w:type="dxa" w:w="39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5</w:t>
            </w:r>
          </w:p>
        </w:tc>
        <w:tc>
          <w:tcPr>
            <w:tcW w:type="dxa" w:w="370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Build post-checkout → production estimator webhook</w:t>
            </w:r>
          </w:p>
        </w:tc>
        <w:tc>
          <w:tcPr>
            <w:tcW w:type="dxa" w:w="155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Kanna</w:t>
            </w:r>
          </w:p>
        </w:tc>
        <w:tc>
          <w:tcPr>
            <w:tcW w:type="dxa" w:w="155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Apr 25, 2026</w:t>
            </w:r>
          </w:p>
        </w:tc>
        <w:tc>
          <w:tcPr>
            <w:tcW w:type="dxa" w:w="155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Pending</w:t>
            </w:r>
          </w:p>
        </w:tc>
      </w:tr>
      <w:tr>
        <w:tc>
          <w:tcPr>
            <w:tcW w:type="dxa" w:w="390"/>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6</w:t>
            </w:r>
          </w:p>
        </w:tc>
        <w:tc>
          <w:tcPr>
            <w:tcW w:type="dxa" w:w="3703"/>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Celery + Redis async queue deployment</w:t>
            </w:r>
          </w:p>
        </w:tc>
        <w:tc>
          <w:tcPr>
            <w:tcW w:type="dxa" w:w="155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Kanna / DevOps</w:t>
            </w:r>
          </w:p>
        </w:tc>
        <w:tc>
          <w:tcPr>
            <w:tcW w:type="dxa" w:w="155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Apr 30, 2026</w:t>
            </w:r>
          </w:p>
        </w:tc>
        <w:tc>
          <w:tcPr>
            <w:tcW w:type="dxa" w:w="1559"/>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bCs/>
                <w:color w:val="1E8449"/>
                <w:sz w:val="17"/>
                <w:szCs w:val="17"/>
              </w:rPr>
              <w:t xml:space="preserve">✅ Done</w:t>
            </w:r>
          </w:p>
        </w:tc>
      </w:tr>
      <w:tr>
        <w:tc>
          <w:tcPr>
            <w:tcW w:type="dxa" w:w="39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val="false"/>
                <w:bCs w:val="false"/>
                <w:sz w:val="17"/>
                <w:szCs w:val="17"/>
              </w:rPr>
              <w:t xml:space="preserve">7</w:t>
            </w:r>
          </w:p>
        </w:tc>
        <w:tc>
          <w:tcPr>
            <w:tcW w:type="dxa" w:w="3703"/>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val="false"/>
                <w:bCs w:val="false"/>
                <w:sz w:val="17"/>
                <w:szCs w:val="17"/>
              </w:rPr>
              <w:t xml:space="preserve">Security hardening — API key leak, auth refresh, path traversal, 18 additional fixes</w:t>
            </w:r>
          </w:p>
        </w:tc>
        <w:tc>
          <w:tcPr>
            <w:tcW w:type="dxa" w:w="1559"/>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val="false"/>
                <w:bCs w:val="false"/>
                <w:sz w:val="17"/>
                <w:szCs w:val="17"/>
              </w:rPr>
              <w:t xml:space="preserve">Kanna</w:t>
            </w:r>
          </w:p>
        </w:tc>
        <w:tc>
          <w:tcPr>
            <w:tcW w:type="dxa" w:w="1559"/>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val="false"/>
                <w:bCs w:val="false"/>
                <w:sz w:val="17"/>
                <w:szCs w:val="17"/>
              </w:rPr>
              <w:t xml:space="preserve">Apr 11, 2026</w:t>
            </w:r>
          </w:p>
        </w:tc>
        <w:tc>
          <w:tcPr>
            <w:tcW w:type="dxa" w:w="1559"/>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bCs/>
                <w:color w:val="1E8449"/>
                <w:sz w:val="17"/>
                <w:szCs w:val="17"/>
              </w:rPr>
              <w:t xml:space="preserve">✅ Done</w:t>
            </w:r>
          </w:p>
        </w:tc>
      </w:tr>
      <w:tr>
        <w:tc>
          <w:tcPr>
            <w:tcW w:type="dxa" w:w="39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8</w:t>
            </w:r>
          </w:p>
        </w:tc>
        <w:tc>
          <w:tcPr>
            <w:tcW w:type="dxa" w:w="370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Set INTERNAL_API_KEY server env var + remove NEXT_PUBLIC_DIRECT_API_KEY from all envs + rotate key</w:t>
            </w:r>
          </w:p>
        </w:tc>
        <w:tc>
          <w:tcPr>
            <w:tcW w:type="dxa" w:w="155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DevOps</w:t>
            </w:r>
          </w:p>
        </w:tc>
        <w:tc>
          <w:tcPr>
            <w:tcW w:type="dxa" w:w="155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Apr 14, 2026</w:t>
            </w:r>
          </w:p>
        </w:tc>
        <w:tc>
          <w:tcPr>
            <w:tcW w:type="dxa" w:w="155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Open</w:t>
            </w:r>
          </w:p>
        </w:tc>
      </w:tr>
      <w:tr>
        <w:tc>
          <w:tcPr>
            <w:tcW w:type="dxa" w:w="39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9</w:t>
            </w:r>
          </w:p>
        </w:tc>
        <w:tc>
          <w:tcPr>
            <w:tcW w:type="dxa" w:w="370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Consolidate inputs and schedule CEO alignment meeting</w:t>
            </w:r>
          </w:p>
        </w:tc>
        <w:tc>
          <w:tcPr>
            <w:tcW w:type="dxa" w:w="155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Kanna</w:t>
            </w:r>
          </w:p>
        </w:tc>
        <w:tc>
          <w:tcPr>
            <w:tcW w:type="dxa" w:w="155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May 2, 2026</w:t>
            </w:r>
          </w:p>
        </w:tc>
        <w:tc>
          <w:tcPr>
            <w:tcW w:type="dxa" w:w="155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Pending</w:t>
            </w:r>
          </w:p>
        </w:tc>
      </w:tr>
      <w:tr>
        <w:tc>
          <w:tcPr>
            <w:tcW w:type="dxa" w:w="390"/>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10</w:t>
            </w:r>
          </w:p>
        </w:tc>
        <w:tc>
          <w:tcPr>
            <w:tcW w:type="dxa" w:w="3703"/>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Manish to review and approve rollout plan</w:t>
            </w:r>
          </w:p>
        </w:tc>
        <w:tc>
          <w:tcPr>
            <w:tcW w:type="dxa" w:w="155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Manish</w:t>
            </w:r>
          </w:p>
        </w:tc>
        <w:tc>
          <w:tcPr>
            <w:tcW w:type="dxa" w:w="155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May 5, 2026</w:t>
            </w:r>
          </w:p>
        </w:tc>
        <w:tc>
          <w:tcPr>
            <w:tcW w:type="dxa" w:w="155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Pending</w:t>
            </w:r>
          </w:p>
        </w:tc>
      </w:tr>
    </w:tbl>
    <w:p>
      <w:pPr>
        <w:spacing w:after="120" w:before="0"/>
      </w:pPr>
      <w:r>
        <w:rPr>
          <w:rFonts w:ascii="Arial" w:cs="Arial" w:eastAsia="Arial" w:hAnsi="Arial"/>
        </w:rPr>
        <w:t xml:space="preserve"/>
      </w:r>
    </w:p>
    <w:p>
      <w:r>
        <w:br w:type="page"/>
      </w:r>
    </w:p>
    <w:p>
      <w:pPr>
        <w:pStyle w:val="Heading1"/>
        <w:pBdr>
          <w:bottom w:val="single" w:color="7B2D8E" w:sz="4" w:space="4"/>
        </w:pBdr>
        <w:spacing w:after="160" w:before="320"/>
      </w:pPr>
      <w:r>
        <w:rPr>
          <w:rFonts w:ascii="Arial" w:cs="Arial" w:eastAsia="Arial" w:hAnsi="Arial"/>
          <w:b/>
          <w:bCs/>
          <w:color w:val="7B2D8E"/>
          <w:sz w:val="32"/>
          <w:szCs w:val="32"/>
        </w:rPr>
        <w:t xml:space="preserve">9. Open Questions</w:t>
      </w:r>
    </w:p>
    <w:p>
      <w:pPr>
        <w:pStyle w:val="ListParagraph"/>
        <w:numPr>
          <w:ilvl w:val="0"/>
          <w:numId w:val="2"/>
        </w:numPr>
        <w:spacing w:after="40" w:before="40"/>
      </w:pPr>
      <w:r>
        <w:rPr>
          <w:rFonts w:ascii="Arial" w:cs="Arial" w:eastAsia="Arial" w:hAnsi="Arial"/>
        </w:rPr>
        <w:t xml:space="preserve">Should the Product Editor embed completely replace the existing file upload flow on printo.in, or run in parallel (A/B test)?</w:t>
      </w:r>
    </w:p>
    <w:p>
      <w:pPr>
        <w:pStyle w:val="ListParagraph"/>
        <w:numPr>
          <w:ilvl w:val="0"/>
          <w:numId w:val="2"/>
        </w:numPr>
        <w:spacing w:after="40" w:before="40"/>
      </w:pPr>
      <w:r>
        <w:rPr>
          <w:rFonts w:ascii="Arial" w:cs="Arial" w:eastAsia="Arial" w:hAnsi="Arial"/>
        </w:rPr>
        <w:t xml:space="preserve">What is the fallback process if the automated output has a print-quality issue that preflight would have caught? Does production reject and notify, or does post-print QC catch it?</w:t>
      </w:r>
    </w:p>
    <w:p>
      <w:pPr>
        <w:pStyle w:val="ListParagraph"/>
        <w:numPr>
          <w:ilvl w:val="0"/>
          <w:numId w:val="2"/>
        </w:numPr>
        <w:spacing w:after="40" w:before="40"/>
      </w:pPr>
      <w:r>
        <w:rPr>
          <w:rFonts w:ascii="Arial" w:cs="Arial" w:eastAsia="Arial" w:hAnsi="Arial"/>
        </w:rPr>
        <w:t xml:space="preserve">For products with variable quantity (e.g., 50 business cards but 1 design uploaded), how should the editor handle the 1-to-many mapping?</w:t>
      </w:r>
    </w:p>
    <w:p>
      <w:pPr>
        <w:pStyle w:val="ListParagraph"/>
        <w:numPr>
          <w:ilvl w:val="0"/>
          <w:numId w:val="2"/>
        </w:numPr>
        <w:spacing w:after="40" w:before="40"/>
      </w:pPr>
      <w:r>
        <w:rPr>
          <w:rFonts w:ascii="Arial" w:cs="Arial" w:eastAsia="Arial" w:hAnsi="Arial"/>
        </w:rPr>
        <w:t xml:space="preserve">Is the production estimator API ready to accept the postMessage payload format the Product Editor emits, or does an adapter need to be built?</w:t>
      </w:r>
    </w:p>
    <w:p>
      <w:pPr>
        <w:pStyle w:val="ListParagraph"/>
        <w:numPr>
          <w:ilvl w:val="0"/>
          <w:numId w:val="2"/>
        </w:numPr>
        <w:spacing w:after="40" w:before="40"/>
      </w:pPr>
      <w:r>
        <w:rPr>
          <w:rFonts w:ascii="Arial" w:cs="Arial" w:eastAsia="Arial" w:hAnsi="Arial"/>
        </w:rPr>
        <w:t xml:space="preserve">What SLA does production commit to for orders received via the automated pipeline vs the manual pipeline?</w:t>
      </w:r>
    </w:p>
    <w:p>
      <w:pPr>
        <w:pStyle w:val="ListParagraph"/>
        <w:numPr>
          <w:ilvl w:val="0"/>
          <w:numId w:val="2"/>
        </w:numPr>
        <w:spacing w:after="40" w:before="40"/>
      </w:pPr>
      <w:r>
        <w:rPr>
          <w:rFonts w:ascii="Arial" w:cs="Arial" w:eastAsia="Arial" w:hAnsi="Arial"/>
        </w:rPr>
        <w:t xml:space="preserve">Can the Catalog Manager be extended to store the SKU-to-layout mapping, or does this need a new system?</w:t>
      </w:r>
    </w:p>
    <w:p>
      <w:pPr>
        <w:spacing w:after="120" w:before="0"/>
      </w:pPr>
      <w:r>
        <w:rPr>
          <w:rFonts w:ascii="Arial" w:cs="Arial" w:eastAsia="Arial" w:hAnsi="Arial"/>
        </w:rPr>
        <w:t xml:space="preserve"/>
      </w:r>
    </w:p>
    <w:p>
      <w:pPr>
        <w:pStyle w:val="Heading1"/>
        <w:pBdr>
          <w:bottom w:val="single" w:color="7B2D8E" w:sz="4" w:space="4"/>
        </w:pBdr>
        <w:spacing w:after="160" w:before="320"/>
      </w:pPr>
      <w:r>
        <w:rPr>
          <w:rFonts w:ascii="Arial" w:cs="Arial" w:eastAsia="Arial" w:hAnsi="Arial"/>
          <w:b/>
          <w:bCs/>
          <w:color w:val="7B2D8E"/>
          <w:sz w:val="32"/>
          <w:szCs w:val="32"/>
        </w:rPr>
        <w:t xml:space="preserve">10. Success Metrics (Post-Automation)</w:t>
      </w:r>
    </w:p>
    <w:p>
      <w:pPr>
        <w:spacing w:after="60" w:before="0"/>
      </w:pP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19"/>
        <w:gridCol w:w="1754"/>
        <w:gridCol w:w="1559"/>
        <w:gridCol w:w="3314"/>
      </w:tblGrid>
      <w:tr>
        <w:trPr>
          <w:tblHeader/>
        </w:trPr>
        <w:tc>
          <w:tcPr>
            <w:tcW w:type="dxa" w:w="3119"/>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Metric</w:t>
            </w:r>
          </w:p>
        </w:tc>
        <w:tc>
          <w:tcPr>
            <w:tcW w:type="dxa" w:w="1754"/>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Baseline (Current)</w:t>
            </w:r>
          </w:p>
        </w:tc>
        <w:tc>
          <w:tcPr>
            <w:tcW w:type="dxa" w:w="1559"/>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Target</w:t>
            </w:r>
          </w:p>
        </w:tc>
        <w:tc>
          <w:tcPr>
            <w:tcW w:type="dxa" w:w="3314"/>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How to Measure</w:t>
            </w:r>
          </w:p>
        </w:tc>
      </w:tr>
      <w:tr>
        <w:tc>
          <w:tcPr>
            <w:tcW w:type="dxa" w:w="311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Upload-to-production TAT (store pickup / express)</w:t>
            </w:r>
          </w:p>
        </w:tc>
        <w:tc>
          <w:tcPr>
            <w:tcW w:type="dxa" w:w="1754"/>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~1 hour</w:t>
            </w:r>
          </w:p>
        </w:tc>
        <w:tc>
          <w:tcPr>
            <w:tcW w:type="dxa" w:w="155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&lt; 5 min</w:t>
            </w:r>
          </w:p>
        </w:tc>
        <w:tc>
          <w:tcPr>
            <w:tcW w:type="dxa" w:w="3314"/>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OMS timestamp diff</w:t>
            </w:r>
          </w:p>
        </w:tc>
      </w:tr>
      <w:tr>
        <w:tc>
          <w:tcPr>
            <w:tcW w:type="dxa" w:w="311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Upload-to-production TAT (standard delivery)</w:t>
            </w:r>
          </w:p>
        </w:tc>
        <w:tc>
          <w:tcPr>
            <w:tcW w:type="dxa" w:w="1754"/>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2–3 hours</w:t>
            </w:r>
          </w:p>
        </w:tc>
        <w:tc>
          <w:tcPr>
            <w:tcW w:type="dxa" w:w="155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&lt; 5 min</w:t>
            </w:r>
          </w:p>
        </w:tc>
        <w:tc>
          <w:tcPr>
            <w:tcW w:type="dxa" w:w="3314"/>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OMS timestamp diff</w:t>
            </w:r>
          </w:p>
        </w:tc>
      </w:tr>
      <w:tr>
        <w:tc>
          <w:tcPr>
            <w:tcW w:type="dxa" w:w="311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Orders held due to file mismatch</w:t>
            </w:r>
          </w:p>
        </w:tc>
        <w:tc>
          <w:tcPr>
            <w:tcW w:type="dxa" w:w="1754"/>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Est. 10–15%</w:t>
            </w:r>
          </w:p>
        </w:tc>
        <w:tc>
          <w:tcPr>
            <w:tcW w:type="dxa" w:w="155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&lt; 1%</w:t>
            </w:r>
          </w:p>
        </w:tc>
        <w:tc>
          <w:tcPr>
            <w:tcW w:type="dxa" w:w="3314"/>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OMS hold report</w:t>
            </w:r>
          </w:p>
        </w:tc>
      </w:tr>
      <w:tr>
        <w:tc>
          <w:tcPr>
            <w:tcW w:type="dxa" w:w="311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Order cancellation rate (preflight-related)</w:t>
            </w:r>
          </w:p>
        </w:tc>
        <w:tc>
          <w:tcPr>
            <w:tcW w:type="dxa" w:w="1754"/>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TBD</w:t>
            </w:r>
          </w:p>
        </w:tc>
        <w:tc>
          <w:tcPr>
            <w:tcW w:type="dxa" w:w="155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&lt; 0.5%</w:t>
            </w:r>
          </w:p>
        </w:tc>
        <w:tc>
          <w:tcPr>
            <w:tcW w:type="dxa" w:w="3314"/>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Zoho Desk + OMS</w:t>
            </w:r>
          </w:p>
        </w:tc>
      </w:tr>
      <w:tr>
        <w:tc>
          <w:tcPr>
            <w:tcW w:type="dxa" w:w="311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Preflight team hours/day on personalised products</w:t>
            </w:r>
          </w:p>
        </w:tc>
        <w:tc>
          <w:tcPr>
            <w:tcW w:type="dxa" w:w="1754"/>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Full-time</w:t>
            </w:r>
          </w:p>
        </w:tc>
        <w:tc>
          <w:tcPr>
            <w:tcW w:type="dxa" w:w="155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0 h (spot-check only)</w:t>
            </w:r>
          </w:p>
        </w:tc>
        <w:tc>
          <w:tcPr>
            <w:tcW w:type="dxa" w:w="3314"/>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Team capacity tracker</w:t>
            </w:r>
          </w:p>
        </w:tc>
      </w:tr>
      <w:tr>
        <w:tc>
          <w:tcPr>
            <w:tcW w:type="dxa" w:w="311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Orders meeting 3 PM courier cutoff</w:t>
            </w:r>
          </w:p>
        </w:tc>
        <w:tc>
          <w:tcPr>
            <w:tcW w:type="dxa" w:w="1754"/>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TBD</w:t>
            </w:r>
          </w:p>
        </w:tc>
        <w:tc>
          <w:tcPr>
            <w:tcW w:type="dxa" w:w="155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&gt; 98%</w:t>
            </w:r>
          </w:p>
        </w:tc>
        <w:tc>
          <w:tcPr>
            <w:tcW w:type="dxa" w:w="3314"/>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Dispatch log</w:t>
            </w:r>
          </w:p>
        </w:tc>
      </w:tr>
      <w:tr>
        <w:tc>
          <w:tcPr>
            <w:tcW w:type="dxa" w:w="311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Concurrent orders without timeout</w:t>
            </w:r>
          </w:p>
        </w:tc>
        <w:tc>
          <w:tcPr>
            <w:tcW w:type="dxa" w:w="1754"/>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~50 (Gunicorn limit)</w:t>
            </w:r>
          </w:p>
        </w:tc>
        <w:tc>
          <w:tcPr>
            <w:tcW w:type="dxa" w:w="155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200+ (async queue)</w:t>
            </w:r>
          </w:p>
        </w:tc>
        <w:tc>
          <w:tcPr>
            <w:tcW w:type="dxa" w:w="3314"/>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Render job success rate</w:t>
            </w:r>
          </w:p>
        </w:tc>
      </w:tr>
      <w:tr>
        <w:tc>
          <w:tcPr>
            <w:tcW w:type="dxa" w:w="311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Render job success rate</w:t>
            </w:r>
          </w:p>
        </w:tc>
        <w:tc>
          <w:tcPr>
            <w:tcW w:type="dxa" w:w="1754"/>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N/A</w:t>
            </w:r>
          </w:p>
        </w:tc>
        <w:tc>
          <w:tcPr>
            <w:tcW w:type="dxa" w:w="155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&gt; 99.5%</w:t>
            </w:r>
          </w:p>
        </w:tc>
        <w:tc>
          <w:tcPr>
            <w:tcW w:type="dxa" w:w="3314"/>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RenderJob status log</w:t>
            </w:r>
          </w:p>
        </w:tc>
      </w:tr>
    </w:tbl>
    <w:p>
      <w:pPr>
        <w:spacing w:after="200" w:before="0"/>
      </w:pPr>
      <w:r>
        <w:rPr>
          <w:rFonts w:ascii="Arial" w:cs="Arial" w:eastAsia="Arial" w:hAnsi="Arial"/>
        </w:rPr>
        <w:t xml:space="preserve"/>
      </w:r>
    </w:p>
    <w:p>
      <w:pPr>
        <w:spacing w:after="40"/>
        <w:jc w:val="center"/>
      </w:pPr>
      <w:r>
        <w:rPr>
          <w:rFonts w:ascii="Arial" w:cs="Arial" w:eastAsia="Arial" w:hAnsi="Arial"/>
          <w:i/>
          <w:iCs/>
          <w:color w:val="888888"/>
          <w:sz w:val="18"/>
          <w:szCs w:val="18"/>
        </w:rPr>
        <w:t xml:space="preserve">— End of Document —</w:t>
      </w:r>
    </w:p>
    <w:p>
      <w:pPr>
        <w:jc w:val="center"/>
      </w:pPr>
      <w:r>
        <w:rPr>
          <w:rFonts w:ascii="Arial" w:cs="Arial" w:eastAsia="Arial" w:hAnsi="Arial"/>
          <w:i/>
          <w:iCs/>
          <w:color w:val="888888"/>
          <w:sz w:val="16"/>
          <w:szCs w:val="16"/>
        </w:rPr>
        <w:t xml:space="preserve">For queries contact Kanna | Printo.in</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2" w:space="4"/>
      </w:pBdr>
    </w:pPr>
    <w:r>
      <w:rPr>
        <w:rFonts w:ascii="Arial" w:cs="Arial" w:eastAsia="Arial" w:hAnsi="Arial"/>
        <w:color w:val="888888"/>
        <w:sz w:val="16"/>
        <w:szCs w:val="16"/>
      </w:rPr>
      <w:t xml:space="preserve">© 2026 Printo.in — Internal document. Not for external distribution.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D8E" w:sz="4" w:space="4"/>
      </w:pBdr>
    </w:pPr>
    <w:r>
      <w:rPr>
        <w:rFonts w:ascii="Arial" w:cs="Arial" w:eastAsia="Arial" w:hAnsi="Arial"/>
        <w:b/>
        <w:bCs/>
        <w:color w:val="7B2D8E"/>
        <w:sz w:val="18"/>
        <w:szCs w:val="18"/>
      </w:rPr>
      <w:t xml:space="preserve">Printo.in</w:t>
    </w:r>
    <w:r>
      <w:rPr>
        <w:rFonts w:ascii="Arial" w:cs="Arial" w:eastAsia="Arial" w:hAnsi="Arial"/>
        <w:color w:val="888888"/>
        <w:sz w:val="16"/>
        <w:szCs w:val="16"/>
      </w:rPr>
      <w:t xml:space="preserve">   |   Product Editor PRD v1.4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7B2D8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C3E5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E67E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2026-04-05T15:52:47.256Z</dcterms:created>
  <dcterms:modified xsi:type="dcterms:W3CDTF">2026-04-05T15:52:47.256Z</dcterms:modified>
</cp:coreProperties>
</file>

<file path=docProps/custom.xml><?xml version="1.0" encoding="utf-8"?>
<Properties xmlns="http://schemas.openxmlformats.org/officeDocument/2006/custom-properties" xmlns:vt="http://schemas.openxmlformats.org/officeDocument/2006/docPropsVTypes"/>
</file>