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Coin Sentence to Dollar Converter</w:t>
      </w:r>
    </w:p>
    <w:p>
      <w:pPr>
        <w:spacing w:after="120"/>
      </w:pPr>
      <w:r>
        <w:rPr>
          <w:i/>
          <w:iCs/>
        </w:rPr>
        <w:t>IT 3883 Advanced Application Development — Sprint 1: Testing</w:t>
      </w:r>
    </w:p>
    <w:p>
      <w:pPr/>
      <w:r>
        <w:t>Jonathan Cruz</w:t>
      </w:r>
    </w:p>
    <w:p>
      <w:pPr>
        <w:pStyle w:val="Heading1"/>
        <w:spacing w:after="120" w:before="240"/>
      </w:pPr>
      <w:r>
        <w:t xml:space="preserve">Test Case Results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4300"/>
        <w:gridCol w:w="1600"/>
        <w:gridCol w:w="2400"/>
        <w:gridCol w:w="1200"/>
      </w:tblGrid>
      <w:tr>
        <w:tc>
          <w:tcPr>
            <w:tcW w:type="dxa" w:w="500"/>
            <w:shd w:fill="D9E2F3" w:val="clear"/>
          </w:tcPr>
          <w:p>
            <w:r>
              <w:rPr>
                <w:b/>
                <w:bCs/>
              </w:rPr>
              <w:t xml:space="preserve">#</w:t>
            </w:r>
          </w:p>
        </w:tc>
        <w:tc>
          <w:tcPr>
            <w:tcW w:type="dxa" w:w="4300"/>
            <w:shd w:fill="D9E2F3" w:val="clear"/>
          </w:tcPr>
          <w:p>
            <w:r>
              <w:rPr>
                <w:b/>
                <w:bCs/>
              </w:rPr>
              <w:t xml:space="preserve">Input Sentence</w:t>
            </w:r>
          </w:p>
        </w:tc>
        <w:tc>
          <w:tcPr>
            <w:tcW w:type="dxa" w:w="1600"/>
            <w:shd w:fill="D9E2F3" w:val="clear"/>
          </w:tcPr>
          <w:p>
            <w:r>
              <w:rPr>
                <w:b/>
                <w:bCs/>
              </w:rPr>
              <w:t xml:space="preserve">Expected Output</w:t>
            </w:r>
          </w:p>
        </w:tc>
        <w:tc>
          <w:tcPr>
            <w:tcW w:type="dxa" w:w="2400"/>
            <w:shd w:fill="D9E2F3" w:val="clear"/>
          </w:tcPr>
          <w:p>
            <w:r>
              <w:rPr>
                <w:b/>
                <w:bCs/>
              </w:rPr>
              <w:t xml:space="preserve">Actual Output</w:t>
            </w:r>
          </w:p>
        </w:tc>
        <w:tc>
          <w:tcPr>
            <w:tcW w:type="dxa" w:w="1200"/>
            <w:shd w:fill="D9E2F3" w:val="clear"/>
          </w:tcPr>
          <w:p>
            <w:r>
              <w:rPr>
                <w:b/>
                <w:bCs/>
              </w:rPr>
              <w:t xml:space="preserve">Result</w:t>
            </w:r>
          </w:p>
        </w:tc>
      </w:tr>
      <w:tr>
        <w:tc>
          <w:tcPr>
            <w:tcW w:type="dxa" w:w="500"/>
          </w:tcPr>
          <w:p>
            <w:r>
              <w:rPr>
                <w:b w:val="false"/>
                <w:bCs w:val="false"/>
              </w:rPr>
              <w:t xml:space="preserve">1</w:t>
            </w:r>
          </w:p>
        </w:tc>
        <w:tc>
          <w:tcPr>
            <w:tcW w:type="dxa" w:w="4300"/>
          </w:tcPr>
          <w:p>
            <w:r>
              <w:rPr>
                <w:b w:val="false"/>
                <w:bCs w:val="false"/>
              </w:rPr>
              <w:t xml:space="preserve">1 penny and 2 nickels</w:t>
            </w:r>
          </w:p>
        </w:tc>
        <w:tc>
          <w:tcPr>
            <w:tcW w:type="dxa" w:w="1600"/>
          </w:tcPr>
          <w:p>
            <w:r>
              <w:rPr>
                <w:b w:val="false"/>
                <w:bCs w:val="false"/>
              </w:rPr>
              <w:t xml:space="preserve">0.11</w:t>
            </w:r>
          </w:p>
        </w:tc>
        <w:tc>
          <w:tcPr>
            <w:tcW w:type="dxa" w:w="2400"/>
          </w:tcPr>
          <w:p>
            <w:r>
              <w:rPr>
                <w:b w:val="false"/>
                <w:bCs w:val="false"/>
              </w:rPr>
              <w:t xml:space="preserve">0.11</w:t>
            </w:r>
          </w:p>
        </w:tc>
        <w:tc>
          <w:tcPr>
            <w:tcW w:type="dxa" w:w="1200"/>
          </w:tcPr>
          <w:p>
            <w:r>
              <w:rPr>
                <w:b w:val="false"/>
                <w:bCs w:val="false"/>
                <w:color w:val="1E7A34"/>
              </w:rPr>
              <w:t xml:space="preserve">PASS</w:t>
            </w:r>
          </w:p>
        </w:tc>
      </w:tr>
      <w:tr>
        <w:tc>
          <w:tcPr>
            <w:tcW w:type="dxa" w:w="500"/>
          </w:tcPr>
          <w:p>
            <w:r>
              <w:rPr>
                <w:b w:val="false"/>
                <w:bCs w:val="false"/>
              </w:rPr>
              <w:t xml:space="preserve">2</w:t>
            </w:r>
          </w:p>
        </w:tc>
        <w:tc>
          <w:tcPr>
            <w:tcW w:type="dxa" w:w="4300"/>
          </w:tcPr>
          <w:p>
            <w:r>
              <w:rPr>
                <w:b w:val="false"/>
                <w:bCs w:val="false"/>
              </w:rPr>
              <w:t xml:space="preserve">4 dimes and 7 quarters</w:t>
            </w:r>
          </w:p>
        </w:tc>
        <w:tc>
          <w:tcPr>
            <w:tcW w:type="dxa" w:w="1600"/>
          </w:tcPr>
          <w:p>
            <w:r>
              <w:rPr>
                <w:b w:val="false"/>
                <w:bCs w:val="false"/>
              </w:rPr>
              <w:t xml:space="preserve">2.15</w:t>
            </w:r>
          </w:p>
        </w:tc>
        <w:tc>
          <w:tcPr>
            <w:tcW w:type="dxa" w:w="2400"/>
          </w:tcPr>
          <w:p>
            <w:r>
              <w:rPr>
                <w:b w:val="false"/>
                <w:bCs w:val="false"/>
              </w:rPr>
              <w:t xml:space="preserve">2.15</w:t>
            </w:r>
          </w:p>
        </w:tc>
        <w:tc>
          <w:tcPr>
            <w:tcW w:type="dxa" w:w="1200"/>
          </w:tcPr>
          <w:p>
            <w:r>
              <w:rPr>
                <w:b w:val="false"/>
                <w:bCs w:val="false"/>
                <w:color w:val="1E7A34"/>
              </w:rPr>
              <w:t xml:space="preserve">PASS</w:t>
            </w:r>
          </w:p>
        </w:tc>
      </w:tr>
      <w:tr>
        <w:tc>
          <w:tcPr>
            <w:tcW w:type="dxa" w:w="500"/>
          </w:tcPr>
          <w:p>
            <w:r>
              <w:rPr>
                <w:b w:val="false"/>
                <w:bCs w:val="false"/>
              </w:rPr>
              <w:t xml:space="preserve">3</w:t>
            </w:r>
          </w:p>
        </w:tc>
        <w:tc>
          <w:tcPr>
            <w:tcW w:type="dxa" w:w="4300"/>
          </w:tcPr>
          <w:p>
            <w:r>
              <w:rPr>
                <w:b w:val="false"/>
                <w:bCs w:val="false"/>
              </w:rPr>
              <w:t xml:space="preserve">1 quarter and 3 pennies</w:t>
            </w:r>
          </w:p>
        </w:tc>
        <w:tc>
          <w:tcPr>
            <w:tcW w:type="dxa" w:w="1600"/>
          </w:tcPr>
          <w:p>
            <w:r>
              <w:rPr>
                <w:b w:val="false"/>
                <w:bCs w:val="false"/>
              </w:rPr>
              <w:t xml:space="preserve">0.28</w:t>
            </w:r>
          </w:p>
        </w:tc>
        <w:tc>
          <w:tcPr>
            <w:tcW w:type="dxa" w:w="2400"/>
          </w:tcPr>
          <w:p>
            <w:r>
              <w:rPr>
                <w:b w:val="false"/>
                <w:bCs w:val="false"/>
              </w:rPr>
              <w:t xml:space="preserve">0.28</w:t>
            </w:r>
          </w:p>
        </w:tc>
        <w:tc>
          <w:tcPr>
            <w:tcW w:type="dxa" w:w="1200"/>
          </w:tcPr>
          <w:p>
            <w:r>
              <w:rPr>
                <w:b w:val="false"/>
                <w:bCs w:val="false"/>
                <w:color w:val="1E7A34"/>
              </w:rPr>
              <w:t xml:space="preserve">PASS</w:t>
            </w:r>
          </w:p>
        </w:tc>
      </w:tr>
      <w:tr>
        <w:tc>
          <w:tcPr>
            <w:tcW w:type="dxa" w:w="500"/>
          </w:tcPr>
          <w:p>
            <w:r>
              <w:rPr>
                <w:b w:val="false"/>
                <w:bCs w:val="false"/>
              </w:rPr>
              <w:t xml:space="preserve">4</w:t>
            </w:r>
          </w:p>
        </w:tc>
        <w:tc>
          <w:tcPr>
            <w:tcW w:type="dxa" w:w="4300"/>
          </w:tcPr>
          <w:p>
            <w:r>
              <w:rPr>
                <w:b w:val="false"/>
                <w:bCs w:val="false"/>
              </w:rPr>
              <w:t xml:space="preserve">21 pennies and 17 dimes and 52 quarters</w:t>
            </w:r>
          </w:p>
        </w:tc>
        <w:tc>
          <w:tcPr>
            <w:tcW w:type="dxa" w:w="1600"/>
          </w:tcPr>
          <w:p>
            <w:r>
              <w:rPr>
                <w:b w:val="false"/>
                <w:bCs w:val="false"/>
              </w:rPr>
              <w:t xml:space="preserve">14.91</w:t>
            </w:r>
          </w:p>
        </w:tc>
        <w:tc>
          <w:tcPr>
            <w:tcW w:type="dxa" w:w="2400"/>
          </w:tcPr>
          <w:p>
            <w:r>
              <w:rPr>
                <w:b w:val="false"/>
                <w:bCs w:val="false"/>
              </w:rPr>
              <w:t xml:space="preserve">14.91</w:t>
            </w:r>
          </w:p>
        </w:tc>
        <w:tc>
          <w:tcPr>
            <w:tcW w:type="dxa" w:w="1200"/>
          </w:tcPr>
          <w:p>
            <w:r>
              <w:rPr>
                <w:b w:val="false"/>
                <w:bCs w:val="false"/>
                <w:color w:val="1E7A34"/>
              </w:rPr>
              <w:t xml:space="preserve">PASS</w:t>
            </w:r>
          </w:p>
        </w:tc>
      </w:tr>
      <w:tr>
        <w:tc>
          <w:tcPr>
            <w:tcW w:type="dxa" w:w="500"/>
          </w:tcPr>
          <w:p>
            <w:r>
              <w:rPr>
                <w:b w:val="false"/>
                <w:bCs w:val="false"/>
              </w:rPr>
              <w:t xml:space="preserve">5</w:t>
            </w:r>
          </w:p>
        </w:tc>
        <w:tc>
          <w:tcPr>
            <w:tcW w:type="dxa" w:w="4300"/>
          </w:tcPr>
          <w:p>
            <w:r>
              <w:rPr>
                <w:b w:val="false"/>
                <w:bCs w:val="false"/>
              </w:rPr>
              <w:t xml:space="preserve">95 dimes and 73 quarters and 22 nickels and 36 pennies</w:t>
            </w:r>
          </w:p>
        </w:tc>
        <w:tc>
          <w:tcPr>
            <w:tcW w:type="dxa" w:w="1600"/>
          </w:tcPr>
          <w:p>
            <w:r>
              <w:rPr>
                <w:b w:val="false"/>
                <w:bCs w:val="false"/>
              </w:rPr>
              <w:t xml:space="preserve">29.21</w:t>
            </w:r>
          </w:p>
        </w:tc>
        <w:tc>
          <w:tcPr>
            <w:tcW w:type="dxa" w:w="2400"/>
          </w:tcPr>
          <w:p>
            <w:r>
              <w:rPr>
                <w:b w:val="false"/>
                <w:bCs w:val="false"/>
              </w:rPr>
              <w:t xml:space="preserve">29.21</w:t>
            </w:r>
          </w:p>
        </w:tc>
        <w:tc>
          <w:tcPr>
            <w:tcW w:type="dxa" w:w="1200"/>
          </w:tcPr>
          <w:p>
            <w:r>
              <w:rPr>
                <w:b w:val="false"/>
                <w:bCs w:val="false"/>
                <w:color w:val="1E7A34"/>
              </w:rPr>
              <w:t xml:space="preserve">PASS</w:t>
            </w:r>
          </w:p>
        </w:tc>
      </w:tr>
      <w:tr>
        <w:tc>
          <w:tcPr>
            <w:tcW w:type="dxa" w:w="500"/>
          </w:tcPr>
          <w:p>
            <w:r>
              <w:rPr>
                <w:b w:val="false"/>
                <w:bCs w:val="false"/>
              </w:rPr>
              <w:t xml:space="preserve">6</w:t>
            </w:r>
          </w:p>
        </w:tc>
        <w:tc>
          <w:tcPr>
            <w:tcW w:type="dxa" w:w="4300"/>
          </w:tcPr>
          <w:p>
            <w:r>
              <w:rPr>
                <w:b w:val="false"/>
                <w:bCs w:val="false"/>
              </w:rPr>
              <w:t xml:space="preserve">1 nickel and 17 quarters</w:t>
            </w:r>
          </w:p>
        </w:tc>
        <w:tc>
          <w:tcPr>
            <w:tcW w:type="dxa" w:w="1600"/>
          </w:tcPr>
          <w:p>
            <w:r>
              <w:rPr>
                <w:b w:val="false"/>
                <w:bCs w:val="false"/>
              </w:rPr>
              <w:t xml:space="preserve">4.30</w:t>
            </w:r>
          </w:p>
        </w:tc>
        <w:tc>
          <w:tcPr>
            <w:tcW w:type="dxa" w:w="2400"/>
          </w:tcPr>
          <w:p>
            <w:r>
              <w:rPr>
                <w:b w:val="false"/>
                <w:bCs w:val="false"/>
              </w:rPr>
              <w:t xml:space="preserve">4.3</w:t>
            </w:r>
          </w:p>
        </w:tc>
        <w:tc>
          <w:tcPr>
            <w:tcW w:type="dxa" w:w="1200"/>
          </w:tcPr>
          <w:p>
            <w:r>
              <w:rPr>
                <w:b w:val="false"/>
                <w:bCs w:val="false"/>
                <w:color w:val="B00020"/>
              </w:rPr>
              <w:t xml:space="preserve">FAIL</w:t>
            </w:r>
          </w:p>
        </w:tc>
      </w:tr>
      <w:tr>
        <w:tc>
          <w:tcPr>
            <w:tcW w:type="dxa" w:w="500"/>
          </w:tcPr>
          <w:p>
            <w:r>
              <w:rPr>
                <w:b w:val="false"/>
                <w:bCs w:val="false"/>
              </w:rPr>
              <w:t xml:space="preserve">7</w:t>
            </w:r>
          </w:p>
        </w:tc>
        <w:tc>
          <w:tcPr>
            <w:tcW w:type="dxa" w:w="4300"/>
          </w:tcPr>
          <w:p>
            <w:r>
              <w:rPr>
                <w:b w:val="false"/>
                <w:bCs w:val="false"/>
              </w:rPr>
              <w:t xml:space="preserve">21 nickels and 15 pennies</w:t>
            </w:r>
          </w:p>
        </w:tc>
        <w:tc>
          <w:tcPr>
            <w:tcW w:type="dxa" w:w="1600"/>
          </w:tcPr>
          <w:p>
            <w:r>
              <w:rPr>
                <w:b w:val="false"/>
                <w:bCs w:val="false"/>
              </w:rPr>
              <w:t xml:space="preserve">1.20</w:t>
            </w:r>
          </w:p>
        </w:tc>
        <w:tc>
          <w:tcPr>
            <w:tcW w:type="dxa" w:w="2400"/>
          </w:tcPr>
          <w:p>
            <w:r>
              <w:rPr>
                <w:b w:val="false"/>
                <w:bCs w:val="false"/>
              </w:rPr>
              <w:t xml:space="preserve">1.2</w:t>
            </w:r>
          </w:p>
        </w:tc>
        <w:tc>
          <w:tcPr>
            <w:tcW w:type="dxa" w:w="1200"/>
          </w:tcPr>
          <w:p>
            <w:r>
              <w:rPr>
                <w:b w:val="false"/>
                <w:bCs w:val="false"/>
                <w:color w:val="B00020"/>
              </w:rPr>
              <w:t xml:space="preserve">FAIL</w:t>
            </w:r>
          </w:p>
        </w:tc>
      </w:tr>
      <w:tr>
        <w:tc>
          <w:tcPr>
            <w:tcW w:type="dxa" w:w="500"/>
          </w:tcPr>
          <w:p>
            <w:r>
              <w:rPr>
                <w:b w:val="false"/>
                <w:bCs w:val="false"/>
              </w:rPr>
              <w:t xml:space="preserve">8</w:t>
            </w:r>
          </w:p>
        </w:tc>
        <w:tc>
          <w:tcPr>
            <w:tcW w:type="dxa" w:w="4300"/>
          </w:tcPr>
          <w:p>
            <w:r>
              <w:rPr>
                <w:b w:val="false"/>
                <w:bCs w:val="false"/>
              </w:rPr>
              <w:t xml:space="preserve">1 dime and 1 nickel and 1 penny and 1 quarter</w:t>
            </w:r>
          </w:p>
        </w:tc>
        <w:tc>
          <w:tcPr>
            <w:tcW w:type="dxa" w:w="1600"/>
          </w:tcPr>
          <w:p>
            <w:r>
              <w:rPr>
                <w:b w:val="false"/>
                <w:bCs w:val="false"/>
              </w:rPr>
              <w:t xml:space="preserve">0.41</w:t>
            </w:r>
          </w:p>
        </w:tc>
        <w:tc>
          <w:tcPr>
            <w:tcW w:type="dxa" w:w="2400"/>
          </w:tcPr>
          <w:p>
            <w:r>
              <w:rPr>
                <w:b w:val="false"/>
                <w:bCs w:val="false"/>
              </w:rPr>
              <w:t xml:space="preserve">0.41000000000000003</w:t>
            </w:r>
          </w:p>
        </w:tc>
        <w:tc>
          <w:tcPr>
            <w:tcW w:type="dxa" w:w="1200"/>
          </w:tcPr>
          <w:p>
            <w:r>
              <w:rPr>
                <w:b w:val="false"/>
                <w:bCs w:val="false"/>
                <w:color w:val="B00020"/>
              </w:rPr>
              <w:t xml:space="preserve">FAIL</w:t>
            </w:r>
          </w:p>
        </w:tc>
      </w:tr>
      <w:tr>
        <w:tc>
          <w:tcPr>
            <w:tcW w:type="dxa" w:w="500"/>
          </w:tcPr>
          <w:p>
            <w:r>
              <w:rPr>
                <w:b w:val="false"/>
                <w:bCs w:val="false"/>
              </w:rPr>
              <w:t xml:space="preserve">9</w:t>
            </w:r>
          </w:p>
        </w:tc>
        <w:tc>
          <w:tcPr>
            <w:tcW w:type="dxa" w:w="4300"/>
          </w:tcPr>
          <w:p>
            <w:r>
              <w:rPr>
                <w:b w:val="false"/>
                <w:bCs w:val="false"/>
              </w:rPr>
              <w:t xml:space="preserve">1 Penny and 2 Nickels (capitalized, developer-added)</w:t>
            </w:r>
          </w:p>
        </w:tc>
        <w:tc>
          <w:tcPr>
            <w:tcW w:type="dxa" w:w="1600"/>
          </w:tcPr>
          <w:p>
            <w:r>
              <w:rPr>
                <w:b w:val="false"/>
                <w:bCs w:val="false"/>
              </w:rPr>
              <w:t xml:space="preserve">0.11</w:t>
            </w:r>
          </w:p>
        </w:tc>
        <w:tc>
          <w:tcPr>
            <w:tcW w:type="dxa" w:w="2400"/>
          </w:tcPr>
          <w:p>
            <w:r>
              <w:rPr>
                <w:b w:val="false"/>
                <w:bCs w:val="false"/>
              </w:rPr>
              <w:t xml:space="preserve">Program crashed: KeyError 'Penny'</w:t>
            </w:r>
          </w:p>
        </w:tc>
        <w:tc>
          <w:tcPr>
            <w:tcW w:type="dxa" w:w="1200"/>
          </w:tcPr>
          <w:p>
            <w:r>
              <w:rPr>
                <w:b w:val="false"/>
                <w:bCs w:val="false"/>
                <w:color w:val="B00020"/>
              </w:rPr>
              <w:t xml:space="preserve">FAIL</w:t>
            </w:r>
          </w:p>
        </w:tc>
      </w:tr>
      <w:tr>
        <w:tc>
          <w:tcPr>
            <w:tcW w:type="dxa" w:w="500"/>
          </w:tcPr>
          <w:p>
            <w:r>
              <w:rPr>
                <w:b w:val="false"/>
                <w:bCs w:val="false"/>
              </w:rPr>
              <w:t xml:space="preserve">10</w:t>
            </w:r>
          </w:p>
        </w:tc>
        <w:tc>
          <w:tcPr>
            <w:tcW w:type="dxa" w:w="4300"/>
          </w:tcPr>
          <w:p>
            <w:r>
              <w:rPr>
                <w:b w:val="false"/>
                <w:bCs w:val="false"/>
              </w:rPr>
              <w:t xml:space="preserve">10 quarters (developer-added)</w:t>
            </w:r>
          </w:p>
        </w:tc>
        <w:tc>
          <w:tcPr>
            <w:tcW w:type="dxa" w:w="1600"/>
          </w:tcPr>
          <w:p>
            <w:r>
              <w:rPr>
                <w:b w:val="false"/>
                <w:bCs w:val="false"/>
              </w:rPr>
              <w:t xml:space="preserve">2.50</w:t>
            </w:r>
          </w:p>
        </w:tc>
        <w:tc>
          <w:tcPr>
            <w:tcW w:type="dxa" w:w="2400"/>
          </w:tcPr>
          <w:p>
            <w:r>
              <w:rPr>
                <w:b w:val="false"/>
                <w:bCs w:val="false"/>
              </w:rPr>
              <w:t xml:space="preserve">2.5</w:t>
            </w:r>
          </w:p>
        </w:tc>
        <w:tc>
          <w:tcPr>
            <w:tcW w:type="dxa" w:w="1200"/>
          </w:tcPr>
          <w:p>
            <w:r>
              <w:rPr>
                <w:b w:val="false"/>
                <w:bCs w:val="false"/>
                <w:color w:val="B00020"/>
              </w:rPr>
              <w:t xml:space="preserve">FAIL</w:t>
            </w:r>
          </w:p>
        </w:tc>
      </w:tr>
    </w:tbl>
    <w:p>
      <w:pPr>
        <w:pStyle w:val="Heading1"/>
        <w:spacing w:after="120" w:before="240"/>
      </w:pPr>
      <w:r>
        <w:t xml:space="preserve">Bug Summary</w:t>
      </w:r>
    </w:p>
    <w:p>
      <w:pPr>
        <w:pStyle w:val="Heading2"/>
        <w:spacing w:after="100" w:before="200"/>
      </w:pPr>
      <w:r>
        <w:t xml:space="preserve">Bug 1: Missing trailing zero in output</w:t>
      </w:r>
    </w:p>
    <w:p>
      <w:pPr>
        <w:spacing w:after="120"/>
      </w:pPr>
      <w:r>
        <w:t xml:space="preserve">When the resulting dollar amount happens to have a zero in the hundredths place (e.g., 4.30, 1.20, 2.50), the program prints the raw float value (e.g., "4.3") instead of a two-decimal-place string. This occurs because Python does not pad a float's string representation with trailing zeros. Any input whose total ends in a multiple of ten cents will trigger this bug.</w:t>
      </w:r>
    </w:p>
    <w:p>
      <w:pPr>
        <w:pStyle w:val="Heading2"/>
        <w:spacing w:after="100" w:before="200"/>
      </w:pPr>
      <w:r>
        <w:t xml:space="preserve">Bug 2: Floating point rounding error</w:t>
      </w:r>
    </w:p>
    <w:p>
      <w:pPr>
        <w:spacing w:after="120"/>
      </w:pPr>
      <w:r>
        <w:t xml:space="preserve">Summing dollar values as native Python floating point numbers can leave tiny binary rounding artifacts. For test case 8, the internal total was computed as 0.41000000000000003 instead of exactly 0.41. This occurs whenever the specific combination of fractional values added together cannot be represented exactly in binary floating point.</w:t>
      </w:r>
    </w:p>
    <w:p>
      <w:pPr>
        <w:pStyle w:val="Heading2"/>
        <w:spacing w:after="100" w:before="200"/>
      </w:pPr>
      <w:r>
        <w:t xml:space="preserve">Bug 3: Case-sensitive denomination matching</w:t>
      </w:r>
    </w:p>
    <w:p>
      <w:pPr>
        <w:spacing w:after="120"/>
      </w:pPr>
      <w:r>
        <w:t xml:space="preserve">The coin value lookup dictionary only contains lowercase keys. When a denomination word is capitalized (e.g., "Penny" instead of "penny"), the dictionary lookup fails and the program crashes with an unhandled KeyError instead of producing a result or a helpful error message. This occurs whenever the input is not written entirely in lowercase.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2026-07-28T02:00:22.302Z</dcterms:created>
  <dcterms:modified xsi:type="dcterms:W3CDTF">2026-07-28T02:00:22.302Z</dcterms:modified>
</cp:coreProperties>
</file>

<file path=docProps/custom.xml><?xml version="1.0" encoding="utf-8"?>
<Properties xmlns="http://schemas.openxmlformats.org/officeDocument/2006/custom-properties" xmlns:vt="http://schemas.openxmlformats.org/officeDocument/2006/docPropsVTypes"/>
</file>